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E73" w:rsidRPr="00F33B3C" w:rsidRDefault="00F33B3C" w:rsidP="00F33B3C">
      <w:pPr>
        <w:jc w:val="center"/>
        <w:rPr>
          <w:rFonts w:asciiTheme="majorBidi" w:hAnsiTheme="majorBidi" w:cstheme="majorBidi"/>
          <w:b/>
          <w:bCs/>
          <w:noProof/>
          <w:sz w:val="28"/>
          <w:szCs w:val="28"/>
          <w:u w:val="single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  <w:u w:val="single"/>
        </w:rPr>
        <w:t>Supplementary Information</w:t>
      </w:r>
    </w:p>
    <w:p w:rsidR="00F33B3C" w:rsidRDefault="00F33B3C" w:rsidP="00F33B3C">
      <w:pPr>
        <w:jc w:val="center"/>
      </w:pPr>
      <w:r>
        <w:rPr>
          <w:noProof/>
        </w:rPr>
        <w:drawing>
          <wp:inline distT="0" distB="0" distL="0" distR="0" wp14:anchorId="0C037917" wp14:editId="7C491C07">
            <wp:extent cx="5486400" cy="382016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. S1a.t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820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B3C" w:rsidRPr="00F33B3C" w:rsidRDefault="00F33B3C" w:rsidP="00F33B3C">
      <w:pPr>
        <w:jc w:val="both"/>
        <w:rPr>
          <w:rFonts w:asciiTheme="majorBidi" w:hAnsiTheme="majorBidi" w:cstheme="majorBidi"/>
          <w:sz w:val="24"/>
          <w:szCs w:val="24"/>
        </w:rPr>
      </w:pPr>
      <w:r w:rsidRPr="00F33B3C">
        <w:rPr>
          <w:rFonts w:asciiTheme="majorBidi" w:hAnsiTheme="majorBidi" w:cstheme="majorBidi"/>
          <w:b/>
          <w:bCs/>
          <w:sz w:val="24"/>
          <w:szCs w:val="24"/>
        </w:rPr>
        <w:t xml:space="preserve">Figure S1a </w:t>
      </w:r>
      <w:r>
        <w:rPr>
          <w:rFonts w:asciiTheme="majorBidi" w:hAnsiTheme="majorBidi" w:cstheme="majorBidi"/>
          <w:sz w:val="24"/>
          <w:szCs w:val="24"/>
        </w:rPr>
        <w:t>N</w:t>
      </w:r>
      <w:r w:rsidRPr="00F33B3C">
        <w:rPr>
          <w:rFonts w:asciiTheme="majorBidi" w:hAnsiTheme="majorBidi" w:cstheme="majorBidi"/>
          <w:sz w:val="24"/>
          <w:szCs w:val="24"/>
          <w:vertAlign w:val="subscript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 adsorption-desorption isotherms for 20Fe-Al-CP catalysts calcined at different temperatures</w:t>
      </w:r>
    </w:p>
    <w:p w:rsidR="00F33B3C" w:rsidRDefault="00F33B3C" w:rsidP="00F33B3C">
      <w:pPr>
        <w:jc w:val="center"/>
      </w:pPr>
      <w:r>
        <w:rPr>
          <w:noProof/>
        </w:rPr>
        <w:lastRenderedPageBreak/>
        <w:drawing>
          <wp:inline distT="0" distB="0" distL="0" distR="0">
            <wp:extent cx="5486400" cy="38176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. S1b.t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817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B3C" w:rsidRPr="00F33B3C" w:rsidRDefault="00F33B3C" w:rsidP="00F33B3C">
      <w:pPr>
        <w:jc w:val="both"/>
        <w:rPr>
          <w:rFonts w:asciiTheme="majorBidi" w:hAnsiTheme="majorBidi" w:cstheme="majorBidi"/>
          <w:sz w:val="24"/>
          <w:szCs w:val="24"/>
        </w:rPr>
      </w:pPr>
      <w:r w:rsidRPr="00F33B3C">
        <w:rPr>
          <w:rFonts w:asciiTheme="majorBidi" w:hAnsiTheme="majorBidi" w:cstheme="majorBidi"/>
          <w:b/>
          <w:bCs/>
          <w:sz w:val="24"/>
          <w:szCs w:val="24"/>
        </w:rPr>
        <w:t>Figure S1</w:t>
      </w:r>
      <w:r>
        <w:rPr>
          <w:rFonts w:asciiTheme="majorBidi" w:hAnsiTheme="majorBidi" w:cstheme="majorBidi"/>
          <w:b/>
          <w:bCs/>
          <w:sz w:val="24"/>
          <w:szCs w:val="24"/>
        </w:rPr>
        <w:t>b</w:t>
      </w:r>
      <w:r w:rsidRPr="00F33B3C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N</w:t>
      </w:r>
      <w:r w:rsidRPr="00F33B3C">
        <w:rPr>
          <w:rFonts w:asciiTheme="majorBidi" w:hAnsiTheme="majorBidi" w:cstheme="majorBidi"/>
          <w:sz w:val="24"/>
          <w:szCs w:val="24"/>
          <w:vertAlign w:val="subscript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 adsorption-desorption isotherms for 20Fe-Al-Imp catalysts calcined at different temperatures</w:t>
      </w:r>
    </w:p>
    <w:p w:rsidR="00F33B3C" w:rsidRDefault="00F33B3C" w:rsidP="00F33B3C">
      <w:pPr>
        <w:jc w:val="center"/>
      </w:pPr>
    </w:p>
    <w:p w:rsidR="00F33B3C" w:rsidRDefault="00DB325F" w:rsidP="00F33B3C">
      <w:pPr>
        <w:jc w:val="center"/>
      </w:pPr>
      <w:r>
        <w:rPr>
          <w:noProof/>
        </w:rPr>
        <w:lastRenderedPageBreak/>
        <w:drawing>
          <wp:inline distT="0" distB="0" distL="0" distR="0">
            <wp:extent cx="5486400" cy="3843020"/>
            <wp:effectExtent l="0" t="0" r="0" b="508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bon yield paper-CP.t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843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B3C" w:rsidRPr="00F33B3C" w:rsidRDefault="00F33B3C" w:rsidP="00F33B3C">
      <w:pPr>
        <w:jc w:val="both"/>
        <w:rPr>
          <w:rFonts w:asciiTheme="majorBidi" w:hAnsiTheme="majorBidi" w:cstheme="majorBidi"/>
          <w:sz w:val="24"/>
          <w:szCs w:val="24"/>
        </w:rPr>
      </w:pPr>
      <w:r w:rsidRPr="00F33B3C">
        <w:rPr>
          <w:rFonts w:asciiTheme="majorBidi" w:hAnsiTheme="majorBidi" w:cstheme="majorBidi"/>
          <w:b/>
          <w:bCs/>
          <w:sz w:val="24"/>
          <w:szCs w:val="24"/>
        </w:rPr>
        <w:t xml:space="preserve">Figure S1a </w:t>
      </w:r>
      <w:r>
        <w:rPr>
          <w:rFonts w:asciiTheme="majorBidi" w:hAnsiTheme="majorBidi" w:cstheme="majorBidi"/>
          <w:sz w:val="24"/>
          <w:szCs w:val="24"/>
        </w:rPr>
        <w:t>Carbon yield for 20Fe-Al-CP catalysts calcined at different temperatures</w:t>
      </w:r>
    </w:p>
    <w:p w:rsidR="00F33B3C" w:rsidRDefault="00F33B3C" w:rsidP="00F33B3C">
      <w:pPr>
        <w:jc w:val="center"/>
      </w:pPr>
    </w:p>
    <w:p w:rsidR="00F33B3C" w:rsidRDefault="00F33B3C" w:rsidP="00F33B3C">
      <w:pPr>
        <w:jc w:val="center"/>
      </w:pPr>
    </w:p>
    <w:p w:rsidR="00F33B3C" w:rsidRDefault="00DB325F" w:rsidP="00F33B3C">
      <w:pPr>
        <w:jc w:val="center"/>
      </w:pPr>
      <w:r>
        <w:rPr>
          <w:noProof/>
        </w:rPr>
        <w:lastRenderedPageBreak/>
        <w:drawing>
          <wp:inline distT="0" distB="0" distL="0" distR="0">
            <wp:extent cx="5486400" cy="3743960"/>
            <wp:effectExtent l="0" t="0" r="0" b="889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bon yield paper-imp.t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743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B3C" w:rsidRPr="00F33B3C" w:rsidRDefault="00F33B3C" w:rsidP="00DB325F">
      <w:pPr>
        <w:jc w:val="both"/>
        <w:rPr>
          <w:rFonts w:asciiTheme="majorBidi" w:hAnsiTheme="majorBidi" w:cstheme="majorBidi"/>
          <w:sz w:val="24"/>
          <w:szCs w:val="24"/>
        </w:rPr>
      </w:pPr>
      <w:r w:rsidRPr="00F33B3C">
        <w:rPr>
          <w:rFonts w:asciiTheme="majorBidi" w:hAnsiTheme="majorBidi" w:cstheme="majorBidi"/>
          <w:b/>
          <w:bCs/>
          <w:sz w:val="24"/>
          <w:szCs w:val="24"/>
        </w:rPr>
        <w:t>Figure S1</w:t>
      </w:r>
      <w:r w:rsidR="00DB325F">
        <w:rPr>
          <w:rFonts w:asciiTheme="majorBidi" w:hAnsiTheme="majorBidi" w:cstheme="majorBidi"/>
          <w:b/>
          <w:bCs/>
          <w:sz w:val="24"/>
          <w:szCs w:val="24"/>
        </w:rPr>
        <w:t>b</w:t>
      </w:r>
      <w:r w:rsidRPr="00F33B3C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Carbon yield for 20Fe-Al-Imp catalysts calcined at different temperatures</w:t>
      </w:r>
    </w:p>
    <w:p w:rsidR="00AD3E5E" w:rsidRDefault="00AD3E5E"/>
    <w:p w:rsidR="00F33B3C" w:rsidRDefault="00F33B3C" w:rsidP="00AD3E5E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:rsidR="00F33B3C" w:rsidRDefault="00F33B3C" w:rsidP="00AD3E5E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:rsidR="00F33B3C" w:rsidRDefault="00F33B3C" w:rsidP="00AD3E5E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:rsidR="00F33B3C" w:rsidRDefault="00F33B3C" w:rsidP="00AD3E5E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:rsidR="00F33B3C" w:rsidRDefault="00F33B3C" w:rsidP="00AD3E5E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:rsidR="00F33B3C" w:rsidRDefault="00F33B3C" w:rsidP="00AD3E5E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:rsidR="00F33B3C" w:rsidRDefault="00F33B3C" w:rsidP="00AD3E5E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:rsidR="00F33B3C" w:rsidRDefault="00F33B3C" w:rsidP="00AD3E5E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:rsidR="00F33B3C" w:rsidRDefault="00F33B3C" w:rsidP="00AD3E5E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:rsidR="00F33B3C" w:rsidRDefault="00F33B3C" w:rsidP="00AD3E5E">
      <w:pPr>
        <w:spacing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:rsidR="00AD3E5E" w:rsidRPr="00AD3E5E" w:rsidRDefault="00AD3E5E" w:rsidP="00AD3E5E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7525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  <w:lastRenderedPageBreak/>
        <w:t>Table</w:t>
      </w:r>
      <w:r w:rsidRPr="004E4FF1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Pr="00467525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  <w:t>S1</w:t>
      </w:r>
      <w:r w:rsidRPr="007E6755">
        <w:rPr>
          <w:rFonts w:ascii="Times New Roman" w:hAnsi="Times New Roman" w:cs="Times New Roman"/>
          <w:b/>
          <w:sz w:val="24"/>
          <w:szCs w:val="24"/>
        </w:rPr>
        <w:t>:</w:t>
      </w:r>
      <w:r w:rsidRPr="007E6755">
        <w:rPr>
          <w:rFonts w:ascii="Times New Roman" w:hAnsi="Times New Roman" w:cs="Times New Roman"/>
          <w:sz w:val="24"/>
          <w:szCs w:val="24"/>
        </w:rPr>
        <w:t xml:space="preserve"> Effect of calcination temperature on t</w:t>
      </w:r>
      <w:r w:rsidRPr="007E6755">
        <w:rPr>
          <w:rFonts w:ascii="Times New Roman" w:eastAsia="Calibri" w:hAnsi="Times New Roman" w:cs="Times New Roman"/>
          <w:sz w:val="24"/>
          <w:szCs w:val="24"/>
        </w:rPr>
        <w:t xml:space="preserve">extural properties </w:t>
      </w:r>
      <w:r>
        <w:rPr>
          <w:rFonts w:ascii="Times New Roman" w:eastAsia="Calibri" w:hAnsi="Times New Roman" w:cs="Times New Roman"/>
          <w:sz w:val="24"/>
          <w:szCs w:val="24"/>
        </w:rPr>
        <w:t xml:space="preserve">for </w:t>
      </w:r>
      <w:r w:rsidRPr="00DB325F">
        <w:rPr>
          <w:rFonts w:ascii="Times New Roman" w:eastAsia="Times New Roman" w:hAnsi="Times New Roman" w:cs="Times New Roman"/>
          <w:bCs/>
          <w:sz w:val="24"/>
          <w:szCs w:val="24"/>
        </w:rPr>
        <w:t xml:space="preserve">20 </w:t>
      </w:r>
      <w:proofErr w:type="spellStart"/>
      <w:r w:rsidRPr="00DB325F">
        <w:rPr>
          <w:rFonts w:ascii="Times New Roman" w:eastAsia="Times New Roman" w:hAnsi="Times New Roman" w:cs="Times New Roman"/>
          <w:bCs/>
          <w:sz w:val="24"/>
          <w:szCs w:val="24"/>
        </w:rPr>
        <w:t>wt</w:t>
      </w:r>
      <w:proofErr w:type="spellEnd"/>
      <w:r w:rsidRPr="00DB325F">
        <w:rPr>
          <w:rFonts w:ascii="Times New Roman" w:eastAsia="Times New Roman" w:hAnsi="Times New Roman" w:cs="Times New Roman"/>
          <w:bCs/>
          <w:sz w:val="24"/>
          <w:szCs w:val="24"/>
        </w:rPr>
        <w:t xml:space="preserve"> %Fe/</w:t>
      </w:r>
      <w:r w:rsidRPr="00DB325F">
        <w:rPr>
          <w:rFonts w:ascii="Times New Roman" w:eastAsia="Calibri" w:hAnsi="Times New Roman" w:cs="Times New Roman"/>
          <w:bCs/>
          <w:sz w:val="24"/>
          <w:szCs w:val="24"/>
        </w:rPr>
        <w:t>Al</w:t>
      </w:r>
      <w:r w:rsidRPr="00DB325F">
        <w:rPr>
          <w:rFonts w:ascii="Times New Roman" w:eastAsia="Calibri" w:hAnsi="Times New Roman" w:cs="Times New Roman"/>
          <w:bCs/>
          <w:sz w:val="24"/>
          <w:szCs w:val="24"/>
          <w:vertAlign w:val="subscript"/>
        </w:rPr>
        <w:t>2</w:t>
      </w:r>
      <w:r w:rsidRPr="00DB325F">
        <w:rPr>
          <w:rFonts w:ascii="Times New Roman" w:eastAsia="Calibri" w:hAnsi="Times New Roman" w:cs="Times New Roman"/>
          <w:bCs/>
          <w:sz w:val="24"/>
          <w:szCs w:val="24"/>
        </w:rPr>
        <w:t>O</w:t>
      </w:r>
      <w:r w:rsidRPr="00DB325F">
        <w:rPr>
          <w:rFonts w:ascii="Times New Roman" w:eastAsia="Calibri" w:hAnsi="Times New Roman" w:cs="Times New Roman"/>
          <w:bCs/>
          <w:sz w:val="24"/>
          <w:szCs w:val="24"/>
          <w:vertAlign w:val="subscript"/>
        </w:rPr>
        <w:t>3</w:t>
      </w:r>
      <w:r w:rsidRPr="007E6755">
        <w:rPr>
          <w:rFonts w:ascii="Times New Roman" w:eastAsia="Calibri" w:hAnsi="Times New Roman" w:cs="Times New Roman"/>
          <w:sz w:val="24"/>
          <w:szCs w:val="24"/>
        </w:rPr>
        <w:t xml:space="preserve"> supported catalysts.</w:t>
      </w:r>
    </w:p>
    <w:tbl>
      <w:tblPr>
        <w:tblW w:w="5343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49"/>
        <w:gridCol w:w="1561"/>
        <w:gridCol w:w="994"/>
        <w:gridCol w:w="1132"/>
        <w:gridCol w:w="848"/>
        <w:gridCol w:w="994"/>
        <w:gridCol w:w="1134"/>
        <w:gridCol w:w="852"/>
      </w:tblGrid>
      <w:tr w:rsidR="00314073" w:rsidRPr="00864A36" w:rsidTr="00314073">
        <w:trPr>
          <w:trHeight w:val="1194"/>
        </w:trPr>
        <w:tc>
          <w:tcPr>
            <w:tcW w:w="1030" w:type="pct"/>
            <w:tcBorders>
              <w:bottom w:val="thickThinSmallGap" w:sz="24" w:space="0" w:color="auto"/>
            </w:tcBorders>
            <w:shd w:val="clear" w:color="auto" w:fill="auto"/>
            <w:noWrap/>
            <w:vAlign w:val="center"/>
            <w:hideMark/>
          </w:tcPr>
          <w:p w:rsidR="00314073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Catalyst preparation </w:t>
            </w:r>
          </w:p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method</w:t>
            </w:r>
          </w:p>
        </w:tc>
        <w:tc>
          <w:tcPr>
            <w:tcW w:w="825" w:type="pct"/>
            <w:tcBorders>
              <w:bottom w:val="thickThinSmallGap" w:sz="24" w:space="0" w:color="auto"/>
            </w:tcBorders>
            <w:shd w:val="clear" w:color="auto" w:fill="auto"/>
            <w:noWrap/>
            <w:vAlign w:val="center"/>
            <w:hideMark/>
          </w:tcPr>
          <w:p w:rsidR="00314073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E675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Cal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cination</w:t>
            </w:r>
            <w:r w:rsidRPr="007E675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Temp. </w:t>
            </w:r>
          </w:p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E675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(°C)</w:t>
            </w:r>
          </w:p>
        </w:tc>
        <w:tc>
          <w:tcPr>
            <w:tcW w:w="525" w:type="pct"/>
            <w:tcBorders>
              <w:bottom w:val="thickThinSmallGap" w:sz="24" w:space="0" w:color="auto"/>
            </w:tcBorders>
            <w:shd w:val="clear" w:color="auto" w:fill="auto"/>
            <w:vAlign w:val="center"/>
            <w:hideMark/>
          </w:tcPr>
          <w:p w:rsidR="00314073" w:rsidRPr="007353D5" w:rsidRDefault="00314073" w:rsidP="003E4E3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</w:rPr>
            </w:pPr>
            <w:r w:rsidRPr="007353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</w:t>
            </w:r>
            <w:r w:rsidRPr="007353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</w:rPr>
              <w:t>BET</w:t>
            </w:r>
          </w:p>
          <w:p w:rsidR="00314073" w:rsidRPr="007353D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353D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(m</w:t>
            </w:r>
            <w:r w:rsidRPr="007353D5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  <w:r w:rsidRPr="007353D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/g)</w:t>
            </w:r>
            <w:r w:rsidRPr="00314073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598" w:type="pct"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:rsidR="00314073" w:rsidRPr="007353D5" w:rsidRDefault="00314073" w:rsidP="003E4E3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</w:rPr>
            </w:pPr>
            <w:r w:rsidRPr="007353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P.V</w:t>
            </w:r>
          </w:p>
          <w:p w:rsidR="00314073" w:rsidRPr="007353D5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353D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(Cm</w:t>
            </w:r>
            <w:r w:rsidRPr="007353D5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3</w:t>
            </w:r>
            <w:r w:rsidRPr="007353D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/g)</w:t>
            </w:r>
            <w:r w:rsidRPr="00314073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448" w:type="pct"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14073">
            <w:pPr>
              <w:spacing w:after="0" w:line="480" w:lineRule="auto"/>
              <w:ind w:right="-4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P.D (nm)</w:t>
            </w:r>
            <w:r w:rsidRPr="00314073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525" w:type="pct"/>
            <w:tcBorders>
              <w:bottom w:val="thickThinSmallGap" w:sz="24" w:space="0" w:color="auto"/>
            </w:tcBorders>
            <w:vAlign w:val="center"/>
          </w:tcPr>
          <w:p w:rsidR="00314073" w:rsidRPr="007353D5" w:rsidRDefault="00314073" w:rsidP="000841F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</w:rPr>
            </w:pPr>
            <w:r w:rsidRPr="007353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</w:t>
            </w:r>
            <w:r w:rsidRPr="007353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</w:rPr>
              <w:t>BET</w:t>
            </w:r>
          </w:p>
          <w:p w:rsidR="00314073" w:rsidRPr="007353D5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353D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(m</w:t>
            </w:r>
            <w:r w:rsidRPr="007353D5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  <w:r w:rsidRPr="007353D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/g)</w:t>
            </w:r>
            <w:r w:rsidRPr="00314073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b</w:t>
            </w:r>
          </w:p>
        </w:tc>
        <w:tc>
          <w:tcPr>
            <w:tcW w:w="599" w:type="pct"/>
            <w:tcBorders>
              <w:bottom w:val="thickThinSmallGap" w:sz="24" w:space="0" w:color="auto"/>
            </w:tcBorders>
            <w:vAlign w:val="center"/>
          </w:tcPr>
          <w:p w:rsidR="00314073" w:rsidRPr="007353D5" w:rsidRDefault="00314073" w:rsidP="0031407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</w:rPr>
            </w:pPr>
            <w:r w:rsidRPr="007353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P.V</w:t>
            </w:r>
          </w:p>
          <w:p w:rsidR="00314073" w:rsidRPr="007353D5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353D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(Cm</w:t>
            </w:r>
            <w:r w:rsidRPr="007353D5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/g)</w:t>
            </w:r>
            <w:r w:rsidRPr="00314073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b</w:t>
            </w:r>
          </w:p>
        </w:tc>
        <w:tc>
          <w:tcPr>
            <w:tcW w:w="450" w:type="pct"/>
            <w:tcBorders>
              <w:bottom w:val="thickThinSmallGap" w:sz="24" w:space="0" w:color="auto"/>
            </w:tcBorders>
            <w:vAlign w:val="center"/>
          </w:tcPr>
          <w:p w:rsidR="00314073" w:rsidRPr="007E6755" w:rsidRDefault="00314073" w:rsidP="00314073">
            <w:pPr>
              <w:spacing w:after="0" w:line="480" w:lineRule="auto"/>
              <w:ind w:right="-4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P.D (nm)</w:t>
            </w:r>
            <w:r w:rsidRPr="00314073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b</w:t>
            </w:r>
          </w:p>
        </w:tc>
      </w:tr>
      <w:tr w:rsidR="00314073" w:rsidRPr="00864A36" w:rsidTr="00314073">
        <w:trPr>
          <w:trHeight w:val="720"/>
        </w:trPr>
        <w:tc>
          <w:tcPr>
            <w:tcW w:w="1030" w:type="pct"/>
            <w:vMerge w:val="restart"/>
            <w:tcBorders>
              <w:top w:val="thickThinSmallGap" w:sz="24" w:space="0" w:color="auto"/>
              <w:bottom w:val="thickThinSmallGap" w:sz="24" w:space="0" w:color="auto"/>
            </w:tcBorders>
            <w:shd w:val="clear" w:color="auto" w:fill="auto"/>
            <w:noWrap/>
            <w:vAlign w:val="center"/>
            <w:hideMark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4A36">
              <w:rPr>
                <w:rFonts w:ascii="Times New Roman" w:hAnsi="Times New Roman" w:cs="Times New Roman"/>
                <w:color w:val="000000"/>
                <w:sz w:val="24"/>
              </w:rPr>
              <w:t>Co-precipitation</w:t>
            </w:r>
          </w:p>
        </w:tc>
        <w:tc>
          <w:tcPr>
            <w:tcW w:w="825" w:type="pct"/>
            <w:tcBorders>
              <w:top w:val="thickThinSmallGap" w:sz="24" w:space="0" w:color="auto"/>
            </w:tcBorders>
            <w:shd w:val="clear" w:color="auto" w:fill="auto"/>
            <w:noWrap/>
            <w:vAlign w:val="center"/>
            <w:hideMark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  <w:r w:rsidRPr="007E675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25" w:type="pct"/>
            <w:tcBorders>
              <w:top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301.9</w:t>
            </w:r>
          </w:p>
        </w:tc>
        <w:tc>
          <w:tcPr>
            <w:tcW w:w="598" w:type="pct"/>
            <w:tcBorders>
              <w:top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0.20</w:t>
            </w:r>
          </w:p>
        </w:tc>
        <w:tc>
          <w:tcPr>
            <w:tcW w:w="448" w:type="pct"/>
            <w:tcBorders>
              <w:top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525" w:type="pct"/>
            <w:tcBorders>
              <w:top w:val="thickThinSmallGap" w:sz="24" w:space="0" w:color="auto"/>
            </w:tcBorders>
            <w:vAlign w:val="center"/>
          </w:tcPr>
          <w:p w:rsidR="00314073" w:rsidRDefault="00EC4668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150.2</w:t>
            </w:r>
          </w:p>
        </w:tc>
        <w:tc>
          <w:tcPr>
            <w:tcW w:w="599" w:type="pct"/>
            <w:tcBorders>
              <w:top w:val="thickThinSmallGap" w:sz="24" w:space="0" w:color="auto"/>
            </w:tcBorders>
            <w:vAlign w:val="center"/>
          </w:tcPr>
          <w:p w:rsidR="00314073" w:rsidRDefault="00EC4668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0.6556</w:t>
            </w:r>
          </w:p>
        </w:tc>
        <w:tc>
          <w:tcPr>
            <w:tcW w:w="450" w:type="pct"/>
            <w:tcBorders>
              <w:top w:val="thickThinSmallGap" w:sz="24" w:space="0" w:color="auto"/>
            </w:tcBorders>
            <w:vAlign w:val="center"/>
          </w:tcPr>
          <w:p w:rsidR="00314073" w:rsidRDefault="00EC4668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18.2</w:t>
            </w:r>
          </w:p>
        </w:tc>
      </w:tr>
      <w:tr w:rsidR="00314073" w:rsidRPr="00864A36" w:rsidTr="00314073">
        <w:trPr>
          <w:trHeight w:val="817"/>
        </w:trPr>
        <w:tc>
          <w:tcPr>
            <w:tcW w:w="1030" w:type="pct"/>
            <w:vMerge/>
            <w:tcBorders>
              <w:bottom w:val="thickThinSmallGap" w:sz="24" w:space="0" w:color="auto"/>
            </w:tcBorders>
            <w:shd w:val="clear" w:color="auto" w:fill="auto"/>
            <w:noWrap/>
            <w:vAlign w:val="center"/>
            <w:hideMark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5" w:type="pct"/>
            <w:tcBorders>
              <w:bottom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  <w:r w:rsidRPr="007E675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25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245.6</w:t>
            </w:r>
          </w:p>
        </w:tc>
        <w:tc>
          <w:tcPr>
            <w:tcW w:w="598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0.26</w:t>
            </w:r>
          </w:p>
        </w:tc>
        <w:tc>
          <w:tcPr>
            <w:tcW w:w="448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3.9</w:t>
            </w:r>
          </w:p>
        </w:tc>
        <w:tc>
          <w:tcPr>
            <w:tcW w:w="525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120.1</w:t>
            </w:r>
          </w:p>
        </w:tc>
        <w:tc>
          <w:tcPr>
            <w:tcW w:w="599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0.1409</w:t>
            </w:r>
          </w:p>
        </w:tc>
        <w:tc>
          <w:tcPr>
            <w:tcW w:w="450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6.0</w:t>
            </w:r>
          </w:p>
        </w:tc>
      </w:tr>
      <w:tr w:rsidR="00314073" w:rsidRPr="00864A36" w:rsidTr="00314073">
        <w:trPr>
          <w:trHeight w:val="817"/>
        </w:trPr>
        <w:tc>
          <w:tcPr>
            <w:tcW w:w="1030" w:type="pct"/>
            <w:vMerge/>
            <w:tcBorders>
              <w:bottom w:val="thickThinSmallGap" w:sz="24" w:space="0" w:color="auto"/>
            </w:tcBorders>
            <w:shd w:val="clear" w:color="auto" w:fill="auto"/>
            <w:noWrap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5" w:type="pct"/>
            <w:tcBorders>
              <w:bottom w:val="double" w:sz="4" w:space="0" w:color="auto"/>
            </w:tcBorders>
            <w:shd w:val="clear" w:color="auto" w:fill="auto"/>
            <w:noWrap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500 </w:t>
            </w:r>
          </w:p>
        </w:tc>
        <w:tc>
          <w:tcPr>
            <w:tcW w:w="525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237.0</w:t>
            </w:r>
          </w:p>
        </w:tc>
        <w:tc>
          <w:tcPr>
            <w:tcW w:w="598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0.27</w:t>
            </w:r>
          </w:p>
        </w:tc>
        <w:tc>
          <w:tcPr>
            <w:tcW w:w="448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525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188.5</w:t>
            </w:r>
          </w:p>
        </w:tc>
        <w:tc>
          <w:tcPr>
            <w:tcW w:w="599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0.7669</w:t>
            </w:r>
          </w:p>
        </w:tc>
        <w:tc>
          <w:tcPr>
            <w:tcW w:w="450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16.7</w:t>
            </w:r>
          </w:p>
        </w:tc>
      </w:tr>
      <w:tr w:rsidR="00314073" w:rsidRPr="00864A36" w:rsidTr="00314073">
        <w:trPr>
          <w:trHeight w:val="817"/>
        </w:trPr>
        <w:tc>
          <w:tcPr>
            <w:tcW w:w="1030" w:type="pct"/>
            <w:vMerge/>
            <w:tcBorders>
              <w:bottom w:val="thickThinSmallGap" w:sz="24" w:space="0" w:color="auto"/>
            </w:tcBorders>
            <w:shd w:val="clear" w:color="auto" w:fill="auto"/>
            <w:noWrap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5" w:type="pct"/>
            <w:tcBorders>
              <w:bottom w:val="thickThinSmallGap" w:sz="24" w:space="0" w:color="auto"/>
            </w:tcBorders>
            <w:shd w:val="clear" w:color="auto" w:fill="auto"/>
            <w:noWrap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  <w:r w:rsidRPr="007E675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25" w:type="pct"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104.1</w:t>
            </w:r>
          </w:p>
        </w:tc>
        <w:tc>
          <w:tcPr>
            <w:tcW w:w="598" w:type="pct"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0.31</w:t>
            </w:r>
          </w:p>
        </w:tc>
        <w:tc>
          <w:tcPr>
            <w:tcW w:w="448" w:type="pct"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11.0</w:t>
            </w:r>
          </w:p>
        </w:tc>
        <w:tc>
          <w:tcPr>
            <w:tcW w:w="525" w:type="pct"/>
            <w:tcBorders>
              <w:bottom w:val="thickThinSmallGap" w:sz="24" w:space="0" w:color="auto"/>
            </w:tcBorders>
            <w:vAlign w:val="center"/>
          </w:tcPr>
          <w:p w:rsidR="00314073" w:rsidRDefault="00314073" w:rsidP="002D5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2D5AA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5.8</w:t>
            </w:r>
          </w:p>
        </w:tc>
        <w:tc>
          <w:tcPr>
            <w:tcW w:w="599" w:type="pct"/>
            <w:tcBorders>
              <w:bottom w:val="thickThinSmallGap" w:sz="2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0.2817</w:t>
            </w:r>
          </w:p>
        </w:tc>
        <w:tc>
          <w:tcPr>
            <w:tcW w:w="450" w:type="pct"/>
            <w:tcBorders>
              <w:bottom w:val="thickThinSmallGap" w:sz="2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11.2</w:t>
            </w:r>
          </w:p>
        </w:tc>
      </w:tr>
      <w:tr w:rsidR="00314073" w:rsidRPr="00864A36" w:rsidTr="00314073">
        <w:trPr>
          <w:trHeight w:val="817"/>
        </w:trPr>
        <w:tc>
          <w:tcPr>
            <w:tcW w:w="1030" w:type="pct"/>
            <w:vMerge w:val="restart"/>
            <w:tcBorders>
              <w:top w:val="thickThinSmallGap" w:sz="24" w:space="0" w:color="auto"/>
              <w:bottom w:val="thickThinSmallGap" w:sz="24" w:space="0" w:color="auto"/>
            </w:tcBorders>
            <w:shd w:val="clear" w:color="auto" w:fill="auto"/>
            <w:noWrap/>
            <w:vAlign w:val="center"/>
            <w:hideMark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4A36">
              <w:rPr>
                <w:rFonts w:ascii="Times New Roman" w:hAnsi="Times New Roman" w:cs="Times New Roman"/>
                <w:color w:val="000000"/>
                <w:sz w:val="24"/>
              </w:rPr>
              <w:t xml:space="preserve">Impregnation </w:t>
            </w:r>
          </w:p>
        </w:tc>
        <w:tc>
          <w:tcPr>
            <w:tcW w:w="825" w:type="pct"/>
            <w:tcBorders>
              <w:top w:val="thickThinSmallGap" w:sz="24" w:space="0" w:color="auto"/>
            </w:tcBorders>
            <w:shd w:val="clear" w:color="auto" w:fill="auto"/>
            <w:noWrap/>
            <w:vAlign w:val="center"/>
            <w:hideMark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  <w:r w:rsidRPr="007E675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25" w:type="pct"/>
            <w:tcBorders>
              <w:top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209.4</w:t>
            </w:r>
          </w:p>
        </w:tc>
        <w:tc>
          <w:tcPr>
            <w:tcW w:w="598" w:type="pct"/>
            <w:tcBorders>
              <w:top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0.38</w:t>
            </w:r>
          </w:p>
        </w:tc>
        <w:tc>
          <w:tcPr>
            <w:tcW w:w="448" w:type="pct"/>
            <w:tcBorders>
              <w:top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6.8</w:t>
            </w:r>
          </w:p>
        </w:tc>
        <w:tc>
          <w:tcPr>
            <w:tcW w:w="525" w:type="pct"/>
            <w:tcBorders>
              <w:top w:val="thickThinSmallGap" w:sz="24" w:space="0" w:color="auto"/>
            </w:tcBorders>
            <w:vAlign w:val="center"/>
          </w:tcPr>
          <w:p w:rsidR="00314073" w:rsidRDefault="00EC4668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177.5</w:t>
            </w:r>
          </w:p>
        </w:tc>
        <w:tc>
          <w:tcPr>
            <w:tcW w:w="599" w:type="pct"/>
            <w:tcBorders>
              <w:top w:val="thickThinSmallGap" w:sz="24" w:space="0" w:color="auto"/>
            </w:tcBorders>
            <w:vAlign w:val="center"/>
          </w:tcPr>
          <w:p w:rsidR="00314073" w:rsidRDefault="00EC4668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0.7112</w:t>
            </w:r>
          </w:p>
        </w:tc>
        <w:tc>
          <w:tcPr>
            <w:tcW w:w="450" w:type="pct"/>
            <w:tcBorders>
              <w:top w:val="thickThinSmallGap" w:sz="24" w:space="0" w:color="auto"/>
            </w:tcBorders>
            <w:vAlign w:val="center"/>
          </w:tcPr>
          <w:p w:rsidR="00314073" w:rsidRDefault="00EC4668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16.5</w:t>
            </w:r>
          </w:p>
        </w:tc>
      </w:tr>
      <w:tr w:rsidR="00314073" w:rsidRPr="00864A36" w:rsidTr="00314073">
        <w:trPr>
          <w:trHeight w:val="817"/>
        </w:trPr>
        <w:tc>
          <w:tcPr>
            <w:tcW w:w="1030" w:type="pct"/>
            <w:vMerge/>
            <w:tcBorders>
              <w:bottom w:val="thickThinSmallGap" w:sz="24" w:space="0" w:color="auto"/>
            </w:tcBorders>
            <w:shd w:val="clear" w:color="auto" w:fill="auto"/>
            <w:noWrap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pct"/>
            <w:tcBorders>
              <w:bottom w:val="double" w:sz="4" w:space="0" w:color="auto"/>
            </w:tcBorders>
            <w:shd w:val="clear" w:color="auto" w:fill="auto"/>
            <w:noWrap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  <w:r w:rsidRPr="007E675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25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178.2</w:t>
            </w:r>
          </w:p>
        </w:tc>
        <w:tc>
          <w:tcPr>
            <w:tcW w:w="598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0.44</w:t>
            </w:r>
          </w:p>
        </w:tc>
        <w:tc>
          <w:tcPr>
            <w:tcW w:w="448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8.9</w:t>
            </w:r>
          </w:p>
        </w:tc>
        <w:tc>
          <w:tcPr>
            <w:tcW w:w="525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131.0</w:t>
            </w:r>
          </w:p>
        </w:tc>
        <w:tc>
          <w:tcPr>
            <w:tcW w:w="599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0.5901</w:t>
            </w:r>
          </w:p>
        </w:tc>
        <w:tc>
          <w:tcPr>
            <w:tcW w:w="450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17.9</w:t>
            </w:r>
          </w:p>
        </w:tc>
      </w:tr>
      <w:tr w:rsidR="00314073" w:rsidRPr="00864A36" w:rsidTr="00314073">
        <w:trPr>
          <w:trHeight w:val="817"/>
        </w:trPr>
        <w:tc>
          <w:tcPr>
            <w:tcW w:w="1030" w:type="pct"/>
            <w:vMerge/>
            <w:tcBorders>
              <w:bottom w:val="thickThinSmallGap" w:sz="24" w:space="0" w:color="auto"/>
            </w:tcBorders>
            <w:shd w:val="clear" w:color="auto" w:fill="auto"/>
            <w:noWrap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pct"/>
            <w:tcBorders>
              <w:bottom w:val="double" w:sz="4" w:space="0" w:color="auto"/>
            </w:tcBorders>
            <w:shd w:val="clear" w:color="auto" w:fill="auto"/>
            <w:noWrap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500 </w:t>
            </w:r>
          </w:p>
        </w:tc>
        <w:tc>
          <w:tcPr>
            <w:tcW w:w="525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155.5</w:t>
            </w:r>
          </w:p>
        </w:tc>
        <w:tc>
          <w:tcPr>
            <w:tcW w:w="598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0.37</w:t>
            </w:r>
          </w:p>
        </w:tc>
        <w:tc>
          <w:tcPr>
            <w:tcW w:w="448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8.7</w:t>
            </w:r>
          </w:p>
        </w:tc>
        <w:tc>
          <w:tcPr>
            <w:tcW w:w="525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126.5</w:t>
            </w:r>
          </w:p>
        </w:tc>
        <w:tc>
          <w:tcPr>
            <w:tcW w:w="599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0.5566</w:t>
            </w:r>
          </w:p>
        </w:tc>
        <w:tc>
          <w:tcPr>
            <w:tcW w:w="450" w:type="pct"/>
            <w:tcBorders>
              <w:bottom w:val="double" w:sz="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17.6</w:t>
            </w:r>
          </w:p>
        </w:tc>
      </w:tr>
      <w:tr w:rsidR="00314073" w:rsidRPr="00864A36" w:rsidTr="00314073">
        <w:trPr>
          <w:trHeight w:val="817"/>
        </w:trPr>
        <w:tc>
          <w:tcPr>
            <w:tcW w:w="1030" w:type="pct"/>
            <w:vMerge/>
            <w:tcBorders>
              <w:bottom w:val="thickThinSmallGap" w:sz="24" w:space="0" w:color="auto"/>
            </w:tcBorders>
            <w:shd w:val="clear" w:color="auto" w:fill="auto"/>
            <w:noWrap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pct"/>
            <w:tcBorders>
              <w:bottom w:val="thickThinSmallGap" w:sz="24" w:space="0" w:color="auto"/>
            </w:tcBorders>
            <w:shd w:val="clear" w:color="auto" w:fill="auto"/>
            <w:noWrap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  <w:r w:rsidRPr="007E675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25" w:type="pct"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93.5</w:t>
            </w:r>
          </w:p>
        </w:tc>
        <w:tc>
          <w:tcPr>
            <w:tcW w:w="598" w:type="pct"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0.35</w:t>
            </w:r>
          </w:p>
        </w:tc>
        <w:tc>
          <w:tcPr>
            <w:tcW w:w="448" w:type="pct"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:rsidR="00314073" w:rsidRPr="007E6755" w:rsidRDefault="00314073" w:rsidP="003E4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13.8</w:t>
            </w:r>
          </w:p>
        </w:tc>
        <w:tc>
          <w:tcPr>
            <w:tcW w:w="525" w:type="pct"/>
            <w:tcBorders>
              <w:bottom w:val="thickThinSmallGap" w:sz="2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122.6</w:t>
            </w:r>
          </w:p>
        </w:tc>
        <w:tc>
          <w:tcPr>
            <w:tcW w:w="599" w:type="pct"/>
            <w:tcBorders>
              <w:bottom w:val="thickThinSmallGap" w:sz="2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0.5990</w:t>
            </w:r>
          </w:p>
        </w:tc>
        <w:tc>
          <w:tcPr>
            <w:tcW w:w="450" w:type="pct"/>
            <w:tcBorders>
              <w:bottom w:val="thickThinSmallGap" w:sz="24" w:space="0" w:color="auto"/>
            </w:tcBorders>
            <w:vAlign w:val="center"/>
          </w:tcPr>
          <w:p w:rsidR="00314073" w:rsidRDefault="00314073" w:rsidP="00314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19.8</w:t>
            </w:r>
          </w:p>
        </w:tc>
      </w:tr>
    </w:tbl>
    <w:p w:rsidR="00AD3E5E" w:rsidRPr="00314073" w:rsidRDefault="00314073">
      <w:pPr>
        <w:rPr>
          <w:rFonts w:asciiTheme="majorBidi" w:hAnsiTheme="majorBidi" w:cstheme="majorBidi"/>
          <w:sz w:val="20"/>
          <w:szCs w:val="20"/>
        </w:rPr>
      </w:pPr>
      <w:proofErr w:type="gramStart"/>
      <w:r w:rsidRPr="00314073">
        <w:rPr>
          <w:rFonts w:asciiTheme="majorBidi" w:hAnsiTheme="majorBidi" w:cstheme="majorBidi"/>
          <w:sz w:val="20"/>
          <w:szCs w:val="20"/>
        </w:rPr>
        <w:t>a</w:t>
      </w:r>
      <w:proofErr w:type="gramEnd"/>
      <w:r w:rsidRPr="00314073">
        <w:rPr>
          <w:rFonts w:asciiTheme="majorBidi" w:hAnsiTheme="majorBidi" w:cstheme="majorBidi"/>
          <w:sz w:val="20"/>
          <w:szCs w:val="20"/>
        </w:rPr>
        <w:t>: Textural properties for 20Fe-Al catalysts before reaction; b: Textural properties for 20Fe-Al catalysts after reaction</w:t>
      </w:r>
      <w:r>
        <w:rPr>
          <w:rFonts w:asciiTheme="majorBidi" w:hAnsiTheme="majorBidi" w:cstheme="majorBidi"/>
          <w:sz w:val="20"/>
          <w:szCs w:val="20"/>
        </w:rPr>
        <w:t>.</w:t>
      </w:r>
    </w:p>
    <w:sectPr w:rsidR="00AD3E5E" w:rsidRPr="0031407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E5E"/>
    <w:rsid w:val="00143E73"/>
    <w:rsid w:val="001C2575"/>
    <w:rsid w:val="002D5AA3"/>
    <w:rsid w:val="002F12A9"/>
    <w:rsid w:val="00314073"/>
    <w:rsid w:val="00AD3E5E"/>
    <w:rsid w:val="00C47C10"/>
    <w:rsid w:val="00DB325F"/>
    <w:rsid w:val="00E81326"/>
    <w:rsid w:val="00EC4668"/>
    <w:rsid w:val="00F33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3E5E"/>
    <w:pPr>
      <w:spacing w:after="160" w:line="259" w:lineRule="auto"/>
    </w:pPr>
    <w:rPr>
      <w:rFonts w:ascii="Calibri" w:eastAsia="MS Mincho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3B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B3C"/>
    <w:rPr>
      <w:rFonts w:ascii="Tahoma" w:eastAsia="MS Mincho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3E5E"/>
    <w:pPr>
      <w:spacing w:after="160" w:line="259" w:lineRule="auto"/>
    </w:pPr>
    <w:rPr>
      <w:rFonts w:ascii="Calibri" w:eastAsia="MS Mincho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3B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B3C"/>
    <w:rPr>
      <w:rFonts w:ascii="Tahoma" w:eastAsia="MS Mincho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"/><Relationship Id="rId3" Type="http://schemas.openxmlformats.org/officeDocument/2006/relationships/settings" Target="settings.xml"/><Relationship Id="rId7" Type="http://schemas.openxmlformats.org/officeDocument/2006/relationships/image" Target="media/image3.t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"/><Relationship Id="rId5" Type="http://schemas.openxmlformats.org/officeDocument/2006/relationships/image" Target="media/image1.t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 Saud University</Company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2016-04-05T07:09:00Z</dcterms:created>
  <dcterms:modified xsi:type="dcterms:W3CDTF">2016-04-14T08:49:00Z</dcterms:modified>
</cp:coreProperties>
</file>