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9FC7B" w14:textId="77777777" w:rsidR="00B33BC6" w:rsidRDefault="000D4533" w:rsidP="008652CF">
      <w:pPr>
        <w:tabs>
          <w:tab w:val="left" w:pos="-879"/>
          <w:tab w:val="left" w:pos="3544"/>
        </w:tabs>
        <w:spacing w:line="480" w:lineRule="auto"/>
        <w:jc w:val="center"/>
        <w:rPr>
          <w:rFonts w:cs="Times New Roman"/>
          <w:b/>
          <w:szCs w:val="28"/>
        </w:rPr>
      </w:pPr>
      <w:r w:rsidRPr="000D4533">
        <w:rPr>
          <w:rFonts w:cs="Times New Roman"/>
          <w:b/>
          <w:szCs w:val="28"/>
        </w:rPr>
        <w:t>SUPPLEMENTARY FILE</w:t>
      </w:r>
    </w:p>
    <w:p w14:paraId="3767C1CB" w14:textId="77777777" w:rsidR="008652CF" w:rsidRDefault="008652CF" w:rsidP="008652CF">
      <w:pPr>
        <w:tabs>
          <w:tab w:val="left" w:pos="-879"/>
          <w:tab w:val="left" w:pos="3544"/>
        </w:tabs>
        <w:spacing w:line="480" w:lineRule="auto"/>
        <w:jc w:val="center"/>
        <w:rPr>
          <w:rFonts w:cs="Times New Roman"/>
          <w:b/>
          <w:szCs w:val="28"/>
        </w:rPr>
      </w:pPr>
    </w:p>
    <w:p w14:paraId="22824AAF" w14:textId="77777777" w:rsidR="008652CF" w:rsidRPr="000D4533" w:rsidRDefault="008652CF" w:rsidP="008652CF">
      <w:pPr>
        <w:tabs>
          <w:tab w:val="left" w:pos="-879"/>
          <w:tab w:val="left" w:pos="3544"/>
        </w:tabs>
        <w:spacing w:line="480" w:lineRule="auto"/>
        <w:jc w:val="center"/>
        <w:rPr>
          <w:rFonts w:cs="Times New Roman"/>
          <w:b/>
          <w:szCs w:val="28"/>
        </w:rPr>
      </w:pPr>
      <w:r>
        <w:rPr>
          <w:rFonts w:cs="Times New Roman"/>
          <w:b/>
          <w:szCs w:val="28"/>
        </w:rPr>
        <w:t>Dispersion Test of GO in Polar and Non-polar solvent</w:t>
      </w:r>
    </w:p>
    <w:p w14:paraId="7B77EF6A" w14:textId="77777777" w:rsidR="00B33BC6" w:rsidRDefault="00B33BC6" w:rsidP="00B33BC6">
      <w:pPr>
        <w:pStyle w:val="ListParagraph"/>
        <w:spacing w:line="480" w:lineRule="auto"/>
        <w:ind w:left="0"/>
        <w:jc w:val="center"/>
        <w:rPr>
          <w:szCs w:val="24"/>
          <w:lang w:val="en-GB"/>
        </w:rPr>
      </w:pPr>
      <w:r w:rsidRPr="000A4568">
        <w:rPr>
          <w:noProof/>
          <w:szCs w:val="24"/>
          <w:lang w:val="en-GB" w:eastAsia="en-GB"/>
        </w:rPr>
        <w:drawing>
          <wp:inline distT="0" distB="0" distL="0" distR="0" wp14:anchorId="48408875" wp14:editId="6EBFC76B">
            <wp:extent cx="1456055" cy="227536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 b="3573"/>
                    <a:stretch/>
                  </pic:blipFill>
                  <pic:spPr bwMode="auto">
                    <a:xfrm>
                      <a:off x="0" y="0"/>
                      <a:ext cx="1462708" cy="228576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p>
    <w:p w14:paraId="4328BF87" w14:textId="77777777" w:rsidR="00B33BC6" w:rsidRDefault="00B33BC6" w:rsidP="00B33BC6">
      <w:pPr>
        <w:pStyle w:val="ListParagraph"/>
        <w:spacing w:line="480" w:lineRule="auto"/>
        <w:ind w:left="0"/>
        <w:rPr>
          <w:szCs w:val="24"/>
          <w:lang w:val="en-GB"/>
        </w:rPr>
      </w:pPr>
      <w:r>
        <w:rPr>
          <w:b/>
          <w:color w:val="0070C0"/>
          <w:szCs w:val="24"/>
          <w:lang w:val="en-GB"/>
        </w:rPr>
        <w:t>Figure</w:t>
      </w:r>
      <w:r w:rsidRPr="00BD315E">
        <w:rPr>
          <w:b/>
          <w:color w:val="0070C0"/>
          <w:szCs w:val="24"/>
          <w:lang w:val="en-GB"/>
        </w:rPr>
        <w:t xml:space="preserve"> </w:t>
      </w:r>
      <w:r w:rsidR="008652CF">
        <w:rPr>
          <w:b/>
          <w:color w:val="0070C0"/>
          <w:szCs w:val="24"/>
          <w:lang w:val="en-GB"/>
        </w:rPr>
        <w:t>S</w:t>
      </w:r>
      <w:r w:rsidRPr="00BD315E">
        <w:rPr>
          <w:b/>
          <w:color w:val="0070C0"/>
          <w:szCs w:val="24"/>
          <w:lang w:val="en-GB"/>
        </w:rPr>
        <w:t>1</w:t>
      </w:r>
      <w:r>
        <w:rPr>
          <w:b/>
          <w:color w:val="0070C0"/>
          <w:szCs w:val="24"/>
          <w:lang w:val="en-GB"/>
        </w:rPr>
        <w:t>.</w:t>
      </w:r>
      <w:r w:rsidRPr="00421326">
        <w:rPr>
          <w:color w:val="0070C0"/>
          <w:szCs w:val="24"/>
          <w:lang w:val="en-GB"/>
        </w:rPr>
        <w:t xml:space="preserve"> </w:t>
      </w:r>
      <w:r w:rsidRPr="00077CB2">
        <w:rPr>
          <w:szCs w:val="24"/>
          <w:lang w:val="en-GB"/>
        </w:rPr>
        <w:t xml:space="preserve">Comparison between the </w:t>
      </w:r>
      <w:r>
        <w:rPr>
          <w:szCs w:val="24"/>
          <w:lang w:val="en-GB"/>
        </w:rPr>
        <w:t xml:space="preserve">dispersion of 0.05 w/v% GO in water (polar) and </w:t>
      </w:r>
      <w:r w:rsidRPr="00421326">
        <w:rPr>
          <w:i/>
          <w:szCs w:val="24"/>
          <w:lang w:val="en-GB"/>
        </w:rPr>
        <w:t>n</w:t>
      </w:r>
      <w:r>
        <w:rPr>
          <w:szCs w:val="24"/>
          <w:lang w:val="en-GB"/>
        </w:rPr>
        <w:t xml:space="preserve">-hexane (non-polar) after 30-min ultrasonication. GO dispersed well in aqueous solution whereas it settled to the bottom of organic solvent very fast. </w:t>
      </w:r>
    </w:p>
    <w:p w14:paraId="0D486800" w14:textId="77777777" w:rsidR="00B33BC6" w:rsidRDefault="00B33BC6" w:rsidP="00B33BC6">
      <w:pPr>
        <w:pStyle w:val="ListParagraph"/>
        <w:spacing w:line="480" w:lineRule="auto"/>
        <w:ind w:left="0"/>
        <w:rPr>
          <w:szCs w:val="24"/>
          <w:lang w:val="en-GB"/>
        </w:rPr>
      </w:pPr>
    </w:p>
    <w:p w14:paraId="2DCA8631" w14:textId="77777777" w:rsidR="00B33BC6" w:rsidRDefault="00B33BC6" w:rsidP="00B33BC6">
      <w:pPr>
        <w:pStyle w:val="ListParagraph"/>
        <w:spacing w:line="480" w:lineRule="auto"/>
        <w:ind w:left="0"/>
        <w:rPr>
          <w:szCs w:val="24"/>
          <w:lang w:val="en-GB"/>
        </w:rPr>
      </w:pPr>
    </w:p>
    <w:p w14:paraId="4D8AD680" w14:textId="77777777" w:rsidR="00B33BC6" w:rsidRDefault="00B33BC6" w:rsidP="00B33BC6">
      <w:pPr>
        <w:pStyle w:val="ListParagraph"/>
        <w:spacing w:line="480" w:lineRule="auto"/>
        <w:ind w:left="0"/>
        <w:rPr>
          <w:szCs w:val="24"/>
          <w:lang w:val="en-GB"/>
        </w:rPr>
      </w:pPr>
    </w:p>
    <w:p w14:paraId="6253B807" w14:textId="77777777" w:rsidR="00B33BC6" w:rsidRDefault="00B33BC6" w:rsidP="00B33BC6">
      <w:pPr>
        <w:pStyle w:val="ListParagraph"/>
        <w:spacing w:line="480" w:lineRule="auto"/>
        <w:ind w:left="0"/>
        <w:rPr>
          <w:szCs w:val="24"/>
          <w:lang w:val="en-GB"/>
        </w:rPr>
      </w:pPr>
    </w:p>
    <w:p w14:paraId="40C7C1FB" w14:textId="77777777" w:rsidR="00B33BC6" w:rsidRDefault="00B33BC6" w:rsidP="00B33BC6">
      <w:pPr>
        <w:pStyle w:val="ListParagraph"/>
        <w:spacing w:line="480" w:lineRule="auto"/>
        <w:ind w:left="0"/>
        <w:rPr>
          <w:szCs w:val="24"/>
          <w:lang w:val="en-GB"/>
        </w:rPr>
      </w:pPr>
    </w:p>
    <w:p w14:paraId="4A698111" w14:textId="77777777" w:rsidR="00B33BC6" w:rsidRDefault="00B33BC6" w:rsidP="00B33BC6">
      <w:pPr>
        <w:pStyle w:val="ListParagraph"/>
        <w:spacing w:line="480" w:lineRule="auto"/>
        <w:ind w:left="0"/>
        <w:rPr>
          <w:szCs w:val="24"/>
          <w:lang w:val="en-GB"/>
        </w:rPr>
      </w:pPr>
    </w:p>
    <w:p w14:paraId="4C893C92" w14:textId="77777777" w:rsidR="00B33BC6" w:rsidRDefault="00B33BC6" w:rsidP="00B33BC6">
      <w:pPr>
        <w:pStyle w:val="ListParagraph"/>
        <w:spacing w:line="480" w:lineRule="auto"/>
        <w:ind w:left="0"/>
        <w:rPr>
          <w:szCs w:val="24"/>
          <w:lang w:val="en-GB"/>
        </w:rPr>
      </w:pPr>
    </w:p>
    <w:p w14:paraId="47E58D3F" w14:textId="77777777" w:rsidR="00B33BC6" w:rsidRDefault="00B33BC6" w:rsidP="00B33BC6">
      <w:pPr>
        <w:pStyle w:val="ListParagraph"/>
        <w:spacing w:line="480" w:lineRule="auto"/>
        <w:ind w:left="0"/>
        <w:rPr>
          <w:szCs w:val="24"/>
          <w:lang w:val="en-GB"/>
        </w:rPr>
      </w:pPr>
    </w:p>
    <w:p w14:paraId="4C688C6B" w14:textId="77777777" w:rsidR="00B33BC6" w:rsidRDefault="00B33BC6" w:rsidP="00B33BC6">
      <w:pPr>
        <w:pStyle w:val="ListParagraph"/>
        <w:spacing w:line="480" w:lineRule="auto"/>
        <w:ind w:left="0"/>
        <w:rPr>
          <w:szCs w:val="24"/>
          <w:lang w:val="en-GB"/>
        </w:rPr>
      </w:pPr>
    </w:p>
    <w:p w14:paraId="61DFB93D" w14:textId="77777777" w:rsidR="00B33BC6" w:rsidRDefault="00B33BC6" w:rsidP="00B33BC6">
      <w:pPr>
        <w:pStyle w:val="ListParagraph"/>
        <w:spacing w:line="480" w:lineRule="auto"/>
        <w:ind w:left="0"/>
        <w:rPr>
          <w:szCs w:val="24"/>
          <w:lang w:val="en-GB"/>
        </w:rPr>
      </w:pPr>
    </w:p>
    <w:p w14:paraId="5ED2473A" w14:textId="77777777" w:rsidR="00B33BC6" w:rsidRPr="008652CF" w:rsidRDefault="008652CF" w:rsidP="008652CF">
      <w:pPr>
        <w:pStyle w:val="ListParagraph"/>
        <w:spacing w:line="480" w:lineRule="auto"/>
        <w:ind w:left="0"/>
        <w:jc w:val="center"/>
        <w:rPr>
          <w:b/>
          <w:szCs w:val="24"/>
          <w:lang w:val="en-GB"/>
        </w:rPr>
      </w:pPr>
      <w:r w:rsidRPr="008652CF">
        <w:rPr>
          <w:b/>
          <w:szCs w:val="24"/>
          <w:lang w:val="en-GB"/>
        </w:rPr>
        <w:lastRenderedPageBreak/>
        <w:t>Fabrication of TFN Membrane by Incorporating GO in PIP aqueous solution via Rolling IP Technique</w:t>
      </w:r>
    </w:p>
    <w:p w14:paraId="440375C1" w14:textId="77777777" w:rsidR="00B33BC6" w:rsidRDefault="00B33BC6" w:rsidP="00B33BC6">
      <w:pPr>
        <w:pStyle w:val="ListParagraph"/>
        <w:spacing w:line="480" w:lineRule="auto"/>
        <w:ind w:left="0"/>
        <w:rPr>
          <w:szCs w:val="24"/>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0"/>
        <w:gridCol w:w="1559"/>
      </w:tblGrid>
      <w:tr w:rsidR="00B33BC6" w14:paraId="7A181753" w14:textId="77777777" w:rsidTr="00993427">
        <w:trPr>
          <w:trHeight w:val="2416"/>
          <w:jc w:val="center"/>
        </w:trPr>
        <w:tc>
          <w:tcPr>
            <w:tcW w:w="7050" w:type="dxa"/>
            <w:vMerge w:val="restart"/>
          </w:tcPr>
          <w:p w14:paraId="53C9465A" w14:textId="77777777" w:rsidR="00B33BC6" w:rsidRDefault="00B33BC6" w:rsidP="00993427">
            <w:pPr>
              <w:spacing w:line="240" w:lineRule="auto"/>
              <w:jc w:val="center"/>
              <w:rPr>
                <w:szCs w:val="24"/>
              </w:rPr>
            </w:pPr>
            <w:r w:rsidRPr="002B5F01">
              <w:rPr>
                <w:b/>
                <w:noProof/>
              </w:rPr>
              <w:t>(a)</w:t>
            </w:r>
            <w:r>
              <w:rPr>
                <w:noProof/>
              </w:rPr>
              <w:t xml:space="preserve"> </w:t>
            </w:r>
            <w:r>
              <w:rPr>
                <w:noProof/>
                <w:szCs w:val="24"/>
                <w:lang w:eastAsia="en-GB"/>
              </w:rPr>
              <w:drawing>
                <wp:inline distT="0" distB="0" distL="0" distR="0" wp14:anchorId="4E5248AF" wp14:editId="45BB424E">
                  <wp:extent cx="3995933" cy="2773326"/>
                  <wp:effectExtent l="0" t="0" r="508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17177" cy="2788070"/>
                          </a:xfrm>
                          <a:prstGeom prst="rect">
                            <a:avLst/>
                          </a:prstGeom>
                          <a:noFill/>
                        </pic:spPr>
                      </pic:pic>
                    </a:graphicData>
                  </a:graphic>
                </wp:inline>
              </w:drawing>
            </w:r>
          </w:p>
        </w:tc>
        <w:tc>
          <w:tcPr>
            <w:tcW w:w="1559" w:type="dxa"/>
          </w:tcPr>
          <w:p w14:paraId="6B9CD158" w14:textId="77777777" w:rsidR="00B33BC6" w:rsidRDefault="00B33BC6" w:rsidP="00993427">
            <w:pPr>
              <w:spacing w:line="240" w:lineRule="auto"/>
              <w:jc w:val="left"/>
              <w:rPr>
                <w:szCs w:val="24"/>
              </w:rPr>
            </w:pPr>
            <w:r>
              <w:rPr>
                <w:noProof/>
                <w:szCs w:val="24"/>
              </w:rPr>
              <w:t xml:space="preserve"> </w:t>
            </w:r>
            <w:r w:rsidRPr="00BD315E">
              <w:rPr>
                <w:b/>
                <w:noProof/>
                <w:szCs w:val="24"/>
              </w:rPr>
              <w:t>(b)</w:t>
            </w:r>
            <w:r>
              <w:rPr>
                <w:noProof/>
                <w:szCs w:val="24"/>
              </w:rPr>
              <w:t xml:space="preserve"> </w:t>
            </w:r>
            <w:r w:rsidRPr="000C2A1B">
              <w:rPr>
                <w:noProof/>
                <w:szCs w:val="24"/>
                <w:lang w:eastAsia="en-GB"/>
              </w:rPr>
              <w:drawing>
                <wp:inline distT="0" distB="0" distL="0" distR="0" wp14:anchorId="3BEB9748" wp14:editId="5817830A">
                  <wp:extent cx="367936" cy="1235034"/>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5768" t="14067" r="35700" b="14107"/>
                          <a:stretch/>
                        </pic:blipFill>
                        <pic:spPr bwMode="auto">
                          <a:xfrm>
                            <a:off x="0" y="0"/>
                            <a:ext cx="374555" cy="1257251"/>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p>
        </w:tc>
      </w:tr>
      <w:tr w:rsidR="00B33BC6" w14:paraId="17BD0768" w14:textId="77777777" w:rsidTr="00993427">
        <w:trPr>
          <w:trHeight w:val="1391"/>
          <w:jc w:val="center"/>
        </w:trPr>
        <w:tc>
          <w:tcPr>
            <w:tcW w:w="7050" w:type="dxa"/>
            <w:vMerge/>
          </w:tcPr>
          <w:p w14:paraId="0943BCD2" w14:textId="77777777" w:rsidR="00B33BC6" w:rsidRDefault="00B33BC6" w:rsidP="00993427">
            <w:pPr>
              <w:spacing w:line="240" w:lineRule="auto"/>
              <w:jc w:val="center"/>
              <w:rPr>
                <w:szCs w:val="24"/>
              </w:rPr>
            </w:pPr>
          </w:p>
        </w:tc>
        <w:tc>
          <w:tcPr>
            <w:tcW w:w="1559" w:type="dxa"/>
          </w:tcPr>
          <w:p w14:paraId="06AF8CE6" w14:textId="77777777" w:rsidR="00B33BC6" w:rsidRDefault="00B33BC6" w:rsidP="00993427">
            <w:pPr>
              <w:spacing w:line="240" w:lineRule="auto"/>
              <w:jc w:val="left"/>
              <w:rPr>
                <w:szCs w:val="24"/>
              </w:rPr>
            </w:pPr>
            <w:r w:rsidRPr="00BD315E">
              <w:rPr>
                <w:b/>
                <w:noProof/>
                <w:szCs w:val="24"/>
              </w:rPr>
              <w:t>(c)</w:t>
            </w:r>
            <w:r>
              <w:rPr>
                <w:noProof/>
                <w:szCs w:val="24"/>
              </w:rPr>
              <w:t xml:space="preserve">  </w:t>
            </w:r>
            <w:r w:rsidRPr="000C2A1B">
              <w:rPr>
                <w:noProof/>
                <w:szCs w:val="24"/>
                <w:lang w:eastAsia="en-GB"/>
              </w:rPr>
              <w:drawing>
                <wp:inline distT="0" distB="0" distL="0" distR="0" wp14:anchorId="190B0754" wp14:editId="5724DC2F">
                  <wp:extent cx="391995" cy="1223159"/>
                  <wp:effectExtent l="0" t="0" r="825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4768" t="10747" r="33899" b="15925"/>
                          <a:stretch/>
                        </pic:blipFill>
                        <pic:spPr bwMode="auto">
                          <a:xfrm>
                            <a:off x="0" y="0"/>
                            <a:ext cx="397604" cy="1240661"/>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p>
        </w:tc>
      </w:tr>
    </w:tbl>
    <w:p w14:paraId="49D1EEEE" w14:textId="77777777" w:rsidR="00B33BC6" w:rsidRPr="002B5F01" w:rsidRDefault="00B33BC6" w:rsidP="00B33BC6">
      <w:pPr>
        <w:spacing w:line="480" w:lineRule="auto"/>
        <w:rPr>
          <w:szCs w:val="24"/>
        </w:rPr>
      </w:pPr>
    </w:p>
    <w:p w14:paraId="15C80B9C" w14:textId="77777777" w:rsidR="00B33BC6" w:rsidRDefault="00B33BC6" w:rsidP="00B33BC6">
      <w:pPr>
        <w:pStyle w:val="ListParagraph"/>
        <w:spacing w:line="480" w:lineRule="auto"/>
        <w:ind w:left="0"/>
        <w:rPr>
          <w:szCs w:val="24"/>
          <w:lang w:val="en-GB"/>
        </w:rPr>
      </w:pPr>
      <w:r>
        <w:rPr>
          <w:b/>
          <w:color w:val="0070C0"/>
          <w:szCs w:val="24"/>
          <w:lang w:val="en-GB"/>
        </w:rPr>
        <w:t>Figure</w:t>
      </w:r>
      <w:r w:rsidRPr="00BD315E">
        <w:rPr>
          <w:b/>
          <w:color w:val="0070C0"/>
          <w:szCs w:val="24"/>
          <w:lang w:val="en-GB"/>
        </w:rPr>
        <w:t xml:space="preserve"> </w:t>
      </w:r>
      <w:r w:rsidR="008652CF">
        <w:rPr>
          <w:b/>
          <w:color w:val="0070C0"/>
          <w:szCs w:val="24"/>
          <w:lang w:val="en-GB"/>
        </w:rPr>
        <w:t>S</w:t>
      </w:r>
      <w:r w:rsidRPr="00BD315E">
        <w:rPr>
          <w:b/>
          <w:color w:val="0070C0"/>
          <w:szCs w:val="24"/>
          <w:lang w:val="en-GB"/>
        </w:rPr>
        <w:t>2</w:t>
      </w:r>
      <w:r>
        <w:rPr>
          <w:b/>
          <w:color w:val="0070C0"/>
          <w:szCs w:val="24"/>
          <w:lang w:val="en-GB"/>
        </w:rPr>
        <w:t>.</w:t>
      </w:r>
      <w:r w:rsidRPr="00BD315E">
        <w:rPr>
          <w:color w:val="0070C0"/>
          <w:szCs w:val="24"/>
          <w:lang w:val="en-GB"/>
        </w:rPr>
        <w:t xml:space="preserve"> </w:t>
      </w:r>
      <w:r>
        <w:rPr>
          <w:szCs w:val="24"/>
          <w:lang w:val="en-GB"/>
        </w:rPr>
        <w:t xml:space="preserve">(a) Demonstration of the uneven distribution of GO nanosheets on the microporous substrate surface after pouring away amine aqueous solution containing 0.01 w/v% GO. The substrate was contacted with the solution for </w:t>
      </w:r>
      <w:r w:rsidRPr="0070413E">
        <w:rPr>
          <w:szCs w:val="24"/>
          <w:lang w:val="en-GB"/>
        </w:rPr>
        <w:t>2</w:t>
      </w:r>
      <w:r w:rsidRPr="00262680">
        <w:rPr>
          <w:szCs w:val="24"/>
          <w:lang w:val="en-GB"/>
        </w:rPr>
        <w:t xml:space="preserve"> min</w:t>
      </w:r>
      <w:r>
        <w:rPr>
          <w:szCs w:val="24"/>
          <w:lang w:val="en-GB"/>
        </w:rPr>
        <w:t xml:space="preserve"> before pouring away and subject to rolling process (b, c) Amine aqueous solution before and after being used for substrate pouring. The images indicated that most of the GO nanosheets were not deposited on the substrate surface. </w:t>
      </w:r>
    </w:p>
    <w:p w14:paraId="36722FC5" w14:textId="77777777" w:rsidR="00B33BC6" w:rsidRPr="00262680" w:rsidRDefault="00B33BC6" w:rsidP="00B33BC6">
      <w:pPr>
        <w:spacing w:line="276" w:lineRule="auto"/>
        <w:rPr>
          <w:rFonts w:cs="Times New Roman"/>
          <w:b/>
        </w:rPr>
      </w:pPr>
    </w:p>
    <w:p w14:paraId="559F7913" w14:textId="77777777" w:rsidR="00B33BC6" w:rsidRDefault="00B33BC6"/>
    <w:p w14:paraId="61F4A5F1" w14:textId="77777777" w:rsidR="008652CF" w:rsidRDefault="008652CF"/>
    <w:p w14:paraId="018EF8CE" w14:textId="77777777" w:rsidR="008652CF" w:rsidRDefault="008652CF"/>
    <w:p w14:paraId="64EB99AD" w14:textId="77777777" w:rsidR="008652CF" w:rsidRDefault="008652CF"/>
    <w:p w14:paraId="3D736D72" w14:textId="77777777" w:rsidR="008652CF" w:rsidRDefault="008652CF"/>
    <w:p w14:paraId="103A8D6D" w14:textId="77777777" w:rsidR="008652CF" w:rsidRDefault="008652CF"/>
    <w:p w14:paraId="31504E5D" w14:textId="77777777" w:rsidR="008652CF" w:rsidRPr="008652CF" w:rsidRDefault="008652CF" w:rsidP="008652CF">
      <w:pPr>
        <w:jc w:val="center"/>
        <w:rPr>
          <w:b/>
        </w:rPr>
      </w:pPr>
      <w:r w:rsidRPr="008652CF">
        <w:rPr>
          <w:b/>
        </w:rPr>
        <w:lastRenderedPageBreak/>
        <w:t>Protein Adsorption Study on Fabricated Membranes</w:t>
      </w:r>
    </w:p>
    <w:p w14:paraId="70DB0F5D" w14:textId="77777777" w:rsidR="008652CF" w:rsidRDefault="008652CF"/>
    <w:p w14:paraId="1EE94ADD" w14:textId="77777777" w:rsidR="008652CF" w:rsidRPr="008652CF" w:rsidRDefault="008652CF">
      <w:pPr>
        <w:rPr>
          <w:b/>
          <w:u w:val="single"/>
        </w:rPr>
      </w:pPr>
      <w:r w:rsidRPr="008652CF">
        <w:rPr>
          <w:b/>
          <w:u w:val="single"/>
        </w:rPr>
        <w:t>Methodology</w:t>
      </w:r>
    </w:p>
    <w:p w14:paraId="76E9BF4C" w14:textId="77777777" w:rsidR="008652CF" w:rsidRPr="008652CF" w:rsidRDefault="008652CF">
      <w:r>
        <w:t>The protein adsorption tests were done by treating circular membrane sample with diameter of 48 mm with 250 mL of BSA solution (250 ppm). The conical flasks containing the protein solution and samples were shake</w:t>
      </w:r>
      <w:r w:rsidR="008C35BC">
        <w:t>n</w:t>
      </w:r>
      <w:r>
        <w:t xml:space="preserve"> using an orbital shaker for 3 h. The absorbances of initial and final protein solutions were measured using an UV-vis spectrophotometer (DR 5000</w:t>
      </w:r>
      <w:r>
        <w:rPr>
          <w:vertAlign w:val="superscript"/>
        </w:rPr>
        <w:t>TM</w:t>
      </w:r>
      <w:r>
        <w:t>, Hach) at wavelength of 285 nm. The concentration of BSA solution was then interpolated based on the absorbance result.</w:t>
      </w:r>
    </w:p>
    <w:p w14:paraId="005CBD9A" w14:textId="77777777" w:rsidR="008652CF" w:rsidRDefault="008652CF">
      <w:bookmarkStart w:id="0" w:name="_GoBack"/>
      <w:bookmarkEnd w:id="0"/>
    </w:p>
    <w:p w14:paraId="00E25B25" w14:textId="77777777" w:rsidR="008652CF" w:rsidRDefault="008652CF" w:rsidP="00A201FA">
      <w:pPr>
        <w:jc w:val="center"/>
      </w:pPr>
      <w:r w:rsidRPr="00A201FA">
        <w:rPr>
          <w:b/>
          <w:color w:val="0070C0"/>
        </w:rPr>
        <w:t>Table S1.</w:t>
      </w:r>
      <w:r w:rsidRPr="00A201FA">
        <w:rPr>
          <w:color w:val="0070C0"/>
        </w:rPr>
        <w:t xml:space="preserve"> </w:t>
      </w:r>
      <w:r>
        <w:t>Protein adsorption</w:t>
      </w:r>
      <w:r w:rsidR="00A201FA">
        <w:t xml:space="preserve"> capabilities of TFC and TFN membranes.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678"/>
      </w:tblGrid>
      <w:tr w:rsidR="008652CF" w14:paraId="1F59E363" w14:textId="77777777" w:rsidTr="00A201FA">
        <w:trPr>
          <w:jc w:val="center"/>
        </w:trPr>
        <w:tc>
          <w:tcPr>
            <w:tcW w:w="2263" w:type="dxa"/>
            <w:tcBorders>
              <w:top w:val="single" w:sz="4" w:space="0" w:color="auto"/>
              <w:bottom w:val="single" w:sz="4" w:space="0" w:color="auto"/>
            </w:tcBorders>
          </w:tcPr>
          <w:p w14:paraId="06CF55A4" w14:textId="77777777" w:rsidR="008652CF" w:rsidRPr="00A201FA" w:rsidRDefault="008652CF" w:rsidP="00A201FA">
            <w:pPr>
              <w:spacing w:line="276" w:lineRule="auto"/>
              <w:jc w:val="center"/>
              <w:rPr>
                <w:b/>
              </w:rPr>
            </w:pPr>
            <w:r w:rsidRPr="00A201FA">
              <w:rPr>
                <w:b/>
              </w:rPr>
              <w:t>Membrane</w:t>
            </w:r>
          </w:p>
        </w:tc>
        <w:tc>
          <w:tcPr>
            <w:tcW w:w="4678" w:type="dxa"/>
            <w:tcBorders>
              <w:top w:val="single" w:sz="4" w:space="0" w:color="auto"/>
              <w:bottom w:val="single" w:sz="4" w:space="0" w:color="auto"/>
            </w:tcBorders>
          </w:tcPr>
          <w:p w14:paraId="5B152318" w14:textId="77777777" w:rsidR="008652CF" w:rsidRPr="00A201FA" w:rsidRDefault="00A201FA" w:rsidP="00A201FA">
            <w:pPr>
              <w:spacing w:line="276" w:lineRule="auto"/>
              <w:jc w:val="center"/>
              <w:rPr>
                <w:b/>
              </w:rPr>
            </w:pPr>
            <w:r w:rsidRPr="00A201FA">
              <w:rPr>
                <w:b/>
              </w:rPr>
              <w:t>Mass of BSA absorbed per specific area</w:t>
            </w:r>
          </w:p>
          <w:p w14:paraId="54F03CD0" w14:textId="77777777" w:rsidR="00A201FA" w:rsidRPr="00A201FA" w:rsidRDefault="00A201FA" w:rsidP="00A201FA">
            <w:pPr>
              <w:spacing w:line="276" w:lineRule="auto"/>
              <w:jc w:val="center"/>
              <w:rPr>
                <w:b/>
              </w:rPr>
            </w:pPr>
            <w:r w:rsidRPr="00A201FA">
              <w:rPr>
                <w:b/>
              </w:rPr>
              <w:t>(g/m</w:t>
            </w:r>
            <w:r w:rsidRPr="00A201FA">
              <w:rPr>
                <w:b/>
                <w:vertAlign w:val="superscript"/>
              </w:rPr>
              <w:t>2</w:t>
            </w:r>
            <w:r w:rsidRPr="00A201FA">
              <w:rPr>
                <w:b/>
              </w:rPr>
              <w:t>)</w:t>
            </w:r>
          </w:p>
        </w:tc>
      </w:tr>
      <w:tr w:rsidR="008652CF" w14:paraId="21F6FB47" w14:textId="77777777" w:rsidTr="00A201FA">
        <w:trPr>
          <w:jc w:val="center"/>
        </w:trPr>
        <w:tc>
          <w:tcPr>
            <w:tcW w:w="2263" w:type="dxa"/>
            <w:tcBorders>
              <w:top w:val="single" w:sz="4" w:space="0" w:color="auto"/>
            </w:tcBorders>
          </w:tcPr>
          <w:p w14:paraId="56750F0D" w14:textId="77777777" w:rsidR="008652CF" w:rsidRDefault="008652CF" w:rsidP="00A201FA">
            <w:pPr>
              <w:spacing w:line="276" w:lineRule="auto"/>
            </w:pPr>
            <w:r>
              <w:t>TFC</w:t>
            </w:r>
          </w:p>
        </w:tc>
        <w:tc>
          <w:tcPr>
            <w:tcW w:w="4678" w:type="dxa"/>
            <w:tcBorders>
              <w:top w:val="single" w:sz="4" w:space="0" w:color="auto"/>
            </w:tcBorders>
          </w:tcPr>
          <w:p w14:paraId="63CF4781" w14:textId="77777777" w:rsidR="008652CF" w:rsidRDefault="00A201FA" w:rsidP="00A201FA">
            <w:pPr>
              <w:spacing w:line="276" w:lineRule="auto"/>
              <w:jc w:val="center"/>
            </w:pPr>
            <w:r>
              <w:t>2.03</w:t>
            </w:r>
          </w:p>
        </w:tc>
      </w:tr>
      <w:tr w:rsidR="008652CF" w14:paraId="77B3505F" w14:textId="77777777" w:rsidTr="00A201FA">
        <w:trPr>
          <w:jc w:val="center"/>
        </w:trPr>
        <w:tc>
          <w:tcPr>
            <w:tcW w:w="2263" w:type="dxa"/>
          </w:tcPr>
          <w:p w14:paraId="1B129D59" w14:textId="77777777" w:rsidR="008652CF" w:rsidRDefault="008652CF" w:rsidP="00A201FA">
            <w:pPr>
              <w:spacing w:line="276" w:lineRule="auto"/>
            </w:pPr>
            <w:r>
              <w:t>TFC-f</w:t>
            </w:r>
          </w:p>
        </w:tc>
        <w:tc>
          <w:tcPr>
            <w:tcW w:w="4678" w:type="dxa"/>
          </w:tcPr>
          <w:p w14:paraId="342B2EE8" w14:textId="77777777" w:rsidR="008652CF" w:rsidRDefault="00A201FA" w:rsidP="00A201FA">
            <w:pPr>
              <w:spacing w:line="276" w:lineRule="auto"/>
              <w:jc w:val="center"/>
            </w:pPr>
            <w:r>
              <w:t>1.95</w:t>
            </w:r>
          </w:p>
        </w:tc>
      </w:tr>
      <w:tr w:rsidR="008652CF" w14:paraId="6B0B6E11" w14:textId="77777777" w:rsidTr="00A201FA">
        <w:trPr>
          <w:jc w:val="center"/>
        </w:trPr>
        <w:tc>
          <w:tcPr>
            <w:tcW w:w="2263" w:type="dxa"/>
            <w:tcBorders>
              <w:bottom w:val="single" w:sz="4" w:space="0" w:color="auto"/>
            </w:tcBorders>
          </w:tcPr>
          <w:p w14:paraId="351F4167" w14:textId="77777777" w:rsidR="008652CF" w:rsidRDefault="008652CF" w:rsidP="00A201FA">
            <w:pPr>
              <w:spacing w:line="276" w:lineRule="auto"/>
            </w:pPr>
            <w:r>
              <w:t>TFN-f 0.03</w:t>
            </w:r>
          </w:p>
        </w:tc>
        <w:tc>
          <w:tcPr>
            <w:tcW w:w="4678" w:type="dxa"/>
            <w:tcBorders>
              <w:bottom w:val="single" w:sz="4" w:space="0" w:color="auto"/>
            </w:tcBorders>
          </w:tcPr>
          <w:p w14:paraId="0B1CCDAF" w14:textId="77777777" w:rsidR="008652CF" w:rsidRDefault="00A201FA" w:rsidP="00A201FA">
            <w:pPr>
              <w:spacing w:line="276" w:lineRule="auto"/>
              <w:jc w:val="center"/>
            </w:pPr>
            <w:r>
              <w:t>0.56</w:t>
            </w:r>
          </w:p>
        </w:tc>
      </w:tr>
    </w:tbl>
    <w:p w14:paraId="308A648F" w14:textId="77777777" w:rsidR="008652CF" w:rsidRDefault="008652CF"/>
    <w:sectPr w:rsidR="008652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BC6"/>
    <w:rsid w:val="000D4533"/>
    <w:rsid w:val="001A00E3"/>
    <w:rsid w:val="001E66A7"/>
    <w:rsid w:val="003A3EB8"/>
    <w:rsid w:val="005C48C0"/>
    <w:rsid w:val="006C5EDD"/>
    <w:rsid w:val="008652CF"/>
    <w:rsid w:val="008C35BC"/>
    <w:rsid w:val="009947A8"/>
    <w:rsid w:val="00A201FA"/>
    <w:rsid w:val="00B33BC6"/>
    <w:rsid w:val="00B37659"/>
    <w:rsid w:val="00D237B2"/>
    <w:rsid w:val="00DB02A5"/>
    <w:rsid w:val="00DF6E50"/>
    <w:rsid w:val="00EC7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E808"/>
  <w15:chartTrackingRefBased/>
  <w15:docId w15:val="{EFFEC24F-7B75-4463-BE2F-1113ED72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BC6"/>
    <w:pPr>
      <w:spacing w:after="0" w:line="360" w:lineRule="auto"/>
      <w:jc w:val="both"/>
    </w:pPr>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33BC6"/>
    <w:rPr>
      <w:color w:val="0563C1" w:themeColor="hyperlink"/>
      <w:u w:val="single"/>
    </w:rPr>
  </w:style>
  <w:style w:type="paragraph" w:styleId="ListParagraph">
    <w:name w:val="List Paragraph"/>
    <w:basedOn w:val="Normal"/>
    <w:uiPriority w:val="34"/>
    <w:qFormat/>
    <w:rsid w:val="00B33BC6"/>
    <w:pPr>
      <w:widowControl w:val="0"/>
      <w:autoSpaceDE w:val="0"/>
      <w:autoSpaceDN w:val="0"/>
      <w:adjustRightInd w:val="0"/>
      <w:spacing w:line="240" w:lineRule="auto"/>
      <w:ind w:left="720"/>
      <w:contextualSpacing/>
    </w:pPr>
    <w:rPr>
      <w:rFonts w:eastAsia="Times New Roman" w:cs="Times New Roman"/>
      <w:szCs w:val="20"/>
      <w:lang w:val="en-MY" w:eastAsia="en-US"/>
    </w:rPr>
  </w:style>
  <w:style w:type="table" w:styleId="TableGrid">
    <w:name w:val="Table Grid"/>
    <w:basedOn w:val="TableNormal"/>
    <w:uiPriority w:val="39"/>
    <w:rsid w:val="00B33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00E3"/>
    <w:pPr>
      <w:spacing w:after="0" w:line="240" w:lineRule="auto"/>
    </w:pPr>
    <w:rPr>
      <w:rFonts w:ascii="Times New Roman" w:hAnsi="Times New Roman"/>
      <w:sz w:val="24"/>
      <w:lang w:val="en-GB"/>
    </w:rPr>
  </w:style>
  <w:style w:type="paragraph" w:styleId="BalloonText">
    <w:name w:val="Balloon Text"/>
    <w:basedOn w:val="Normal"/>
    <w:link w:val="BalloonTextChar"/>
    <w:uiPriority w:val="99"/>
    <w:semiHidden/>
    <w:unhideWhenUsed/>
    <w:rsid w:val="001A00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0E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 Lai</dc:creator>
  <cp:keywords/>
  <dc:description/>
  <cp:lastModifiedBy>G.S. Lai</cp:lastModifiedBy>
  <cp:revision>7</cp:revision>
  <dcterms:created xsi:type="dcterms:W3CDTF">2017-09-25T02:35:00Z</dcterms:created>
  <dcterms:modified xsi:type="dcterms:W3CDTF">2017-12-06T13:50:00Z</dcterms:modified>
</cp:coreProperties>
</file>