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47A" w:rsidRDefault="0064047A" w:rsidP="0064047A">
      <w:pPr>
        <w:spacing w:line="360" w:lineRule="auto"/>
        <w:rPr>
          <w:rStyle w:val="fontstyle01"/>
          <w:rFonts w:asciiTheme="majorBidi" w:hAnsiTheme="majorBidi" w:cstheme="majorBidi"/>
          <w:b w:val="0"/>
          <w:bCs w:val="0"/>
          <w:i/>
          <w:iCs/>
        </w:rPr>
      </w:pPr>
      <w:r>
        <w:rPr>
          <w:rStyle w:val="fontstyle01"/>
          <w:rFonts w:asciiTheme="majorBidi" w:hAnsiTheme="majorBidi" w:cstheme="majorBidi"/>
        </w:rPr>
        <w:t xml:space="preserve">4.  </w:t>
      </w:r>
      <w:r w:rsidR="001E4114" w:rsidRPr="00DC3CF6">
        <w:rPr>
          <w:rStyle w:val="fontstyle01"/>
          <w:rFonts w:asciiTheme="majorBidi" w:hAnsiTheme="majorBidi" w:cstheme="majorBidi"/>
        </w:rPr>
        <w:t>Experimental</w:t>
      </w:r>
      <w:r w:rsidR="001E4114" w:rsidRPr="00DC3CF6">
        <w:rPr>
          <w:rFonts w:asciiTheme="majorBidi" w:hAnsiTheme="majorBidi" w:cstheme="majorBidi"/>
          <w:b/>
          <w:bCs/>
          <w:color w:val="000000"/>
          <w:sz w:val="24"/>
          <w:szCs w:val="24"/>
        </w:rPr>
        <w:br/>
      </w:r>
      <w:r>
        <w:rPr>
          <w:rStyle w:val="fontstyle01"/>
          <w:rFonts w:asciiTheme="majorBidi" w:hAnsiTheme="majorBidi" w:cstheme="majorBidi"/>
          <w:b w:val="0"/>
          <w:bCs w:val="0"/>
          <w:i/>
          <w:iCs/>
        </w:rPr>
        <w:t>4.1. Chemistry</w:t>
      </w:r>
    </w:p>
    <w:p w:rsidR="001E4114" w:rsidRPr="00DC3CF6" w:rsidRDefault="001E4114" w:rsidP="0064047A">
      <w:pPr>
        <w:spacing w:line="360" w:lineRule="auto"/>
        <w:jc w:val="both"/>
        <w:rPr>
          <w:rFonts w:asciiTheme="majorBidi" w:hAnsiTheme="majorBidi" w:cstheme="majorBidi"/>
          <w:i/>
          <w:iCs/>
          <w:color w:val="000000"/>
          <w:sz w:val="24"/>
          <w:szCs w:val="24"/>
        </w:rPr>
      </w:pPr>
      <w:r w:rsidRPr="00DC3CF6">
        <w:rPr>
          <w:rFonts w:asciiTheme="majorBidi" w:hAnsiTheme="majorBidi" w:cstheme="majorBidi"/>
          <w:b/>
          <w:bCs/>
          <w:color w:val="000000"/>
          <w:sz w:val="24"/>
          <w:szCs w:val="24"/>
        </w:rPr>
        <w:br/>
      </w:r>
      <w:r w:rsidRPr="00DC3CF6">
        <w:rPr>
          <w:rStyle w:val="fontstyle21"/>
          <w:rFonts w:asciiTheme="majorBidi" w:hAnsiTheme="majorBidi" w:cstheme="majorBidi"/>
        </w:rPr>
        <w:t>All melting points are uncorrected and were taken in open capillary tubes using</w:t>
      </w:r>
      <w:r w:rsidRPr="00DC3CF6">
        <w:rPr>
          <w:rFonts w:asciiTheme="majorBidi" w:hAnsiTheme="majorBidi" w:cstheme="majorBidi"/>
          <w:color w:val="000000"/>
          <w:sz w:val="24"/>
          <w:szCs w:val="24"/>
        </w:rPr>
        <w:t xml:space="preserve"> </w:t>
      </w:r>
      <w:proofErr w:type="spellStart"/>
      <w:proofErr w:type="gramStart"/>
      <w:r w:rsidRPr="00DC3CF6">
        <w:rPr>
          <w:rStyle w:val="fontstyle21"/>
          <w:rFonts w:asciiTheme="majorBidi" w:hAnsiTheme="majorBidi" w:cstheme="majorBidi"/>
        </w:rPr>
        <w:t>Electrothermal</w:t>
      </w:r>
      <w:proofErr w:type="spellEnd"/>
      <w:proofErr w:type="gramEnd"/>
      <w:r w:rsidRPr="00DC3CF6">
        <w:rPr>
          <w:rStyle w:val="fontstyle21"/>
          <w:rFonts w:asciiTheme="majorBidi" w:hAnsiTheme="majorBidi" w:cstheme="majorBidi"/>
        </w:rPr>
        <w:t xml:space="preserve"> apparatus 9100. Elemental microanalyses were carried out at </w:t>
      </w:r>
      <w:proofErr w:type="spellStart"/>
      <w:r w:rsidRPr="00DC3CF6">
        <w:rPr>
          <w:rStyle w:val="fontstyle21"/>
          <w:rFonts w:asciiTheme="majorBidi" w:hAnsiTheme="majorBidi" w:cstheme="majorBidi"/>
        </w:rPr>
        <w:t>Microanalytical</w:t>
      </w:r>
      <w:proofErr w:type="spellEnd"/>
      <w:r w:rsidRPr="00DC3CF6">
        <w:rPr>
          <w:rStyle w:val="fontstyle21"/>
          <w:rFonts w:asciiTheme="majorBidi" w:hAnsiTheme="majorBidi" w:cstheme="majorBidi"/>
        </w:rPr>
        <w:t xml:space="preserve"> Unit, Central Services Laboratory, National Research Centre, </w:t>
      </w:r>
      <w:proofErr w:type="spellStart"/>
      <w:r w:rsidRPr="00DC3CF6">
        <w:rPr>
          <w:rStyle w:val="fontstyle21"/>
          <w:rFonts w:asciiTheme="majorBidi" w:hAnsiTheme="majorBidi" w:cstheme="majorBidi"/>
        </w:rPr>
        <w:t>Dokki</w:t>
      </w:r>
      <w:proofErr w:type="spellEnd"/>
      <w:r w:rsidRPr="00DC3CF6">
        <w:rPr>
          <w:rStyle w:val="fontstyle21"/>
          <w:rFonts w:asciiTheme="majorBidi" w:hAnsiTheme="majorBidi" w:cstheme="majorBidi"/>
        </w:rPr>
        <w:t xml:space="preserve">, Cairo, Egypt, using </w:t>
      </w:r>
      <w:proofErr w:type="spellStart"/>
      <w:r w:rsidRPr="00DC3CF6">
        <w:rPr>
          <w:rStyle w:val="fontstyle21"/>
          <w:rFonts w:asciiTheme="majorBidi" w:hAnsiTheme="majorBidi" w:cstheme="majorBidi"/>
        </w:rPr>
        <w:t>Vario</w:t>
      </w:r>
      <w:proofErr w:type="spellEnd"/>
      <w:r w:rsidRPr="00DC3CF6">
        <w:rPr>
          <w:rFonts w:asciiTheme="majorBidi" w:hAnsiTheme="majorBidi" w:cstheme="majorBidi"/>
          <w:color w:val="000000"/>
          <w:sz w:val="24"/>
          <w:szCs w:val="24"/>
        </w:rPr>
        <w:t xml:space="preserve"> </w:t>
      </w:r>
      <w:proofErr w:type="spellStart"/>
      <w:r w:rsidRPr="00DC3CF6">
        <w:rPr>
          <w:rStyle w:val="fontstyle21"/>
          <w:rFonts w:asciiTheme="majorBidi" w:hAnsiTheme="majorBidi" w:cstheme="majorBidi"/>
        </w:rPr>
        <w:t>Elementar</w:t>
      </w:r>
      <w:proofErr w:type="spellEnd"/>
      <w:r w:rsidRPr="00DC3CF6">
        <w:rPr>
          <w:rStyle w:val="fontstyle21"/>
          <w:rFonts w:asciiTheme="majorBidi" w:hAnsiTheme="majorBidi" w:cstheme="majorBidi"/>
        </w:rPr>
        <w:t xml:space="preserve"> and were found within ±0.4% of the theoretical values. Infrared spectra were recorded</w:t>
      </w:r>
      <w:r w:rsidRPr="00DC3CF6">
        <w:rPr>
          <w:rFonts w:asciiTheme="majorBidi" w:hAnsiTheme="majorBidi" w:cstheme="majorBidi"/>
          <w:color w:val="000000"/>
          <w:sz w:val="24"/>
          <w:szCs w:val="24"/>
        </w:rPr>
        <w:t xml:space="preserve"> </w:t>
      </w:r>
      <w:r w:rsidRPr="00DC3CF6">
        <w:rPr>
          <w:rFonts w:asciiTheme="majorBidi" w:hAnsiTheme="majorBidi" w:cstheme="majorBidi"/>
          <w:sz w:val="24"/>
          <w:szCs w:val="24"/>
        </w:rPr>
        <w:t xml:space="preserve">using </w:t>
      </w:r>
      <w:proofErr w:type="spellStart"/>
      <w:r w:rsidRPr="00DC3CF6">
        <w:rPr>
          <w:rFonts w:asciiTheme="majorBidi" w:hAnsiTheme="majorBidi" w:cstheme="majorBidi"/>
          <w:sz w:val="24"/>
          <w:szCs w:val="24"/>
        </w:rPr>
        <w:t>KBr</w:t>
      </w:r>
      <w:proofErr w:type="spellEnd"/>
      <w:r w:rsidRPr="00DC3CF6">
        <w:rPr>
          <w:rFonts w:asciiTheme="majorBidi" w:hAnsiTheme="majorBidi" w:cstheme="majorBidi"/>
          <w:sz w:val="24"/>
          <w:szCs w:val="24"/>
        </w:rPr>
        <w:t xml:space="preserve"> pellets using Perkin Elmer FT-IR 1650 spectrophotometer. </w:t>
      </w:r>
      <w:r w:rsidRPr="00DC3CF6">
        <w:rPr>
          <w:rFonts w:asciiTheme="majorBidi" w:hAnsiTheme="majorBidi" w:cstheme="majorBidi"/>
          <w:sz w:val="24"/>
          <w:szCs w:val="24"/>
          <w:vertAlign w:val="superscript"/>
        </w:rPr>
        <w:t>1</w:t>
      </w:r>
      <w:r w:rsidRPr="00DC3CF6">
        <w:rPr>
          <w:rFonts w:asciiTheme="majorBidi" w:hAnsiTheme="majorBidi" w:cstheme="majorBidi"/>
          <w:sz w:val="24"/>
          <w:szCs w:val="24"/>
        </w:rPr>
        <w:t xml:space="preserve">H- and </w:t>
      </w:r>
      <w:r w:rsidRPr="00DC3CF6">
        <w:rPr>
          <w:rFonts w:asciiTheme="majorBidi" w:hAnsiTheme="majorBidi" w:cstheme="majorBidi"/>
          <w:sz w:val="24"/>
          <w:szCs w:val="24"/>
          <w:vertAlign w:val="superscript"/>
        </w:rPr>
        <w:t>13</w:t>
      </w:r>
      <w:r w:rsidRPr="00DC3CF6">
        <w:rPr>
          <w:rFonts w:asciiTheme="majorBidi" w:hAnsiTheme="majorBidi" w:cstheme="majorBidi"/>
          <w:sz w:val="24"/>
          <w:szCs w:val="24"/>
        </w:rPr>
        <w:t xml:space="preserve">C NMR spectra were recorded at 400 (100) MHz using </w:t>
      </w:r>
      <w:proofErr w:type="spellStart"/>
      <w:r w:rsidRPr="00DC3CF6">
        <w:rPr>
          <w:rFonts w:asciiTheme="majorBidi" w:hAnsiTheme="majorBidi" w:cstheme="majorBidi"/>
          <w:sz w:val="24"/>
          <w:szCs w:val="24"/>
        </w:rPr>
        <w:t>Jeol</w:t>
      </w:r>
      <w:proofErr w:type="spellEnd"/>
      <w:r w:rsidRPr="00DC3CF6">
        <w:rPr>
          <w:rFonts w:asciiTheme="majorBidi" w:hAnsiTheme="majorBidi" w:cstheme="majorBidi"/>
          <w:sz w:val="24"/>
          <w:szCs w:val="24"/>
        </w:rPr>
        <w:t xml:space="preserve"> ECA 500 MHz Spectrometer and performed at Micro Analytical Laboratory </w:t>
      </w:r>
      <w:proofErr w:type="spellStart"/>
      <w:r w:rsidRPr="00DC3CF6">
        <w:rPr>
          <w:rFonts w:asciiTheme="majorBidi" w:hAnsiTheme="majorBidi" w:cstheme="majorBidi"/>
          <w:sz w:val="24"/>
          <w:szCs w:val="24"/>
        </w:rPr>
        <w:t>Center</w:t>
      </w:r>
      <w:proofErr w:type="spellEnd"/>
      <w:r w:rsidRPr="00DC3CF6">
        <w:rPr>
          <w:rFonts w:asciiTheme="majorBidi" w:hAnsiTheme="majorBidi" w:cstheme="majorBidi"/>
          <w:sz w:val="24"/>
          <w:szCs w:val="24"/>
        </w:rPr>
        <w:t>, Faculty of Pharmacy, Cairo University, Cairo, Egypt. DMSO</w:t>
      </w:r>
      <w:r w:rsidRPr="00DC3CF6">
        <w:rPr>
          <w:rFonts w:asciiTheme="majorBidi" w:hAnsiTheme="majorBidi" w:cstheme="majorBidi"/>
          <w:sz w:val="24"/>
          <w:szCs w:val="24"/>
        </w:rPr>
        <w:noBreakHyphen/>
      </w:r>
      <w:r w:rsidRPr="00DC3CF6">
        <w:rPr>
          <w:rFonts w:asciiTheme="majorBidi" w:hAnsiTheme="majorBidi" w:cstheme="majorBidi"/>
          <w:i/>
          <w:iCs/>
          <w:sz w:val="24"/>
          <w:szCs w:val="24"/>
        </w:rPr>
        <w:t>d</w:t>
      </w:r>
      <w:r w:rsidRPr="00DC3CF6">
        <w:rPr>
          <w:rFonts w:asciiTheme="majorBidi" w:hAnsiTheme="majorBidi" w:cstheme="majorBidi"/>
          <w:sz w:val="24"/>
          <w:szCs w:val="24"/>
        </w:rPr>
        <w:t xml:space="preserve">6 was used as a solvent and chemical shifts were given in parts per million (ppm) relative to TMS as internal standard. Coupling constants were reported in Hertz (Hz). Mass spectra were measured (JEOL JMS-AX 500 Mass Spectrometer) at 70 </w:t>
      </w:r>
      <w:proofErr w:type="spellStart"/>
      <w:r w:rsidRPr="00DC3CF6">
        <w:rPr>
          <w:rFonts w:asciiTheme="majorBidi" w:hAnsiTheme="majorBidi" w:cstheme="majorBidi"/>
          <w:sz w:val="24"/>
          <w:szCs w:val="24"/>
        </w:rPr>
        <w:t>eV</w:t>
      </w:r>
      <w:proofErr w:type="spellEnd"/>
      <w:r w:rsidRPr="00DC3CF6">
        <w:rPr>
          <w:rFonts w:asciiTheme="majorBidi" w:hAnsiTheme="majorBidi" w:cstheme="majorBidi"/>
          <w:sz w:val="24"/>
          <w:szCs w:val="24"/>
        </w:rPr>
        <w:t>.</w:t>
      </w:r>
      <w:r w:rsidRPr="00DC3CF6">
        <w:rPr>
          <w:rFonts w:asciiTheme="majorBidi" w:hAnsiTheme="majorBidi" w:cstheme="majorBidi"/>
          <w:b/>
          <w:bCs/>
          <w:sz w:val="24"/>
          <w:szCs w:val="24"/>
        </w:rPr>
        <w:t xml:space="preserve"> </w:t>
      </w:r>
      <w:r w:rsidRPr="00DC3CF6">
        <w:rPr>
          <w:rFonts w:asciiTheme="majorBidi" w:hAnsiTheme="majorBidi" w:cstheme="majorBidi"/>
          <w:sz w:val="24"/>
          <w:szCs w:val="24"/>
        </w:rPr>
        <w:t>Elemental analysis, IR and mass spectra were performed at the Central Services laboratory, National Research Centre, Cairo, Egypt.</w:t>
      </w:r>
    </w:p>
    <w:p w:rsidR="001E4114" w:rsidRPr="00DC3CF6" w:rsidRDefault="001E4114" w:rsidP="00DC3CF6">
      <w:pPr>
        <w:spacing w:line="360" w:lineRule="auto"/>
        <w:jc w:val="both"/>
        <w:rPr>
          <w:rStyle w:val="fontstyle21"/>
          <w:rFonts w:asciiTheme="majorBidi" w:hAnsiTheme="majorBidi" w:cstheme="majorBidi"/>
        </w:rPr>
      </w:pPr>
      <w:r w:rsidRPr="00DC3CF6">
        <w:rPr>
          <w:rStyle w:val="fontstyle21"/>
          <w:rFonts w:asciiTheme="majorBidi" w:hAnsiTheme="majorBidi" w:cstheme="majorBidi"/>
        </w:rPr>
        <w:t>Follow up of the reactions and checking the</w:t>
      </w:r>
      <w:r w:rsidRPr="00DC3CF6">
        <w:rPr>
          <w:rFonts w:asciiTheme="majorBidi" w:hAnsiTheme="majorBidi" w:cstheme="majorBidi"/>
          <w:color w:val="000000"/>
          <w:sz w:val="24"/>
          <w:szCs w:val="24"/>
        </w:rPr>
        <w:t xml:space="preserve"> </w:t>
      </w:r>
      <w:r w:rsidRPr="00DC3CF6">
        <w:rPr>
          <w:rStyle w:val="fontstyle21"/>
          <w:rFonts w:asciiTheme="majorBidi" w:hAnsiTheme="majorBidi" w:cstheme="majorBidi"/>
        </w:rPr>
        <w:t>purity of the compounds were made by TLC on silica gel-</w:t>
      </w:r>
      <w:proofErr w:type="spellStart"/>
      <w:r w:rsidRPr="00DC3CF6">
        <w:rPr>
          <w:rStyle w:val="fontstyle21"/>
          <w:rFonts w:asciiTheme="majorBidi" w:hAnsiTheme="majorBidi" w:cstheme="majorBidi"/>
        </w:rPr>
        <w:t>precoated</w:t>
      </w:r>
      <w:proofErr w:type="spellEnd"/>
      <w:r w:rsidRPr="00DC3CF6">
        <w:rPr>
          <w:rStyle w:val="fontstyle21"/>
          <w:rFonts w:asciiTheme="majorBidi" w:hAnsiTheme="majorBidi" w:cstheme="majorBidi"/>
        </w:rPr>
        <w:t xml:space="preserve"> </w:t>
      </w:r>
      <w:proofErr w:type="spellStart"/>
      <w:r w:rsidRPr="00DC3CF6">
        <w:rPr>
          <w:rStyle w:val="fontstyle21"/>
          <w:rFonts w:asciiTheme="majorBidi" w:hAnsiTheme="majorBidi" w:cstheme="majorBidi"/>
        </w:rPr>
        <w:t>aluminum</w:t>
      </w:r>
      <w:proofErr w:type="spellEnd"/>
      <w:r w:rsidRPr="00DC3CF6">
        <w:rPr>
          <w:rStyle w:val="fontstyle21"/>
          <w:rFonts w:asciiTheme="majorBidi" w:hAnsiTheme="majorBidi" w:cstheme="majorBidi"/>
        </w:rPr>
        <w:t xml:space="preserve"> sheets (Type 60, F</w:t>
      </w:r>
      <w:r w:rsidRPr="00DC3CF6">
        <w:rPr>
          <w:rFonts w:asciiTheme="majorBidi" w:hAnsiTheme="majorBidi" w:cstheme="majorBidi"/>
          <w:color w:val="000000"/>
          <w:sz w:val="24"/>
          <w:szCs w:val="24"/>
        </w:rPr>
        <w:t xml:space="preserve"> </w:t>
      </w:r>
      <w:r w:rsidRPr="00DC3CF6">
        <w:rPr>
          <w:rStyle w:val="fontstyle21"/>
          <w:rFonts w:asciiTheme="majorBidi" w:hAnsiTheme="majorBidi" w:cstheme="majorBidi"/>
        </w:rPr>
        <w:t>254, Merck, Darmstadt, Germany) using chloroform/methanol (10:0.8, v/v) and the spots were</w:t>
      </w:r>
      <w:r w:rsidRPr="00DC3CF6">
        <w:rPr>
          <w:rFonts w:asciiTheme="majorBidi" w:hAnsiTheme="majorBidi" w:cstheme="majorBidi"/>
          <w:color w:val="000000"/>
          <w:sz w:val="24"/>
          <w:szCs w:val="24"/>
        </w:rPr>
        <w:t xml:space="preserve"> </w:t>
      </w:r>
      <w:r w:rsidRPr="00DC3CF6">
        <w:rPr>
          <w:rStyle w:val="fontstyle21"/>
          <w:rFonts w:asciiTheme="majorBidi" w:hAnsiTheme="majorBidi" w:cstheme="majorBidi"/>
        </w:rPr>
        <w:t xml:space="preserve">detected by exposure to UV lamp at </w:t>
      </w:r>
      <w:r w:rsidRPr="00DC3CF6">
        <w:rPr>
          <w:rStyle w:val="fontstyle31"/>
          <w:rFonts w:asciiTheme="majorBidi" w:hAnsiTheme="majorBidi" w:cstheme="majorBidi"/>
        </w:rPr>
        <w:sym w:font="Symbol" w:char="F06C"/>
      </w:r>
      <w:r w:rsidRPr="00DC3CF6">
        <w:rPr>
          <w:rStyle w:val="fontstyle21"/>
          <w:rFonts w:asciiTheme="majorBidi" w:hAnsiTheme="majorBidi" w:cstheme="majorBidi"/>
        </w:rPr>
        <w:t xml:space="preserve">254 </w:t>
      </w:r>
      <w:proofErr w:type="spellStart"/>
      <w:r w:rsidRPr="00DC3CF6">
        <w:rPr>
          <w:rStyle w:val="fontstyle21"/>
          <w:rFonts w:asciiTheme="majorBidi" w:hAnsiTheme="majorBidi" w:cstheme="majorBidi"/>
        </w:rPr>
        <w:t>nanometer</w:t>
      </w:r>
      <w:proofErr w:type="spellEnd"/>
      <w:r w:rsidRPr="00DC3CF6">
        <w:rPr>
          <w:rStyle w:val="fontstyle21"/>
          <w:rFonts w:asciiTheme="majorBidi" w:hAnsiTheme="majorBidi" w:cstheme="majorBidi"/>
        </w:rPr>
        <w:t xml:space="preserve"> for few seconds and by iodine </w:t>
      </w:r>
      <w:proofErr w:type="spellStart"/>
      <w:r w:rsidRPr="00DC3CF6">
        <w:rPr>
          <w:rStyle w:val="fontstyle21"/>
          <w:rFonts w:asciiTheme="majorBidi" w:hAnsiTheme="majorBidi" w:cstheme="majorBidi"/>
        </w:rPr>
        <w:t>vapor</w:t>
      </w:r>
      <w:proofErr w:type="spellEnd"/>
      <w:r w:rsidRPr="00DC3CF6">
        <w:rPr>
          <w:rStyle w:val="fontstyle21"/>
          <w:rFonts w:asciiTheme="majorBidi" w:hAnsiTheme="majorBidi" w:cstheme="majorBidi"/>
        </w:rPr>
        <w:t>. The</w:t>
      </w:r>
      <w:r w:rsidRPr="00DC3CF6">
        <w:rPr>
          <w:rFonts w:asciiTheme="majorBidi" w:hAnsiTheme="majorBidi" w:cstheme="majorBidi"/>
          <w:color w:val="000000"/>
          <w:sz w:val="24"/>
          <w:szCs w:val="24"/>
        </w:rPr>
        <w:t xml:space="preserve"> </w:t>
      </w:r>
      <w:r w:rsidRPr="00DC3CF6">
        <w:rPr>
          <w:rStyle w:val="fontstyle21"/>
          <w:rFonts w:asciiTheme="majorBidi" w:hAnsiTheme="majorBidi" w:cstheme="majorBidi"/>
        </w:rPr>
        <w:t>chemical names given for the prepared compounds are according to the IUPAC system.</w:t>
      </w:r>
    </w:p>
    <w:p w:rsidR="001E4114" w:rsidRPr="00DC3CF6" w:rsidRDefault="001E4114" w:rsidP="00DC3CF6">
      <w:pPr>
        <w:spacing w:line="360" w:lineRule="auto"/>
        <w:rPr>
          <w:rStyle w:val="fontstyle01"/>
          <w:rFonts w:asciiTheme="majorBidi" w:hAnsiTheme="majorBidi" w:cstheme="majorBidi"/>
          <w:b w:val="0"/>
          <w:bCs w:val="0"/>
          <w:i/>
          <w:iCs/>
        </w:rPr>
      </w:pPr>
      <w:r w:rsidRPr="00DC3CF6">
        <w:rPr>
          <w:rStyle w:val="fontstyle01"/>
          <w:rFonts w:asciiTheme="majorBidi" w:hAnsiTheme="majorBidi" w:cstheme="majorBidi"/>
          <w:b w:val="0"/>
          <w:bCs w:val="0"/>
          <w:i/>
          <w:iCs/>
        </w:rPr>
        <w:t>4.2.1</w:t>
      </w:r>
      <w:r w:rsidRPr="00DC3CF6">
        <w:rPr>
          <w:rStyle w:val="fontstyle01"/>
          <w:rFonts w:asciiTheme="majorBidi" w:hAnsiTheme="majorBidi" w:cstheme="majorBidi"/>
          <w:b w:val="0"/>
          <w:bCs w:val="0"/>
        </w:rPr>
        <w:t xml:space="preserve">. </w:t>
      </w:r>
      <w:r w:rsidRPr="00DC3CF6">
        <w:rPr>
          <w:rStyle w:val="fontstyle41"/>
          <w:rFonts w:asciiTheme="majorBidi" w:hAnsiTheme="majorBidi" w:cstheme="majorBidi"/>
          <w:b w:val="0"/>
          <w:bCs w:val="0"/>
        </w:rPr>
        <w:t>In vitro</w:t>
      </w:r>
      <w:r w:rsidRPr="00DC3CF6">
        <w:rPr>
          <w:rStyle w:val="fontstyle41"/>
          <w:rFonts w:asciiTheme="majorBidi" w:hAnsiTheme="majorBidi" w:cstheme="majorBidi"/>
          <w:b w:val="0"/>
          <w:bCs w:val="0"/>
          <w:i w:val="0"/>
          <w:iCs w:val="0"/>
        </w:rPr>
        <w:t xml:space="preserve"> </w:t>
      </w:r>
      <w:r w:rsidRPr="00DC3CF6">
        <w:rPr>
          <w:rStyle w:val="fontstyle01"/>
          <w:rFonts w:asciiTheme="majorBidi" w:hAnsiTheme="majorBidi" w:cstheme="majorBidi"/>
          <w:b w:val="0"/>
          <w:bCs w:val="0"/>
          <w:i/>
          <w:iCs/>
        </w:rPr>
        <w:t>anticancer activity</w:t>
      </w:r>
    </w:p>
    <w:p w:rsidR="00957FBA" w:rsidRPr="00DC3CF6" w:rsidRDefault="001E4114" w:rsidP="00DC3CF6">
      <w:pPr>
        <w:spacing w:after="0" w:line="360" w:lineRule="auto"/>
        <w:jc w:val="both"/>
        <w:rPr>
          <w:rStyle w:val="fontstyle21"/>
          <w:rFonts w:asciiTheme="majorBidi" w:hAnsiTheme="majorBidi" w:cstheme="majorBidi"/>
        </w:rPr>
      </w:pPr>
      <w:r w:rsidRPr="00DC3CF6">
        <w:rPr>
          <w:rFonts w:asciiTheme="majorBidi" w:hAnsiTheme="majorBidi" w:cstheme="majorBidi"/>
          <w:b/>
          <w:bCs/>
          <w:color w:val="000000"/>
          <w:sz w:val="24"/>
          <w:szCs w:val="24"/>
        </w:rPr>
        <w:br/>
      </w:r>
      <w:r w:rsidRPr="00DC3CF6">
        <w:rPr>
          <w:rStyle w:val="fontstyle21"/>
          <w:rFonts w:asciiTheme="majorBidi" w:hAnsiTheme="majorBidi" w:cstheme="majorBidi"/>
        </w:rPr>
        <w:t xml:space="preserve">MTT assay was used to evaluate the </w:t>
      </w:r>
      <w:r w:rsidRPr="00DC3CF6">
        <w:rPr>
          <w:rStyle w:val="fontstyle51"/>
          <w:rFonts w:asciiTheme="majorBidi" w:hAnsiTheme="majorBidi" w:cstheme="majorBidi"/>
        </w:rPr>
        <w:t xml:space="preserve">in vitro </w:t>
      </w:r>
      <w:r w:rsidRPr="00DC3CF6">
        <w:rPr>
          <w:rStyle w:val="fontstyle21"/>
          <w:rFonts w:asciiTheme="majorBidi" w:hAnsiTheme="majorBidi" w:cstheme="majorBidi"/>
        </w:rPr>
        <w:t>cytotoxicity of the new compounds against</w:t>
      </w:r>
      <w:r w:rsidRPr="00DC3CF6">
        <w:rPr>
          <w:rFonts w:asciiTheme="majorBidi" w:hAnsiTheme="majorBidi" w:cstheme="majorBidi"/>
          <w:color w:val="000000"/>
          <w:sz w:val="24"/>
          <w:szCs w:val="24"/>
        </w:rPr>
        <w:t xml:space="preserve"> </w:t>
      </w:r>
      <w:r w:rsidRPr="00DC3CF6">
        <w:rPr>
          <w:rStyle w:val="fontstyle21"/>
          <w:rFonts w:asciiTheme="majorBidi" w:hAnsiTheme="majorBidi" w:cstheme="majorBidi"/>
        </w:rPr>
        <w:t xml:space="preserve">cervix cancer cell lines </w:t>
      </w:r>
      <w:proofErr w:type="spellStart"/>
      <w:r w:rsidRPr="00DC3CF6">
        <w:rPr>
          <w:rStyle w:val="fontstyle21"/>
          <w:rFonts w:asciiTheme="majorBidi" w:hAnsiTheme="majorBidi" w:cstheme="majorBidi"/>
        </w:rPr>
        <w:t>Hela</w:t>
      </w:r>
      <w:proofErr w:type="spellEnd"/>
      <w:r w:rsidRPr="00DC3CF6">
        <w:rPr>
          <w:rStyle w:val="fontstyle21"/>
          <w:rFonts w:asciiTheme="majorBidi" w:hAnsiTheme="majorBidi" w:cstheme="majorBidi"/>
        </w:rPr>
        <w:t xml:space="preserve"> </w:t>
      </w:r>
      <w:r w:rsidRPr="00DC3CF6">
        <w:rPr>
          <w:rFonts w:asciiTheme="majorBidi" w:eastAsia="CharisSIL" w:hAnsiTheme="majorBidi" w:cstheme="majorBidi"/>
          <w:sz w:val="24"/>
          <w:szCs w:val="24"/>
        </w:rPr>
        <w:t>(</w:t>
      </w:r>
      <w:proofErr w:type="spellStart"/>
      <w:r w:rsidRPr="00DC3CF6">
        <w:rPr>
          <w:rFonts w:asciiTheme="majorBidi" w:hAnsiTheme="majorBidi" w:cstheme="majorBidi"/>
          <w:sz w:val="24"/>
          <w:szCs w:val="24"/>
          <w:shd w:val="clear" w:color="auto" w:fill="FFFFFF"/>
        </w:rPr>
        <w:t>Thavamani</w:t>
      </w:r>
      <w:proofErr w:type="spellEnd"/>
      <w:r w:rsidRPr="00DC3CF6">
        <w:rPr>
          <w:rFonts w:asciiTheme="majorBidi" w:hAnsiTheme="majorBidi" w:cstheme="majorBidi"/>
          <w:sz w:val="24"/>
          <w:szCs w:val="24"/>
          <w:shd w:val="clear" w:color="auto" w:fill="FFFFFF"/>
        </w:rPr>
        <w:t xml:space="preserve"> </w:t>
      </w:r>
      <w:r w:rsidRPr="00DC3CF6">
        <w:rPr>
          <w:rFonts w:asciiTheme="majorBidi" w:hAnsiTheme="majorBidi" w:cstheme="majorBidi"/>
          <w:noProof/>
          <w:sz w:val="24"/>
          <w:szCs w:val="24"/>
        </w:rPr>
        <w:t>et al.</w:t>
      </w:r>
      <w:r w:rsidRPr="00DC3CF6">
        <w:rPr>
          <w:rFonts w:asciiTheme="majorBidi" w:hAnsiTheme="majorBidi" w:cstheme="majorBidi"/>
          <w:color w:val="303030"/>
          <w:sz w:val="24"/>
          <w:szCs w:val="24"/>
          <w:shd w:val="clear" w:color="auto" w:fill="FFFFFF"/>
        </w:rPr>
        <w:t>,</w:t>
      </w:r>
      <w:r w:rsidRPr="00DC3CF6">
        <w:rPr>
          <w:rFonts w:asciiTheme="majorBidi" w:hAnsiTheme="majorBidi" w:cstheme="majorBidi"/>
          <w:sz w:val="24"/>
          <w:szCs w:val="24"/>
        </w:rPr>
        <w:t xml:space="preserve"> 2013; </w:t>
      </w:r>
      <w:proofErr w:type="spellStart"/>
      <w:r w:rsidRPr="00DC3CF6">
        <w:rPr>
          <w:rFonts w:asciiTheme="majorBidi" w:hAnsiTheme="majorBidi" w:cstheme="majorBidi"/>
          <w:sz w:val="24"/>
          <w:szCs w:val="24"/>
        </w:rPr>
        <w:t>Prasetyaningrum</w:t>
      </w:r>
      <w:proofErr w:type="spellEnd"/>
      <w:r w:rsidRPr="00DC3CF6">
        <w:rPr>
          <w:rFonts w:asciiTheme="majorBidi" w:hAnsiTheme="majorBidi" w:cstheme="majorBidi"/>
          <w:sz w:val="24"/>
          <w:szCs w:val="24"/>
        </w:rPr>
        <w:t xml:space="preserve"> </w:t>
      </w:r>
      <w:r w:rsidRPr="00DC3CF6">
        <w:rPr>
          <w:rFonts w:asciiTheme="majorBidi" w:hAnsiTheme="majorBidi" w:cstheme="majorBidi"/>
          <w:noProof/>
          <w:sz w:val="24"/>
          <w:szCs w:val="24"/>
        </w:rPr>
        <w:t>et al.</w:t>
      </w:r>
      <w:r w:rsidRPr="00DC3CF6">
        <w:rPr>
          <w:rFonts w:asciiTheme="majorBidi" w:hAnsiTheme="majorBidi" w:cstheme="majorBidi"/>
          <w:sz w:val="24"/>
          <w:szCs w:val="24"/>
        </w:rPr>
        <w:t>, 2018</w:t>
      </w:r>
      <w:r w:rsidRPr="00DC3CF6">
        <w:rPr>
          <w:rFonts w:asciiTheme="majorBidi" w:eastAsia="CharisSIL" w:hAnsiTheme="majorBidi" w:cstheme="majorBidi"/>
          <w:sz w:val="24"/>
          <w:szCs w:val="24"/>
        </w:rPr>
        <w:t>)</w:t>
      </w:r>
      <w:r w:rsidRPr="00DC3CF6">
        <w:rPr>
          <w:rStyle w:val="fontstyle21"/>
          <w:rFonts w:asciiTheme="majorBidi" w:hAnsiTheme="majorBidi" w:cstheme="majorBidi"/>
        </w:rPr>
        <w:t xml:space="preserve">. </w:t>
      </w:r>
      <w:r w:rsidR="00AC28C0" w:rsidRPr="00DC3CF6">
        <w:rPr>
          <w:rStyle w:val="fontstyle21"/>
          <w:rFonts w:asciiTheme="majorBidi" w:hAnsiTheme="majorBidi" w:cstheme="majorBidi"/>
          <w:highlight w:val="yellow"/>
        </w:rPr>
        <w:t xml:space="preserve">Furthermore, the biologically active </w:t>
      </w:r>
      <w:proofErr w:type="spellStart"/>
      <w:r w:rsidR="00AC28C0" w:rsidRPr="00DC3CF6">
        <w:rPr>
          <w:rStyle w:val="fontstyle21"/>
          <w:rFonts w:asciiTheme="majorBidi" w:hAnsiTheme="majorBidi" w:cstheme="majorBidi"/>
          <w:highlight w:val="yellow"/>
        </w:rPr>
        <w:t>benzimidazoles</w:t>
      </w:r>
      <w:proofErr w:type="spellEnd"/>
      <w:r w:rsidR="00AC28C0" w:rsidRPr="00DC3CF6">
        <w:rPr>
          <w:rStyle w:val="fontstyle21"/>
          <w:rFonts w:asciiTheme="majorBidi" w:hAnsiTheme="majorBidi" w:cstheme="majorBidi"/>
          <w:highlight w:val="yellow"/>
        </w:rPr>
        <w:t xml:space="preserve"> were evaluated for their cytotoxicity against normal cell line WI-38.</w:t>
      </w:r>
      <w:r w:rsidR="00AC28C0" w:rsidRPr="00DC3CF6">
        <w:rPr>
          <w:rStyle w:val="fontstyle21"/>
          <w:rFonts w:asciiTheme="majorBidi" w:hAnsiTheme="majorBidi" w:cstheme="majorBidi"/>
        </w:rPr>
        <w:t xml:space="preserve"> </w:t>
      </w:r>
      <w:proofErr w:type="spellStart"/>
      <w:r w:rsidR="00F45DCC" w:rsidRPr="00DC3CF6">
        <w:rPr>
          <w:rFonts w:asciiTheme="majorBidi" w:hAnsiTheme="majorBidi" w:cstheme="majorBidi"/>
          <w:sz w:val="24"/>
          <w:szCs w:val="24"/>
          <w:highlight w:val="yellow"/>
        </w:rPr>
        <w:t>HeLa</w:t>
      </w:r>
      <w:proofErr w:type="spellEnd"/>
      <w:r w:rsidR="00F45DCC" w:rsidRPr="00DC3CF6">
        <w:rPr>
          <w:rFonts w:asciiTheme="majorBidi" w:hAnsiTheme="majorBidi" w:cstheme="majorBidi"/>
          <w:sz w:val="24"/>
          <w:szCs w:val="24"/>
          <w:highlight w:val="yellow"/>
        </w:rPr>
        <w:t xml:space="preserve"> (human cervical cancer) cell line and non-tumour WI</w:t>
      </w:r>
      <w:r w:rsidR="0064047A">
        <w:rPr>
          <w:rFonts w:asciiTheme="majorBidi" w:hAnsiTheme="majorBidi" w:cstheme="majorBidi"/>
          <w:sz w:val="24"/>
          <w:szCs w:val="24"/>
          <w:highlight w:val="yellow"/>
        </w:rPr>
        <w:t>-</w:t>
      </w:r>
      <w:r w:rsidR="00F45DCC" w:rsidRPr="00DC3CF6">
        <w:rPr>
          <w:rFonts w:asciiTheme="majorBidi" w:hAnsiTheme="majorBidi" w:cstheme="majorBidi"/>
          <w:sz w:val="24"/>
          <w:szCs w:val="24"/>
          <w:highlight w:val="yellow"/>
        </w:rPr>
        <w:t>38 cell line was obtained from the American Type Culture Collection.</w:t>
      </w:r>
      <w:r w:rsidR="00CB1FE3" w:rsidRPr="00DC3CF6">
        <w:rPr>
          <w:rFonts w:asciiTheme="majorBidi" w:hAnsiTheme="majorBidi" w:cstheme="majorBidi"/>
          <w:sz w:val="24"/>
          <w:szCs w:val="24"/>
        </w:rPr>
        <w:t xml:space="preserve"> </w:t>
      </w:r>
      <w:r w:rsidRPr="00DC3CF6">
        <w:rPr>
          <w:rStyle w:val="fontstyle21"/>
          <w:rFonts w:asciiTheme="majorBidi" w:hAnsiTheme="majorBidi" w:cstheme="majorBidi"/>
        </w:rPr>
        <w:t>MTT assay depends on the reduction of the soluble 3-(4</w:t>
      </w:r>
      <w:proofErr w:type="gramStart"/>
      <w:r w:rsidRPr="00DC3CF6">
        <w:rPr>
          <w:rStyle w:val="fontstyle21"/>
          <w:rFonts w:asciiTheme="majorBidi" w:hAnsiTheme="majorBidi" w:cstheme="majorBidi"/>
        </w:rPr>
        <w:t>,5</w:t>
      </w:r>
      <w:proofErr w:type="gramEnd"/>
      <w:r w:rsidRPr="00DC3CF6">
        <w:rPr>
          <w:rStyle w:val="fontstyle21"/>
          <w:rFonts w:asciiTheme="majorBidi" w:hAnsiTheme="majorBidi" w:cstheme="majorBidi"/>
        </w:rPr>
        <w:t>-</w:t>
      </w:r>
      <w:r w:rsidRPr="00DC3CF6">
        <w:rPr>
          <w:rFonts w:asciiTheme="majorBidi" w:hAnsiTheme="majorBidi" w:cstheme="majorBidi"/>
          <w:color w:val="000000"/>
          <w:sz w:val="24"/>
          <w:szCs w:val="24"/>
        </w:rPr>
        <w:t xml:space="preserve"> </w:t>
      </w:r>
      <w:r w:rsidRPr="00DC3CF6">
        <w:rPr>
          <w:rStyle w:val="fontstyle21"/>
          <w:rFonts w:asciiTheme="majorBidi" w:hAnsiTheme="majorBidi" w:cstheme="majorBidi"/>
        </w:rPr>
        <w:t xml:space="preserve">methyl-2-thiazolyl)-2,5-diphenyl-2H-tetrazolium bromide (MTT) into a blue purple </w:t>
      </w:r>
      <w:proofErr w:type="spellStart"/>
      <w:r w:rsidRPr="00DC3CF6">
        <w:rPr>
          <w:rStyle w:val="fontstyle21"/>
          <w:rFonts w:asciiTheme="majorBidi" w:hAnsiTheme="majorBidi" w:cstheme="majorBidi"/>
        </w:rPr>
        <w:t>formazan</w:t>
      </w:r>
      <w:proofErr w:type="spellEnd"/>
      <w:r w:rsidRPr="00DC3CF6">
        <w:rPr>
          <w:rFonts w:asciiTheme="majorBidi" w:hAnsiTheme="majorBidi" w:cstheme="majorBidi"/>
          <w:color w:val="000000"/>
          <w:sz w:val="24"/>
          <w:szCs w:val="24"/>
        </w:rPr>
        <w:t xml:space="preserve"> </w:t>
      </w:r>
      <w:r w:rsidRPr="00DC3CF6">
        <w:rPr>
          <w:rStyle w:val="fontstyle21"/>
          <w:rFonts w:asciiTheme="majorBidi" w:hAnsiTheme="majorBidi" w:cstheme="majorBidi"/>
        </w:rPr>
        <w:t xml:space="preserve">product, mainly by mitochondrial </w:t>
      </w:r>
      <w:proofErr w:type="spellStart"/>
      <w:r w:rsidRPr="00DC3CF6">
        <w:rPr>
          <w:rStyle w:val="fontstyle21"/>
          <w:rFonts w:asciiTheme="majorBidi" w:hAnsiTheme="majorBidi" w:cstheme="majorBidi"/>
        </w:rPr>
        <w:t>reductase</w:t>
      </w:r>
      <w:proofErr w:type="spellEnd"/>
      <w:r w:rsidRPr="00DC3CF6">
        <w:rPr>
          <w:rStyle w:val="fontstyle21"/>
          <w:rFonts w:asciiTheme="majorBidi" w:hAnsiTheme="majorBidi" w:cstheme="majorBidi"/>
        </w:rPr>
        <w:t xml:space="preserve"> activity inside the living cells. The cells </w:t>
      </w:r>
      <w:r w:rsidRPr="00DC3CF6">
        <w:rPr>
          <w:rStyle w:val="fontstyle21"/>
          <w:rFonts w:asciiTheme="majorBidi" w:hAnsiTheme="majorBidi" w:cstheme="majorBidi"/>
        </w:rPr>
        <w:lastRenderedPageBreak/>
        <w:t>used in</w:t>
      </w:r>
      <w:r w:rsidRPr="00DC3CF6">
        <w:rPr>
          <w:rFonts w:asciiTheme="majorBidi" w:hAnsiTheme="majorBidi" w:cstheme="majorBidi"/>
          <w:color w:val="000000"/>
          <w:sz w:val="24"/>
          <w:szCs w:val="24"/>
        </w:rPr>
        <w:t xml:space="preserve"> </w:t>
      </w:r>
      <w:r w:rsidRPr="00DC3CF6">
        <w:rPr>
          <w:rStyle w:val="fontstyle21"/>
          <w:rFonts w:asciiTheme="majorBidi" w:hAnsiTheme="majorBidi" w:cstheme="majorBidi"/>
        </w:rPr>
        <w:t xml:space="preserve">cytotoxicity assay were cultured in RPMI 1640 medium supplemented with 10% </w:t>
      </w:r>
      <w:proofErr w:type="spellStart"/>
      <w:r w:rsidRPr="00DC3CF6">
        <w:rPr>
          <w:rStyle w:val="fontstyle21"/>
          <w:rFonts w:asciiTheme="majorBidi" w:hAnsiTheme="majorBidi" w:cstheme="majorBidi"/>
        </w:rPr>
        <w:t>fetal</w:t>
      </w:r>
      <w:proofErr w:type="spellEnd"/>
      <w:r w:rsidRPr="00DC3CF6">
        <w:rPr>
          <w:rStyle w:val="fontstyle21"/>
          <w:rFonts w:asciiTheme="majorBidi" w:hAnsiTheme="majorBidi" w:cstheme="majorBidi"/>
        </w:rPr>
        <w:t xml:space="preserve"> calf serum.</w:t>
      </w:r>
      <w:r w:rsidRPr="00DC3CF6">
        <w:rPr>
          <w:rFonts w:asciiTheme="majorBidi" w:hAnsiTheme="majorBidi" w:cstheme="majorBidi"/>
          <w:color w:val="000000"/>
          <w:sz w:val="24"/>
          <w:szCs w:val="24"/>
        </w:rPr>
        <w:t xml:space="preserve"> </w:t>
      </w:r>
      <w:r w:rsidRPr="00DC3CF6">
        <w:rPr>
          <w:rStyle w:val="fontstyle21"/>
          <w:rFonts w:asciiTheme="majorBidi" w:hAnsiTheme="majorBidi" w:cstheme="majorBidi"/>
        </w:rPr>
        <w:t>Cells suspended in the medium (2×10</w:t>
      </w:r>
      <w:r w:rsidRPr="00DC3CF6">
        <w:rPr>
          <w:rStyle w:val="fontstyle21"/>
          <w:rFonts w:asciiTheme="majorBidi" w:hAnsiTheme="majorBidi" w:cstheme="majorBidi"/>
          <w:vertAlign w:val="superscript"/>
        </w:rPr>
        <w:t>4</w:t>
      </w:r>
      <w:r w:rsidRPr="00DC3CF6">
        <w:rPr>
          <w:rStyle w:val="fontstyle21"/>
          <w:rFonts w:asciiTheme="majorBidi" w:hAnsiTheme="majorBidi" w:cstheme="majorBidi"/>
        </w:rPr>
        <w:t xml:space="preserve"> cells/mL) were plated in 96-well culture plates and</w:t>
      </w:r>
      <w:r w:rsidRPr="00DC3CF6">
        <w:rPr>
          <w:rFonts w:asciiTheme="majorBidi" w:hAnsiTheme="majorBidi" w:cstheme="majorBidi"/>
          <w:color w:val="000000"/>
          <w:sz w:val="24"/>
          <w:szCs w:val="24"/>
        </w:rPr>
        <w:t xml:space="preserve"> </w:t>
      </w:r>
      <w:r w:rsidRPr="00DC3CF6">
        <w:rPr>
          <w:rStyle w:val="fontstyle21"/>
          <w:rFonts w:asciiTheme="majorBidi" w:hAnsiTheme="majorBidi" w:cstheme="majorBidi"/>
        </w:rPr>
        <w:t>incubated at 37 °C in a 5% CO</w:t>
      </w:r>
      <w:r w:rsidRPr="00DC3CF6">
        <w:rPr>
          <w:rStyle w:val="fontstyle21"/>
          <w:rFonts w:asciiTheme="majorBidi" w:hAnsiTheme="majorBidi" w:cstheme="majorBidi"/>
          <w:vertAlign w:val="subscript"/>
        </w:rPr>
        <w:t>2</w:t>
      </w:r>
      <w:r w:rsidRPr="00DC3CF6">
        <w:rPr>
          <w:rStyle w:val="fontstyle21"/>
          <w:rFonts w:asciiTheme="majorBidi" w:hAnsiTheme="majorBidi" w:cstheme="majorBidi"/>
        </w:rPr>
        <w:t xml:space="preserve"> incubator. After 12 h, the test sample (2 </w:t>
      </w:r>
      <w:proofErr w:type="spellStart"/>
      <w:r w:rsidRPr="00DC3CF6">
        <w:rPr>
          <w:rStyle w:val="fontstyle21"/>
          <w:rFonts w:asciiTheme="majorBidi" w:hAnsiTheme="majorBidi" w:cstheme="majorBidi"/>
        </w:rPr>
        <w:t>μL</w:t>
      </w:r>
      <w:proofErr w:type="spellEnd"/>
      <w:r w:rsidRPr="00DC3CF6">
        <w:rPr>
          <w:rStyle w:val="fontstyle21"/>
          <w:rFonts w:asciiTheme="majorBidi" w:hAnsiTheme="majorBidi" w:cstheme="majorBidi"/>
        </w:rPr>
        <w:t>) was added to the cells (2×10</w:t>
      </w:r>
      <w:r w:rsidRPr="00DC3CF6">
        <w:rPr>
          <w:rStyle w:val="fontstyle21"/>
          <w:rFonts w:asciiTheme="majorBidi" w:hAnsiTheme="majorBidi" w:cstheme="majorBidi"/>
          <w:vertAlign w:val="superscript"/>
        </w:rPr>
        <w:t>4</w:t>
      </w:r>
      <w:r w:rsidRPr="00DC3CF6">
        <w:rPr>
          <w:rStyle w:val="fontstyle21"/>
          <w:rFonts w:asciiTheme="majorBidi" w:hAnsiTheme="majorBidi" w:cstheme="majorBidi"/>
        </w:rPr>
        <w:t>) in 96-well plates and cultured at 37</w:t>
      </w:r>
      <w:r w:rsidRPr="00DC3CF6">
        <w:rPr>
          <w:rStyle w:val="fontstyle21"/>
          <w:rFonts w:asciiTheme="majorBidi" w:hAnsiTheme="majorBidi" w:cstheme="majorBidi"/>
          <w:vertAlign w:val="superscript"/>
        </w:rPr>
        <w:t>◦</w:t>
      </w:r>
      <w:r w:rsidRPr="00DC3CF6">
        <w:rPr>
          <w:rStyle w:val="fontstyle21"/>
          <w:rFonts w:asciiTheme="majorBidi" w:hAnsiTheme="majorBidi" w:cstheme="majorBidi"/>
        </w:rPr>
        <w:t>C for 3 days. The cultured cells were mixed with 20μL of MTT solution and incubated for 4 h at 37 °C. The supernatant was carefully removed from</w:t>
      </w:r>
      <w:r w:rsidRPr="00DC3CF6">
        <w:rPr>
          <w:rFonts w:asciiTheme="majorBidi" w:hAnsiTheme="majorBidi" w:cstheme="majorBidi"/>
          <w:color w:val="000000"/>
          <w:sz w:val="24"/>
          <w:szCs w:val="24"/>
        </w:rPr>
        <w:t xml:space="preserve"> </w:t>
      </w:r>
      <w:r w:rsidRPr="00DC3CF6">
        <w:rPr>
          <w:rStyle w:val="fontstyle21"/>
          <w:rFonts w:asciiTheme="majorBidi" w:hAnsiTheme="majorBidi" w:cstheme="majorBidi"/>
        </w:rPr>
        <w:t xml:space="preserve">each well and 100 </w:t>
      </w:r>
      <w:proofErr w:type="spellStart"/>
      <w:r w:rsidRPr="00DC3CF6">
        <w:rPr>
          <w:rStyle w:val="fontstyle21"/>
          <w:rFonts w:asciiTheme="majorBidi" w:hAnsiTheme="majorBidi" w:cstheme="majorBidi"/>
        </w:rPr>
        <w:t>μL</w:t>
      </w:r>
      <w:proofErr w:type="spellEnd"/>
      <w:r w:rsidRPr="00DC3CF6">
        <w:rPr>
          <w:rStyle w:val="fontstyle21"/>
          <w:rFonts w:asciiTheme="majorBidi" w:hAnsiTheme="majorBidi" w:cstheme="majorBidi"/>
        </w:rPr>
        <w:t xml:space="preserve"> of DMSO were added to each well to dissolve the </w:t>
      </w:r>
      <w:proofErr w:type="spellStart"/>
      <w:r w:rsidRPr="00DC3CF6">
        <w:rPr>
          <w:rStyle w:val="fontstyle21"/>
          <w:rFonts w:asciiTheme="majorBidi" w:hAnsiTheme="majorBidi" w:cstheme="majorBidi"/>
        </w:rPr>
        <w:t>formazan</w:t>
      </w:r>
      <w:proofErr w:type="spellEnd"/>
      <w:r w:rsidRPr="00DC3CF6">
        <w:rPr>
          <w:rStyle w:val="fontstyle21"/>
          <w:rFonts w:asciiTheme="majorBidi" w:hAnsiTheme="majorBidi" w:cstheme="majorBidi"/>
        </w:rPr>
        <w:t xml:space="preserve"> crystals which</w:t>
      </w:r>
      <w:r w:rsidRPr="00DC3CF6">
        <w:rPr>
          <w:rFonts w:asciiTheme="majorBidi" w:hAnsiTheme="majorBidi" w:cstheme="majorBidi"/>
          <w:color w:val="000000"/>
          <w:sz w:val="24"/>
          <w:szCs w:val="24"/>
        </w:rPr>
        <w:t xml:space="preserve"> </w:t>
      </w:r>
      <w:r w:rsidRPr="00DC3CF6">
        <w:rPr>
          <w:rStyle w:val="fontstyle21"/>
          <w:rFonts w:asciiTheme="majorBidi" w:hAnsiTheme="majorBidi" w:cstheme="majorBidi"/>
        </w:rPr>
        <w:t>were formed by the cellular reduction of MTT. After mixing with a mechanical plate mixer, the</w:t>
      </w:r>
      <w:r w:rsidRPr="00DC3CF6">
        <w:rPr>
          <w:rFonts w:asciiTheme="majorBidi" w:hAnsiTheme="majorBidi" w:cstheme="majorBidi"/>
          <w:color w:val="000000"/>
          <w:sz w:val="24"/>
          <w:szCs w:val="24"/>
        </w:rPr>
        <w:t xml:space="preserve"> </w:t>
      </w:r>
      <w:r w:rsidRPr="00DC3CF6">
        <w:rPr>
          <w:rStyle w:val="fontstyle21"/>
          <w:rFonts w:asciiTheme="majorBidi" w:hAnsiTheme="majorBidi" w:cstheme="majorBidi"/>
        </w:rPr>
        <w:t xml:space="preserve">absorbance of each well was measured by a </w:t>
      </w:r>
      <w:proofErr w:type="spellStart"/>
      <w:r w:rsidRPr="00DC3CF6">
        <w:rPr>
          <w:rStyle w:val="fontstyle21"/>
          <w:rFonts w:asciiTheme="majorBidi" w:hAnsiTheme="majorBidi" w:cstheme="majorBidi"/>
        </w:rPr>
        <w:t>microplate</w:t>
      </w:r>
      <w:proofErr w:type="spellEnd"/>
      <w:r w:rsidRPr="00DC3CF6">
        <w:rPr>
          <w:rStyle w:val="fontstyle21"/>
          <w:rFonts w:asciiTheme="majorBidi" w:hAnsiTheme="majorBidi" w:cstheme="majorBidi"/>
        </w:rPr>
        <w:t xml:space="preserve"> reader using a test wavelength of 570 nm.</w:t>
      </w:r>
      <w:r w:rsidRPr="00DC3CF6">
        <w:rPr>
          <w:rFonts w:asciiTheme="majorBidi" w:hAnsiTheme="majorBidi" w:cstheme="majorBidi"/>
          <w:color w:val="000000"/>
          <w:sz w:val="24"/>
          <w:szCs w:val="24"/>
        </w:rPr>
        <w:t xml:space="preserve"> </w:t>
      </w:r>
      <w:r w:rsidRPr="00DC3CF6">
        <w:rPr>
          <w:rStyle w:val="fontstyle21"/>
          <w:rFonts w:asciiTheme="majorBidi" w:hAnsiTheme="majorBidi" w:cstheme="majorBidi"/>
        </w:rPr>
        <w:t>The results were expressed as the IC</w:t>
      </w:r>
      <w:r w:rsidRPr="00DC3CF6">
        <w:rPr>
          <w:rStyle w:val="fontstyle21"/>
          <w:rFonts w:asciiTheme="majorBidi" w:hAnsiTheme="majorBidi" w:cstheme="majorBidi"/>
          <w:vertAlign w:val="subscript"/>
        </w:rPr>
        <w:t>50</w:t>
      </w:r>
      <w:r w:rsidRPr="00DC3CF6">
        <w:rPr>
          <w:rStyle w:val="fontstyle21"/>
          <w:rFonts w:asciiTheme="majorBidi" w:hAnsiTheme="majorBidi" w:cstheme="majorBidi"/>
        </w:rPr>
        <w:t xml:space="preserve"> (</w:t>
      </w:r>
      <w:proofErr w:type="spellStart"/>
      <w:r w:rsidRPr="00DC3CF6">
        <w:rPr>
          <w:rStyle w:val="fontstyle21"/>
          <w:rFonts w:asciiTheme="majorBidi" w:hAnsiTheme="majorBidi" w:cstheme="majorBidi"/>
        </w:rPr>
        <w:t>μM</w:t>
      </w:r>
      <w:proofErr w:type="spellEnd"/>
      <w:r w:rsidRPr="00DC3CF6">
        <w:rPr>
          <w:rStyle w:val="fontstyle21"/>
          <w:rFonts w:asciiTheme="majorBidi" w:hAnsiTheme="majorBidi" w:cstheme="majorBidi"/>
        </w:rPr>
        <w:t>), which inducing a 50% inhibition of cell growth of</w:t>
      </w:r>
      <w:r w:rsidRPr="00DC3CF6">
        <w:rPr>
          <w:rFonts w:asciiTheme="majorBidi" w:hAnsiTheme="majorBidi" w:cstheme="majorBidi"/>
          <w:color w:val="000000"/>
          <w:sz w:val="24"/>
          <w:szCs w:val="24"/>
        </w:rPr>
        <w:t xml:space="preserve"> </w:t>
      </w:r>
      <w:r w:rsidRPr="00DC3CF6">
        <w:rPr>
          <w:rStyle w:val="fontstyle21"/>
          <w:rFonts w:asciiTheme="majorBidi" w:hAnsiTheme="majorBidi" w:cstheme="majorBidi"/>
        </w:rPr>
        <w:t>the treated cells when compared to the growth of control cells. Each experiment was performed at</w:t>
      </w:r>
      <w:r w:rsidRPr="00DC3CF6">
        <w:rPr>
          <w:rFonts w:asciiTheme="majorBidi" w:hAnsiTheme="majorBidi" w:cstheme="majorBidi"/>
          <w:color w:val="000000"/>
          <w:sz w:val="24"/>
          <w:szCs w:val="24"/>
        </w:rPr>
        <w:t xml:space="preserve"> </w:t>
      </w:r>
      <w:r w:rsidRPr="00DC3CF6">
        <w:rPr>
          <w:rStyle w:val="fontstyle21"/>
          <w:rFonts w:asciiTheme="majorBidi" w:hAnsiTheme="majorBidi" w:cstheme="majorBidi"/>
        </w:rPr>
        <w:t>least 3 times. There was a good</w:t>
      </w:r>
      <w:r w:rsidR="009C565E" w:rsidRPr="00DC3CF6">
        <w:rPr>
          <w:rStyle w:val="fontstyle21"/>
          <w:rFonts w:asciiTheme="majorBidi" w:hAnsiTheme="majorBidi" w:cstheme="majorBidi"/>
        </w:rPr>
        <w:t xml:space="preserve"> </w:t>
      </w:r>
      <w:r w:rsidRPr="00DC3CF6">
        <w:rPr>
          <w:rStyle w:val="fontstyle21"/>
          <w:rFonts w:asciiTheme="majorBidi" w:hAnsiTheme="majorBidi" w:cstheme="majorBidi"/>
        </w:rPr>
        <w:t>reproducibility between the replicate wells with standard errors.</w:t>
      </w:r>
    </w:p>
    <w:p w:rsidR="00957FBA" w:rsidRPr="00DC3CF6" w:rsidRDefault="00957FBA" w:rsidP="00DC3CF6">
      <w:pPr>
        <w:spacing w:after="0" w:line="360" w:lineRule="auto"/>
        <w:jc w:val="both"/>
        <w:rPr>
          <w:rStyle w:val="fontstyle21"/>
          <w:rFonts w:asciiTheme="majorBidi" w:hAnsiTheme="majorBidi" w:cstheme="majorBidi"/>
        </w:rPr>
      </w:pPr>
    </w:p>
    <w:p w:rsidR="001E4114" w:rsidRPr="00DC3CF6" w:rsidRDefault="001E4114" w:rsidP="00DC3CF6">
      <w:pPr>
        <w:spacing w:after="0" w:line="360" w:lineRule="auto"/>
        <w:rPr>
          <w:rFonts w:asciiTheme="majorBidi" w:hAnsiTheme="majorBidi" w:cstheme="majorBidi"/>
          <w:i/>
          <w:iCs/>
          <w:sz w:val="24"/>
          <w:szCs w:val="24"/>
        </w:rPr>
      </w:pPr>
      <w:r w:rsidRPr="00DC3CF6">
        <w:rPr>
          <w:rFonts w:asciiTheme="majorBidi" w:hAnsiTheme="majorBidi" w:cstheme="majorBidi"/>
          <w:i/>
          <w:iCs/>
          <w:sz w:val="24"/>
          <w:szCs w:val="24"/>
        </w:rPr>
        <w:t>4.2.2. Kinase assays</w:t>
      </w:r>
    </w:p>
    <w:p w:rsidR="001E4114" w:rsidRPr="00DC3CF6" w:rsidRDefault="001E4114" w:rsidP="0056118F">
      <w:pPr>
        <w:spacing w:after="0" w:line="360" w:lineRule="auto"/>
        <w:ind w:firstLine="720"/>
        <w:jc w:val="both"/>
        <w:rPr>
          <w:rFonts w:asciiTheme="majorBidi" w:hAnsiTheme="majorBidi" w:cstheme="majorBidi"/>
          <w:sz w:val="24"/>
          <w:szCs w:val="24"/>
        </w:rPr>
      </w:pPr>
      <w:r w:rsidRPr="00DC3CF6">
        <w:rPr>
          <w:rFonts w:asciiTheme="majorBidi" w:hAnsiTheme="majorBidi" w:cstheme="majorBidi"/>
          <w:sz w:val="24"/>
          <w:szCs w:val="24"/>
        </w:rPr>
        <w:t xml:space="preserve">The activities of the examined compounds against EGFR, HER2, PDGFR-β and VEGFR2 were </w:t>
      </w:r>
      <w:r w:rsidRPr="00DC3CF6">
        <w:rPr>
          <w:rFonts w:asciiTheme="majorBidi" w:hAnsiTheme="majorBidi" w:cstheme="majorBidi"/>
          <w:i/>
          <w:iCs/>
          <w:sz w:val="24"/>
          <w:szCs w:val="24"/>
        </w:rPr>
        <w:t>in vitro</w:t>
      </w:r>
      <w:r w:rsidRPr="00DC3CF6">
        <w:rPr>
          <w:rFonts w:asciiTheme="majorBidi" w:hAnsiTheme="majorBidi" w:cstheme="majorBidi"/>
          <w:sz w:val="24"/>
          <w:szCs w:val="24"/>
        </w:rPr>
        <w:t xml:space="preserve"> tested</w:t>
      </w:r>
      <w:r w:rsidRPr="00DC3CF6">
        <w:rPr>
          <w:rFonts w:asciiTheme="majorBidi" w:hAnsiTheme="majorBidi" w:cstheme="majorBidi"/>
          <w:b/>
          <w:bCs/>
          <w:sz w:val="24"/>
          <w:szCs w:val="24"/>
        </w:rPr>
        <w:t xml:space="preserve"> </w:t>
      </w:r>
      <w:r w:rsidRPr="0056118F">
        <w:rPr>
          <w:rFonts w:asciiTheme="majorBidi" w:hAnsiTheme="majorBidi" w:cstheme="majorBidi"/>
          <w:sz w:val="24"/>
          <w:szCs w:val="24"/>
        </w:rPr>
        <w:t>usi</w:t>
      </w:r>
      <w:bookmarkStart w:id="0" w:name="_GoBack"/>
      <w:bookmarkEnd w:id="0"/>
      <w:r w:rsidRPr="0056118F">
        <w:rPr>
          <w:rFonts w:asciiTheme="majorBidi" w:hAnsiTheme="majorBidi" w:cstheme="majorBidi"/>
          <w:sz w:val="24"/>
          <w:szCs w:val="24"/>
        </w:rPr>
        <w:t xml:space="preserve">ng </w:t>
      </w:r>
      <w:proofErr w:type="spellStart"/>
      <w:r w:rsidR="0056118F" w:rsidRPr="0056118F">
        <w:rPr>
          <w:rFonts w:asciiTheme="majorBidi" w:eastAsia="Times New Roman" w:hAnsiTheme="majorBidi" w:cstheme="majorBidi"/>
          <w:color w:val="201F1E"/>
          <w:sz w:val="24"/>
          <w:szCs w:val="24"/>
        </w:rPr>
        <w:t>abcam</w:t>
      </w:r>
      <w:r w:rsidR="0056118F" w:rsidRPr="0056118F">
        <w:rPr>
          <w:rFonts w:asciiTheme="majorBidi" w:eastAsia="Times New Roman" w:hAnsiTheme="majorBidi" w:cstheme="majorBidi"/>
          <w:color w:val="201F1E"/>
          <w:sz w:val="24"/>
          <w:szCs w:val="24"/>
          <w:vertAlign w:val="superscript"/>
        </w:rPr>
        <w:t>’</w:t>
      </w:r>
      <w:r w:rsidR="0056118F" w:rsidRPr="0056118F">
        <w:rPr>
          <w:rFonts w:asciiTheme="majorBidi" w:eastAsia="Times New Roman" w:hAnsiTheme="majorBidi" w:cstheme="majorBidi"/>
          <w:color w:val="201F1E"/>
          <w:sz w:val="24"/>
          <w:szCs w:val="24"/>
        </w:rPr>
        <w:t>s</w:t>
      </w:r>
      <w:proofErr w:type="spellEnd"/>
      <w:r w:rsidR="0056118F" w:rsidRPr="0056118F">
        <w:rPr>
          <w:rFonts w:asciiTheme="majorBidi" w:eastAsia="Times New Roman" w:hAnsiTheme="majorBidi" w:cstheme="majorBidi"/>
          <w:color w:val="201F1E"/>
          <w:sz w:val="24"/>
          <w:szCs w:val="24"/>
        </w:rPr>
        <w:t xml:space="preserve"> EGFR Human In cell ELISA Kit (</w:t>
      </w:r>
      <w:proofErr w:type="spellStart"/>
      <w:r w:rsidR="0056118F" w:rsidRPr="0056118F">
        <w:rPr>
          <w:rFonts w:asciiTheme="majorBidi" w:eastAsia="Times New Roman" w:hAnsiTheme="majorBidi" w:cstheme="majorBidi"/>
          <w:color w:val="201F1E"/>
          <w:sz w:val="24"/>
          <w:szCs w:val="24"/>
        </w:rPr>
        <w:t>ab</w:t>
      </w:r>
      <w:proofErr w:type="spellEnd"/>
      <w:r w:rsidR="0056118F" w:rsidRPr="0056118F">
        <w:rPr>
          <w:rFonts w:asciiTheme="majorBidi" w:eastAsia="Times New Roman" w:hAnsiTheme="majorBidi" w:cstheme="majorBidi"/>
          <w:color w:val="201F1E"/>
          <w:sz w:val="24"/>
          <w:szCs w:val="24"/>
        </w:rPr>
        <w:t xml:space="preserve"> 126419)</w:t>
      </w:r>
      <w:r w:rsidRPr="0056118F">
        <w:rPr>
          <w:rFonts w:asciiTheme="majorBidi" w:hAnsiTheme="majorBidi" w:cstheme="majorBidi"/>
          <w:sz w:val="24"/>
          <w:szCs w:val="24"/>
        </w:rPr>
        <w:t>, ADP-</w:t>
      </w:r>
      <w:proofErr w:type="spellStart"/>
      <w:r w:rsidRPr="0056118F">
        <w:rPr>
          <w:rFonts w:asciiTheme="majorBidi" w:hAnsiTheme="majorBidi" w:cstheme="majorBidi"/>
          <w:sz w:val="24"/>
          <w:szCs w:val="24"/>
        </w:rPr>
        <w:t>Glo</w:t>
      </w:r>
      <w:proofErr w:type="spellEnd"/>
      <w:r w:rsidRPr="0056118F">
        <w:rPr>
          <w:rFonts w:asciiTheme="majorBidi" w:hAnsiTheme="majorBidi" w:cstheme="majorBidi"/>
          <w:sz w:val="24"/>
          <w:szCs w:val="24"/>
        </w:rPr>
        <w:t>™ Kinase</w:t>
      </w:r>
      <w:r w:rsidRPr="00DC3CF6">
        <w:rPr>
          <w:rFonts w:asciiTheme="majorBidi" w:hAnsiTheme="majorBidi" w:cstheme="majorBidi"/>
          <w:sz w:val="24"/>
          <w:szCs w:val="24"/>
        </w:rPr>
        <w:t xml:space="preserve"> Assay for Her2, PDGFR-β, Active, Recombinant protein expressed in Sf9 cells for VEGFR2 (KDR) Kinase Assay Kit </w:t>
      </w:r>
      <w:proofErr w:type="spellStart"/>
      <w:r w:rsidRPr="00DC3CF6">
        <w:rPr>
          <w:rFonts w:asciiTheme="majorBidi" w:hAnsiTheme="majorBidi" w:cstheme="majorBidi"/>
          <w:sz w:val="24"/>
          <w:szCs w:val="24"/>
        </w:rPr>
        <w:t>Catalog</w:t>
      </w:r>
      <w:proofErr w:type="spellEnd"/>
      <w:r w:rsidRPr="00DC3CF6">
        <w:rPr>
          <w:rFonts w:asciiTheme="majorBidi" w:hAnsiTheme="majorBidi" w:cstheme="majorBidi"/>
          <w:sz w:val="24"/>
          <w:szCs w:val="24"/>
        </w:rPr>
        <w:t xml:space="preserve"> # 40325, respectively</w:t>
      </w:r>
      <w:r w:rsidRPr="00DC3CF6">
        <w:rPr>
          <w:rFonts w:asciiTheme="majorBidi" w:eastAsia="CharisSIL" w:hAnsiTheme="majorBidi" w:cstheme="majorBidi"/>
          <w:sz w:val="24"/>
          <w:szCs w:val="24"/>
        </w:rPr>
        <w:t xml:space="preserve">. </w:t>
      </w:r>
      <w:r w:rsidRPr="00DC3CF6">
        <w:rPr>
          <w:rFonts w:asciiTheme="majorBidi" w:hAnsiTheme="majorBidi" w:cstheme="majorBidi"/>
          <w:sz w:val="24"/>
          <w:szCs w:val="24"/>
        </w:rPr>
        <w:t>The procedure of the used kits was done according to the manufacturer</w:t>
      </w:r>
      <w:r w:rsidRPr="00DC3CF6">
        <w:rPr>
          <w:rFonts w:asciiTheme="majorBidi" w:hAnsiTheme="majorBidi" w:cstheme="majorBidi"/>
          <w:sz w:val="24"/>
          <w:szCs w:val="24"/>
          <w:vertAlign w:val="superscript"/>
        </w:rPr>
        <w:t xml:space="preserve">, </w:t>
      </w:r>
      <w:r w:rsidRPr="00DC3CF6">
        <w:rPr>
          <w:rFonts w:asciiTheme="majorBidi" w:hAnsiTheme="majorBidi" w:cstheme="majorBidi"/>
          <w:sz w:val="24"/>
          <w:szCs w:val="24"/>
        </w:rPr>
        <w:t>s instructions.</w:t>
      </w:r>
    </w:p>
    <w:p w:rsidR="001E4114" w:rsidRPr="00DC3CF6" w:rsidRDefault="001E4114" w:rsidP="00DC3CF6">
      <w:pPr>
        <w:spacing w:after="0" w:line="360" w:lineRule="auto"/>
        <w:rPr>
          <w:rFonts w:asciiTheme="majorBidi" w:hAnsiTheme="majorBidi" w:cstheme="majorBidi"/>
          <w:i/>
          <w:iCs/>
          <w:sz w:val="24"/>
          <w:szCs w:val="24"/>
        </w:rPr>
      </w:pPr>
      <w:r w:rsidRPr="00DC3CF6">
        <w:rPr>
          <w:rFonts w:asciiTheme="majorBidi" w:hAnsiTheme="majorBidi" w:cstheme="majorBidi"/>
          <w:i/>
          <w:iCs/>
          <w:sz w:val="24"/>
          <w:szCs w:val="24"/>
        </w:rPr>
        <w:t xml:space="preserve">4.2.3. </w:t>
      </w:r>
      <w:bookmarkStart w:id="1" w:name="_Hlk40180774"/>
      <w:r w:rsidRPr="00DC3CF6">
        <w:rPr>
          <w:rFonts w:asciiTheme="majorBidi" w:hAnsiTheme="majorBidi" w:cstheme="majorBidi"/>
          <w:i/>
          <w:iCs/>
          <w:sz w:val="24"/>
          <w:szCs w:val="24"/>
        </w:rPr>
        <w:t>Cell cycle analysis and apoptosis detection</w:t>
      </w:r>
      <w:bookmarkEnd w:id="1"/>
    </w:p>
    <w:p w:rsidR="001E4114" w:rsidRPr="00DC3CF6" w:rsidRDefault="001E4114" w:rsidP="0064047A">
      <w:pPr>
        <w:spacing w:after="0" w:line="360" w:lineRule="auto"/>
        <w:ind w:firstLine="720"/>
        <w:jc w:val="both"/>
        <w:rPr>
          <w:rFonts w:asciiTheme="majorBidi" w:hAnsiTheme="majorBidi" w:cstheme="majorBidi"/>
          <w:sz w:val="24"/>
          <w:szCs w:val="24"/>
        </w:rPr>
      </w:pPr>
      <w:r w:rsidRPr="00DC3CF6">
        <w:rPr>
          <w:rStyle w:val="fontstyle21"/>
          <w:rFonts w:asciiTheme="majorBidi" w:hAnsiTheme="majorBidi" w:cstheme="majorBidi"/>
        </w:rPr>
        <w:t xml:space="preserve">Cell cycle analysis and apoptosis investigation were carried out by flow </w:t>
      </w:r>
      <w:proofErr w:type="spellStart"/>
      <w:r w:rsidRPr="00DC3CF6">
        <w:rPr>
          <w:rStyle w:val="fontstyle21"/>
          <w:rFonts w:asciiTheme="majorBidi" w:hAnsiTheme="majorBidi" w:cstheme="majorBidi"/>
        </w:rPr>
        <w:t>cytometry</w:t>
      </w:r>
      <w:proofErr w:type="spellEnd"/>
      <w:r w:rsidRPr="00DC3CF6">
        <w:rPr>
          <w:rStyle w:val="fontstyle21"/>
          <w:rFonts w:asciiTheme="majorBidi" w:hAnsiTheme="majorBidi" w:cstheme="majorBidi"/>
        </w:rPr>
        <w:t xml:space="preserve"> </w:t>
      </w:r>
      <w:r w:rsidRPr="00DC3CF6">
        <w:rPr>
          <w:rFonts w:asciiTheme="majorBidi" w:hAnsiTheme="majorBidi" w:cstheme="majorBidi"/>
          <w:sz w:val="24"/>
          <w:szCs w:val="24"/>
        </w:rPr>
        <w:t xml:space="preserve">(He </w:t>
      </w:r>
      <w:r w:rsidRPr="00DC3CF6">
        <w:rPr>
          <w:rFonts w:asciiTheme="majorBidi" w:hAnsiTheme="majorBidi" w:cstheme="majorBidi"/>
          <w:noProof/>
          <w:sz w:val="24"/>
          <w:szCs w:val="24"/>
        </w:rPr>
        <w:t>et al.</w:t>
      </w:r>
      <w:r w:rsidRPr="00DC3CF6">
        <w:rPr>
          <w:rFonts w:asciiTheme="majorBidi" w:hAnsiTheme="majorBidi" w:cstheme="majorBidi"/>
          <w:sz w:val="24"/>
          <w:szCs w:val="24"/>
        </w:rPr>
        <w:t>, 2009; Cao</w:t>
      </w:r>
      <w:r w:rsidRPr="00DC3CF6">
        <w:rPr>
          <w:rFonts w:asciiTheme="majorBidi" w:hAnsiTheme="majorBidi" w:cstheme="majorBidi"/>
          <w:noProof/>
          <w:sz w:val="24"/>
          <w:szCs w:val="24"/>
        </w:rPr>
        <w:t xml:space="preserve"> et al.</w:t>
      </w:r>
      <w:r w:rsidRPr="00DC3CF6">
        <w:rPr>
          <w:rFonts w:asciiTheme="majorBidi" w:hAnsiTheme="majorBidi" w:cstheme="majorBidi"/>
          <w:sz w:val="24"/>
          <w:szCs w:val="24"/>
        </w:rPr>
        <w:t>, 2020; Yang</w:t>
      </w:r>
      <w:r w:rsidRPr="00DC3CF6">
        <w:rPr>
          <w:rFonts w:asciiTheme="majorBidi" w:hAnsiTheme="majorBidi" w:cstheme="majorBidi"/>
          <w:noProof/>
          <w:sz w:val="24"/>
          <w:szCs w:val="24"/>
        </w:rPr>
        <w:t xml:space="preserve"> et al.</w:t>
      </w:r>
      <w:r w:rsidRPr="00DC3CF6">
        <w:rPr>
          <w:rFonts w:asciiTheme="majorBidi" w:hAnsiTheme="majorBidi" w:cstheme="majorBidi"/>
          <w:sz w:val="24"/>
          <w:szCs w:val="24"/>
        </w:rPr>
        <w:t>, 2020)</w:t>
      </w:r>
      <w:r w:rsidRPr="00DC3CF6">
        <w:rPr>
          <w:rStyle w:val="fontstyle21"/>
          <w:rFonts w:asciiTheme="majorBidi" w:hAnsiTheme="majorBidi" w:cstheme="majorBidi"/>
        </w:rPr>
        <w:t>.</w:t>
      </w:r>
      <w:r w:rsidRPr="00DC3CF6">
        <w:rPr>
          <w:rFonts w:asciiTheme="majorBidi" w:hAnsiTheme="majorBidi" w:cstheme="majorBidi"/>
          <w:color w:val="000000"/>
          <w:sz w:val="24"/>
          <w:szCs w:val="24"/>
        </w:rPr>
        <w:t xml:space="preserve"> </w:t>
      </w:r>
      <w:proofErr w:type="spellStart"/>
      <w:r w:rsidRPr="00DC3CF6">
        <w:rPr>
          <w:rStyle w:val="fontstyle21"/>
          <w:rFonts w:asciiTheme="majorBidi" w:hAnsiTheme="majorBidi" w:cstheme="majorBidi"/>
        </w:rPr>
        <w:t>Hela</w:t>
      </w:r>
      <w:proofErr w:type="spellEnd"/>
      <w:r w:rsidRPr="00DC3CF6">
        <w:rPr>
          <w:rStyle w:val="fontstyle21"/>
          <w:rFonts w:asciiTheme="majorBidi" w:hAnsiTheme="majorBidi" w:cstheme="majorBidi"/>
        </w:rPr>
        <w:t xml:space="preserve"> cells were seeded at 8×10</w:t>
      </w:r>
      <w:r w:rsidRPr="00DC3CF6">
        <w:rPr>
          <w:rStyle w:val="fontstyle21"/>
          <w:rFonts w:asciiTheme="majorBidi" w:hAnsiTheme="majorBidi" w:cstheme="majorBidi"/>
          <w:vertAlign w:val="superscript"/>
        </w:rPr>
        <w:t>4</w:t>
      </w:r>
      <w:r w:rsidRPr="00DC3CF6">
        <w:rPr>
          <w:rStyle w:val="fontstyle21"/>
          <w:rFonts w:asciiTheme="majorBidi" w:hAnsiTheme="majorBidi" w:cstheme="majorBidi"/>
        </w:rPr>
        <w:t xml:space="preserve"> and incubated at 37 °C, 5% CO</w:t>
      </w:r>
      <w:r w:rsidRPr="00DC3CF6">
        <w:rPr>
          <w:rStyle w:val="fontstyle21"/>
          <w:rFonts w:asciiTheme="majorBidi" w:hAnsiTheme="majorBidi" w:cstheme="majorBidi"/>
          <w:vertAlign w:val="subscript"/>
        </w:rPr>
        <w:t>2</w:t>
      </w:r>
      <w:r w:rsidRPr="00DC3CF6">
        <w:rPr>
          <w:rStyle w:val="fontstyle21"/>
          <w:rFonts w:asciiTheme="majorBidi" w:hAnsiTheme="majorBidi" w:cstheme="majorBidi"/>
        </w:rPr>
        <w:t xml:space="preserve"> overnight. After treatment</w:t>
      </w:r>
      <w:r w:rsidRPr="00DC3CF6">
        <w:rPr>
          <w:rFonts w:asciiTheme="majorBidi" w:hAnsiTheme="majorBidi" w:cstheme="majorBidi"/>
          <w:color w:val="000000"/>
          <w:sz w:val="24"/>
          <w:szCs w:val="24"/>
        </w:rPr>
        <w:t xml:space="preserve"> </w:t>
      </w:r>
      <w:r w:rsidRPr="00DC3CF6">
        <w:rPr>
          <w:rStyle w:val="fontstyle21"/>
          <w:rFonts w:asciiTheme="majorBidi" w:hAnsiTheme="majorBidi" w:cstheme="majorBidi"/>
        </w:rPr>
        <w:t>with the tested compound, for 24 h, cell pellets were collected and centrifuged (300g, 5 min). For</w:t>
      </w:r>
      <w:r w:rsidRPr="00DC3CF6">
        <w:rPr>
          <w:rFonts w:asciiTheme="majorBidi" w:hAnsiTheme="majorBidi" w:cstheme="majorBidi"/>
          <w:color w:val="000000"/>
          <w:sz w:val="24"/>
          <w:szCs w:val="24"/>
        </w:rPr>
        <w:t xml:space="preserve"> </w:t>
      </w:r>
      <w:r w:rsidRPr="00DC3CF6">
        <w:rPr>
          <w:rStyle w:val="fontstyle21"/>
          <w:rFonts w:asciiTheme="majorBidi" w:hAnsiTheme="majorBidi" w:cstheme="majorBidi"/>
        </w:rPr>
        <w:t>cell cycle analysis, cell pellets were fixed with 70% ethanol on ice for 15 min and collected again.</w:t>
      </w:r>
      <w:r w:rsidR="009C565E" w:rsidRPr="00DC3CF6">
        <w:rPr>
          <w:rStyle w:val="fontstyle21"/>
          <w:rFonts w:asciiTheme="majorBidi" w:hAnsiTheme="majorBidi" w:cstheme="majorBidi"/>
        </w:rPr>
        <w:t xml:space="preserve"> </w:t>
      </w:r>
      <w:r w:rsidRPr="00DC3CF6">
        <w:rPr>
          <w:rStyle w:val="fontstyle21"/>
          <w:rFonts w:asciiTheme="majorBidi" w:hAnsiTheme="majorBidi" w:cstheme="majorBidi"/>
        </w:rPr>
        <w:t xml:space="preserve">The collected pellets were incubated with </w:t>
      </w:r>
      <w:proofErr w:type="spellStart"/>
      <w:r w:rsidRPr="00DC3CF6">
        <w:rPr>
          <w:rStyle w:val="fontstyle21"/>
          <w:rFonts w:asciiTheme="majorBidi" w:hAnsiTheme="majorBidi" w:cstheme="majorBidi"/>
        </w:rPr>
        <w:t>propidium</w:t>
      </w:r>
      <w:proofErr w:type="spellEnd"/>
      <w:r w:rsidRPr="00DC3CF6">
        <w:rPr>
          <w:rStyle w:val="fontstyle21"/>
          <w:rFonts w:asciiTheme="majorBidi" w:hAnsiTheme="majorBidi" w:cstheme="majorBidi"/>
        </w:rPr>
        <w:t xml:space="preserve"> iodide (PI) staining solution (50 mg/mL PI,</w:t>
      </w:r>
      <w:r w:rsidRPr="00DC3CF6">
        <w:rPr>
          <w:rFonts w:asciiTheme="majorBidi" w:hAnsiTheme="majorBidi" w:cstheme="majorBidi"/>
          <w:color w:val="000000"/>
          <w:sz w:val="24"/>
          <w:szCs w:val="24"/>
        </w:rPr>
        <w:t xml:space="preserve"> </w:t>
      </w:r>
      <w:r w:rsidRPr="00DC3CF6">
        <w:rPr>
          <w:rStyle w:val="fontstyle21"/>
          <w:rFonts w:asciiTheme="majorBidi" w:hAnsiTheme="majorBidi" w:cstheme="majorBidi"/>
        </w:rPr>
        <w:t xml:space="preserve">0.1 mg/Ml </w:t>
      </w:r>
      <w:proofErr w:type="spellStart"/>
      <w:r w:rsidRPr="00DC3CF6">
        <w:rPr>
          <w:rStyle w:val="fontstyle21"/>
          <w:rFonts w:asciiTheme="majorBidi" w:hAnsiTheme="majorBidi" w:cstheme="majorBidi"/>
        </w:rPr>
        <w:t>RNaseA</w:t>
      </w:r>
      <w:proofErr w:type="spellEnd"/>
      <w:r w:rsidRPr="00DC3CF6">
        <w:rPr>
          <w:rStyle w:val="fontstyle21"/>
          <w:rFonts w:asciiTheme="majorBidi" w:hAnsiTheme="majorBidi" w:cstheme="majorBidi"/>
        </w:rPr>
        <w:t xml:space="preserve">, 0.05% Triton X-100) at room temperature for 1 hand </w:t>
      </w:r>
      <w:proofErr w:type="spellStart"/>
      <w:r w:rsidRPr="00DC3CF6">
        <w:rPr>
          <w:rStyle w:val="fontstyle21"/>
          <w:rFonts w:asciiTheme="majorBidi" w:hAnsiTheme="majorBidi" w:cstheme="majorBidi"/>
        </w:rPr>
        <w:t>analyzed</w:t>
      </w:r>
      <w:proofErr w:type="spellEnd"/>
      <w:r w:rsidRPr="00DC3CF6">
        <w:rPr>
          <w:rStyle w:val="fontstyle21"/>
          <w:rFonts w:asciiTheme="majorBidi" w:hAnsiTheme="majorBidi" w:cstheme="majorBidi"/>
        </w:rPr>
        <w:t xml:space="preserve"> by </w:t>
      </w:r>
      <w:proofErr w:type="spellStart"/>
      <w:r w:rsidRPr="00DC3CF6">
        <w:rPr>
          <w:rStyle w:val="fontstyle21"/>
          <w:rFonts w:asciiTheme="majorBidi" w:hAnsiTheme="majorBidi" w:cstheme="majorBidi"/>
        </w:rPr>
        <w:t>Gallios</w:t>
      </w:r>
      <w:proofErr w:type="spellEnd"/>
      <w:r w:rsidR="009C565E" w:rsidRPr="00DC3CF6">
        <w:rPr>
          <w:rFonts w:asciiTheme="majorBidi" w:hAnsiTheme="majorBidi" w:cstheme="majorBidi"/>
          <w:color w:val="000000"/>
          <w:sz w:val="24"/>
          <w:szCs w:val="24"/>
        </w:rPr>
        <w:t xml:space="preserve"> </w:t>
      </w:r>
      <w:r w:rsidRPr="00DC3CF6">
        <w:rPr>
          <w:rStyle w:val="fontstyle21"/>
          <w:rFonts w:asciiTheme="majorBidi" w:hAnsiTheme="majorBidi" w:cstheme="majorBidi"/>
        </w:rPr>
        <w:t>flow cytometer (Beckman Coulter, Brea, CA, USA). Apoptosis detection was performed by FITC</w:t>
      </w:r>
      <w:r w:rsidRPr="00DC3CF6">
        <w:rPr>
          <w:rFonts w:asciiTheme="majorBidi" w:hAnsiTheme="majorBidi" w:cstheme="majorBidi"/>
          <w:color w:val="000000"/>
          <w:sz w:val="24"/>
          <w:szCs w:val="24"/>
        </w:rPr>
        <w:t xml:space="preserve"> </w:t>
      </w:r>
      <w:proofErr w:type="spellStart"/>
      <w:r w:rsidRPr="00DC3CF6">
        <w:rPr>
          <w:rStyle w:val="fontstyle21"/>
          <w:rFonts w:asciiTheme="majorBidi" w:hAnsiTheme="majorBidi" w:cstheme="majorBidi"/>
        </w:rPr>
        <w:t>Annexin</w:t>
      </w:r>
      <w:proofErr w:type="spellEnd"/>
      <w:r w:rsidRPr="00DC3CF6">
        <w:rPr>
          <w:rStyle w:val="fontstyle21"/>
          <w:rFonts w:asciiTheme="majorBidi" w:hAnsiTheme="majorBidi" w:cstheme="majorBidi"/>
        </w:rPr>
        <w:t xml:space="preserve"> V/PI commercial kit (Becton Dickenson, Franklin Lakes, NJ, </w:t>
      </w:r>
      <w:proofErr w:type="gramStart"/>
      <w:r w:rsidRPr="00DC3CF6">
        <w:rPr>
          <w:rStyle w:val="fontstyle21"/>
          <w:rFonts w:asciiTheme="majorBidi" w:hAnsiTheme="majorBidi" w:cstheme="majorBidi"/>
        </w:rPr>
        <w:t>USA</w:t>
      </w:r>
      <w:proofErr w:type="gramEnd"/>
      <w:r w:rsidRPr="00DC3CF6">
        <w:rPr>
          <w:rStyle w:val="fontstyle21"/>
          <w:rFonts w:asciiTheme="majorBidi" w:hAnsiTheme="majorBidi" w:cstheme="majorBidi"/>
        </w:rPr>
        <w:t>) following the</w:t>
      </w:r>
      <w:r w:rsidRPr="00DC3CF6">
        <w:rPr>
          <w:rFonts w:asciiTheme="majorBidi" w:hAnsiTheme="majorBidi" w:cstheme="majorBidi"/>
          <w:color w:val="000000"/>
          <w:sz w:val="24"/>
          <w:szCs w:val="24"/>
        </w:rPr>
        <w:t xml:space="preserve"> </w:t>
      </w:r>
      <w:r w:rsidRPr="00DC3CF6">
        <w:rPr>
          <w:rStyle w:val="fontstyle21"/>
          <w:rFonts w:asciiTheme="majorBidi" w:hAnsiTheme="majorBidi" w:cstheme="majorBidi"/>
        </w:rPr>
        <w:t xml:space="preserve">manufacture protocol. The samples were </w:t>
      </w:r>
      <w:r w:rsidR="009C565E" w:rsidRPr="00DC3CF6">
        <w:rPr>
          <w:rStyle w:val="fontstyle21"/>
          <w:rFonts w:asciiTheme="majorBidi" w:hAnsiTheme="majorBidi" w:cstheme="majorBidi"/>
        </w:rPr>
        <w:t>analysed</w:t>
      </w:r>
      <w:r w:rsidRPr="00DC3CF6">
        <w:rPr>
          <w:rStyle w:val="fontstyle21"/>
          <w:rFonts w:asciiTheme="majorBidi" w:hAnsiTheme="majorBidi" w:cstheme="majorBidi"/>
        </w:rPr>
        <w:t xml:space="preserve"> by fluorescence-activated cell sorting (FACS)</w:t>
      </w:r>
      <w:r w:rsidRPr="00DC3CF6">
        <w:rPr>
          <w:rFonts w:asciiTheme="majorBidi" w:hAnsiTheme="majorBidi" w:cstheme="majorBidi"/>
          <w:color w:val="000000"/>
          <w:sz w:val="24"/>
          <w:szCs w:val="24"/>
        </w:rPr>
        <w:t xml:space="preserve"> </w:t>
      </w:r>
      <w:r w:rsidRPr="00DC3CF6">
        <w:rPr>
          <w:rStyle w:val="fontstyle21"/>
          <w:rFonts w:asciiTheme="majorBidi" w:hAnsiTheme="majorBidi" w:cstheme="majorBidi"/>
        </w:rPr>
        <w:lastRenderedPageBreak/>
        <w:t xml:space="preserve">with a </w:t>
      </w:r>
      <w:proofErr w:type="spellStart"/>
      <w:r w:rsidRPr="00DC3CF6">
        <w:rPr>
          <w:rStyle w:val="fontstyle21"/>
          <w:rFonts w:asciiTheme="majorBidi" w:hAnsiTheme="majorBidi" w:cstheme="majorBidi"/>
        </w:rPr>
        <w:t>Gallios</w:t>
      </w:r>
      <w:proofErr w:type="spellEnd"/>
      <w:r w:rsidRPr="00DC3CF6">
        <w:rPr>
          <w:rStyle w:val="fontstyle21"/>
          <w:rFonts w:asciiTheme="majorBidi" w:hAnsiTheme="majorBidi" w:cstheme="majorBidi"/>
        </w:rPr>
        <w:t xml:space="preserve"> flow cytometer (Beckman Coulter, Brea, CA,USA) within 1 h after staining. Data</w:t>
      </w:r>
      <w:r w:rsidRPr="00DC3CF6">
        <w:rPr>
          <w:rFonts w:asciiTheme="majorBidi" w:hAnsiTheme="majorBidi" w:cstheme="majorBidi"/>
          <w:color w:val="000000"/>
          <w:sz w:val="24"/>
          <w:szCs w:val="24"/>
        </w:rPr>
        <w:t xml:space="preserve"> </w:t>
      </w:r>
      <w:r w:rsidRPr="00DC3CF6">
        <w:rPr>
          <w:rStyle w:val="fontstyle21"/>
          <w:rFonts w:asciiTheme="majorBidi" w:hAnsiTheme="majorBidi" w:cstheme="majorBidi"/>
        </w:rPr>
        <w:t xml:space="preserve">were </w:t>
      </w:r>
      <w:proofErr w:type="spellStart"/>
      <w:r w:rsidRPr="00DC3CF6">
        <w:rPr>
          <w:rStyle w:val="fontstyle21"/>
          <w:rFonts w:asciiTheme="majorBidi" w:hAnsiTheme="majorBidi" w:cstheme="majorBidi"/>
        </w:rPr>
        <w:t>analyzed</w:t>
      </w:r>
      <w:proofErr w:type="spellEnd"/>
      <w:r w:rsidRPr="00DC3CF6">
        <w:rPr>
          <w:rStyle w:val="fontstyle21"/>
          <w:rFonts w:asciiTheme="majorBidi" w:hAnsiTheme="majorBidi" w:cstheme="majorBidi"/>
        </w:rPr>
        <w:t xml:space="preserve"> using </w:t>
      </w:r>
      <w:proofErr w:type="spellStart"/>
      <w:r w:rsidRPr="00DC3CF6">
        <w:rPr>
          <w:rStyle w:val="fontstyle21"/>
          <w:rFonts w:asciiTheme="majorBidi" w:hAnsiTheme="majorBidi" w:cstheme="majorBidi"/>
        </w:rPr>
        <w:t>Kaluzav</w:t>
      </w:r>
      <w:proofErr w:type="spellEnd"/>
      <w:r w:rsidRPr="00DC3CF6">
        <w:rPr>
          <w:rStyle w:val="fontstyle21"/>
          <w:rFonts w:asciiTheme="majorBidi" w:hAnsiTheme="majorBidi" w:cstheme="majorBidi"/>
        </w:rPr>
        <w:t xml:space="preserve"> 1.2 (Beckman Coulter).</w:t>
      </w:r>
    </w:p>
    <w:p w:rsidR="009E7AE2" w:rsidRPr="00DC3CF6" w:rsidRDefault="009E7AE2" w:rsidP="00DC3CF6">
      <w:pPr>
        <w:spacing w:before="100" w:beforeAutospacing="1" w:after="100" w:afterAutospacing="1" w:line="360" w:lineRule="auto"/>
        <w:jc w:val="both"/>
        <w:outlineLvl w:val="0"/>
        <w:rPr>
          <w:rFonts w:asciiTheme="majorBidi" w:eastAsia="Times New Roman" w:hAnsiTheme="majorBidi" w:cstheme="majorBidi"/>
          <w:b/>
          <w:bCs/>
          <w:kern w:val="36"/>
          <w:sz w:val="24"/>
          <w:szCs w:val="24"/>
        </w:rPr>
      </w:pPr>
      <w:r w:rsidRPr="00DC3CF6">
        <w:rPr>
          <w:rFonts w:asciiTheme="majorBidi" w:hAnsiTheme="majorBidi" w:cstheme="majorBidi"/>
          <w:sz w:val="24"/>
          <w:szCs w:val="24"/>
        </w:rPr>
        <w:object w:dxaOrig="10873" w:dyaOrig="11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pt;height:507.2pt" o:ole="">
            <v:imagedata r:id="rId8" o:title=""/>
          </v:shape>
          <o:OLEObject Type="Embed" ProgID="ChemDraw.Document.6.0" ShapeID="_x0000_i1025" DrawAspect="Content" ObjectID="_1665435922" r:id="rId9"/>
        </w:object>
      </w:r>
    </w:p>
    <w:p w:rsidR="009E7AE2" w:rsidRPr="00DC3CF6" w:rsidRDefault="009E7AE2" w:rsidP="00DC3CF6">
      <w:pPr>
        <w:spacing w:before="100" w:beforeAutospacing="1" w:after="100" w:afterAutospacing="1" w:line="360" w:lineRule="auto"/>
        <w:jc w:val="both"/>
        <w:outlineLvl w:val="0"/>
        <w:rPr>
          <w:rFonts w:asciiTheme="majorBidi" w:eastAsia="Times New Roman" w:hAnsiTheme="majorBidi" w:cstheme="majorBidi"/>
          <w:kern w:val="36"/>
          <w:sz w:val="24"/>
          <w:szCs w:val="24"/>
        </w:rPr>
      </w:pPr>
      <w:bookmarkStart w:id="2" w:name="_Hlk40439443"/>
      <w:proofErr w:type="gramStart"/>
      <w:r w:rsidRPr="00DC3CF6">
        <w:rPr>
          <w:rFonts w:asciiTheme="majorBidi" w:hAnsiTheme="majorBidi" w:cstheme="majorBidi"/>
          <w:b/>
          <w:bCs/>
          <w:sz w:val="24"/>
          <w:szCs w:val="24"/>
        </w:rPr>
        <w:t>Fig. 1</w:t>
      </w:r>
      <w:r w:rsidRPr="00DC3CF6">
        <w:rPr>
          <w:rFonts w:asciiTheme="majorBidi" w:hAnsiTheme="majorBidi" w:cstheme="majorBidi"/>
          <w:sz w:val="24"/>
          <w:szCs w:val="24"/>
        </w:rPr>
        <w:t xml:space="preserve"> Analysis of cell cycle and induction of apoptosis of compounds </w:t>
      </w:r>
      <w:r w:rsidRPr="00DC3CF6">
        <w:rPr>
          <w:rFonts w:asciiTheme="majorBidi" w:hAnsiTheme="majorBidi" w:cstheme="majorBidi"/>
          <w:b/>
          <w:bCs/>
          <w:sz w:val="24"/>
          <w:szCs w:val="24"/>
        </w:rPr>
        <w:t>9</w:t>
      </w:r>
      <w:r w:rsidRPr="00DC3CF6">
        <w:rPr>
          <w:rFonts w:asciiTheme="majorBidi" w:hAnsiTheme="majorBidi" w:cstheme="majorBidi"/>
          <w:sz w:val="24"/>
          <w:szCs w:val="24"/>
        </w:rPr>
        <w:t xml:space="preserve"> and </w:t>
      </w:r>
      <w:r w:rsidRPr="00DC3CF6">
        <w:rPr>
          <w:rFonts w:asciiTheme="majorBidi" w:hAnsiTheme="majorBidi" w:cstheme="majorBidi"/>
          <w:b/>
          <w:bCs/>
          <w:sz w:val="24"/>
          <w:szCs w:val="24"/>
        </w:rPr>
        <w:t>13</w:t>
      </w:r>
      <w:r w:rsidRPr="00DC3CF6">
        <w:rPr>
          <w:rFonts w:asciiTheme="majorBidi" w:hAnsiTheme="majorBidi" w:cstheme="majorBidi"/>
          <w:sz w:val="24"/>
          <w:szCs w:val="24"/>
        </w:rPr>
        <w:t xml:space="preserve"> on </w:t>
      </w:r>
      <w:proofErr w:type="spellStart"/>
      <w:r w:rsidRPr="00DC3CF6">
        <w:rPr>
          <w:rFonts w:asciiTheme="majorBidi" w:hAnsiTheme="majorBidi" w:cstheme="majorBidi"/>
          <w:sz w:val="24"/>
          <w:szCs w:val="24"/>
        </w:rPr>
        <w:t>Hela</w:t>
      </w:r>
      <w:proofErr w:type="spellEnd"/>
      <w:r w:rsidRPr="00DC3CF6">
        <w:rPr>
          <w:rFonts w:asciiTheme="majorBidi" w:hAnsiTheme="majorBidi" w:cstheme="majorBidi"/>
          <w:sz w:val="24"/>
          <w:szCs w:val="24"/>
        </w:rPr>
        <w:t xml:space="preserve"> cells.</w:t>
      </w:r>
      <w:bookmarkEnd w:id="2"/>
      <w:proofErr w:type="gramEnd"/>
    </w:p>
    <w:p w:rsidR="001E4114" w:rsidRPr="00DC3CF6" w:rsidRDefault="001E4114" w:rsidP="00DC3CF6">
      <w:pPr>
        <w:spacing w:before="100" w:beforeAutospacing="1" w:after="100" w:afterAutospacing="1" w:line="360" w:lineRule="auto"/>
        <w:jc w:val="both"/>
        <w:outlineLvl w:val="0"/>
        <w:rPr>
          <w:rFonts w:asciiTheme="majorBidi" w:eastAsia="Times New Roman" w:hAnsiTheme="majorBidi" w:cstheme="majorBidi"/>
          <w:i/>
          <w:iCs/>
          <w:kern w:val="36"/>
          <w:sz w:val="24"/>
          <w:szCs w:val="24"/>
        </w:rPr>
      </w:pPr>
      <w:r w:rsidRPr="00DC3CF6">
        <w:rPr>
          <w:rFonts w:asciiTheme="majorBidi" w:hAnsiTheme="majorBidi" w:cstheme="majorBidi"/>
          <w:i/>
          <w:iCs/>
          <w:sz w:val="24"/>
          <w:szCs w:val="24"/>
        </w:rPr>
        <w:t xml:space="preserve">4.2.4. </w:t>
      </w:r>
      <w:r w:rsidRPr="00DC3CF6">
        <w:rPr>
          <w:rFonts w:asciiTheme="majorBidi" w:eastAsia="Times New Roman" w:hAnsiTheme="majorBidi" w:cstheme="majorBidi"/>
          <w:i/>
          <w:iCs/>
          <w:kern w:val="36"/>
          <w:sz w:val="24"/>
          <w:szCs w:val="24"/>
        </w:rPr>
        <w:t>Molecular docking study</w:t>
      </w:r>
    </w:p>
    <w:p w:rsidR="001E4114" w:rsidRPr="00DC3CF6" w:rsidRDefault="001E4114" w:rsidP="00DC3CF6">
      <w:pPr>
        <w:spacing w:after="0" w:line="360" w:lineRule="auto"/>
        <w:ind w:firstLine="720"/>
        <w:jc w:val="both"/>
        <w:rPr>
          <w:rFonts w:asciiTheme="majorBidi" w:eastAsia="Times New Roman" w:hAnsiTheme="majorBidi" w:cstheme="majorBidi"/>
          <w:kern w:val="36"/>
          <w:sz w:val="24"/>
          <w:szCs w:val="24"/>
        </w:rPr>
      </w:pPr>
      <w:r w:rsidRPr="00DC3CF6">
        <w:rPr>
          <w:rFonts w:asciiTheme="majorBidi" w:eastAsia="Times New Roman" w:hAnsiTheme="majorBidi" w:cstheme="majorBidi"/>
          <w:kern w:val="36"/>
          <w:sz w:val="24"/>
          <w:szCs w:val="24"/>
        </w:rPr>
        <w:lastRenderedPageBreak/>
        <w:t xml:space="preserve">The HER2 kinase domain </w:t>
      </w:r>
      <w:proofErr w:type="spellStart"/>
      <w:r w:rsidRPr="00DC3CF6">
        <w:rPr>
          <w:rFonts w:asciiTheme="majorBidi" w:eastAsia="Times New Roman" w:hAnsiTheme="majorBidi" w:cstheme="majorBidi"/>
          <w:kern w:val="36"/>
          <w:sz w:val="24"/>
          <w:szCs w:val="24"/>
        </w:rPr>
        <w:t>complexed</w:t>
      </w:r>
      <w:proofErr w:type="spellEnd"/>
      <w:r w:rsidRPr="00DC3CF6">
        <w:rPr>
          <w:rFonts w:asciiTheme="majorBidi" w:eastAsia="Times New Roman" w:hAnsiTheme="majorBidi" w:cstheme="majorBidi"/>
          <w:kern w:val="36"/>
          <w:sz w:val="24"/>
          <w:szCs w:val="24"/>
        </w:rPr>
        <w:t xml:space="preserve"> with a ligand was downloaded from the protein databank (PDB ID: 3RCD, </w:t>
      </w:r>
      <w:hyperlink r:id="rId10" w:history="1">
        <w:r w:rsidRPr="00DC3CF6">
          <w:rPr>
            <w:rFonts w:asciiTheme="majorBidi" w:eastAsia="Times New Roman" w:hAnsiTheme="majorBidi" w:cstheme="majorBidi"/>
            <w:color w:val="0563C1"/>
            <w:kern w:val="36"/>
            <w:sz w:val="24"/>
            <w:szCs w:val="24"/>
            <w:u w:val="single"/>
          </w:rPr>
          <w:t>http://www.rcsb.org</w:t>
        </w:r>
      </w:hyperlink>
      <w:r w:rsidRPr="00DC3CF6">
        <w:rPr>
          <w:rFonts w:asciiTheme="majorBidi" w:eastAsia="Times New Roman" w:hAnsiTheme="majorBidi" w:cstheme="majorBidi"/>
          <w:kern w:val="36"/>
          <w:sz w:val="24"/>
          <w:szCs w:val="24"/>
        </w:rPr>
        <w:t xml:space="preserve">). Protein preparation wizard of </w:t>
      </w:r>
      <w:r w:rsidRPr="00DC3CF6">
        <w:rPr>
          <w:rFonts w:asciiTheme="majorBidi" w:eastAsia="Calibri" w:hAnsiTheme="majorBidi" w:cstheme="majorBidi"/>
          <w:sz w:val="24"/>
          <w:szCs w:val="24"/>
        </w:rPr>
        <w:t xml:space="preserve">Schrödinger Suite </w:t>
      </w:r>
      <w:r w:rsidRPr="00DC3CF6">
        <w:rPr>
          <w:rFonts w:asciiTheme="majorBidi" w:eastAsia="Times New Roman" w:hAnsiTheme="majorBidi" w:cstheme="majorBidi"/>
          <w:kern w:val="36"/>
          <w:sz w:val="24"/>
          <w:szCs w:val="24"/>
        </w:rPr>
        <w:t>(</w:t>
      </w:r>
      <w:proofErr w:type="spellStart"/>
      <w:r w:rsidRPr="00DC3CF6">
        <w:rPr>
          <w:rFonts w:asciiTheme="majorBidi" w:hAnsiTheme="majorBidi" w:cstheme="majorBidi"/>
          <w:sz w:val="24"/>
          <w:szCs w:val="24"/>
        </w:rPr>
        <w:t>Sastry</w:t>
      </w:r>
      <w:proofErr w:type="spellEnd"/>
      <w:r w:rsidRPr="00DC3CF6">
        <w:rPr>
          <w:rFonts w:asciiTheme="majorBidi" w:hAnsiTheme="majorBidi" w:cstheme="majorBidi"/>
          <w:noProof/>
          <w:sz w:val="24"/>
          <w:szCs w:val="24"/>
        </w:rPr>
        <w:t xml:space="preserve"> et al.</w:t>
      </w:r>
      <w:r w:rsidRPr="00DC3CF6">
        <w:rPr>
          <w:rFonts w:asciiTheme="majorBidi" w:hAnsiTheme="majorBidi" w:cstheme="majorBidi"/>
          <w:sz w:val="24"/>
          <w:szCs w:val="24"/>
        </w:rPr>
        <w:t>, 2013</w:t>
      </w:r>
      <w:r w:rsidRPr="00DC3CF6">
        <w:rPr>
          <w:rFonts w:asciiTheme="majorBidi" w:eastAsia="Times New Roman" w:hAnsiTheme="majorBidi" w:cstheme="majorBidi"/>
          <w:kern w:val="36"/>
          <w:sz w:val="24"/>
          <w:szCs w:val="24"/>
        </w:rPr>
        <w:t xml:space="preserve">, </w:t>
      </w:r>
      <w:r w:rsidRPr="00DC3CF6">
        <w:rPr>
          <w:rFonts w:asciiTheme="majorBidi" w:hAnsiTheme="majorBidi" w:cstheme="majorBidi"/>
          <w:sz w:val="24"/>
          <w:szCs w:val="24"/>
        </w:rPr>
        <w:t>Schrödinger, 2018</w:t>
      </w:r>
      <w:r w:rsidRPr="00DC3CF6">
        <w:rPr>
          <w:rFonts w:asciiTheme="majorBidi" w:eastAsia="Times New Roman" w:hAnsiTheme="majorBidi" w:cstheme="majorBidi"/>
          <w:kern w:val="36"/>
          <w:sz w:val="24"/>
          <w:szCs w:val="24"/>
        </w:rPr>
        <w:t xml:space="preserve">) </w:t>
      </w:r>
      <w:r w:rsidRPr="00DC3CF6">
        <w:rPr>
          <w:rFonts w:asciiTheme="majorBidi" w:eastAsia="Calibri" w:hAnsiTheme="majorBidi" w:cstheme="majorBidi"/>
          <w:sz w:val="24"/>
          <w:szCs w:val="24"/>
        </w:rPr>
        <w:t xml:space="preserve">was used to correct the protein structural file by correcting bond orders, adding any missing hydrogen atoms, and completing unresolved side chains or loops. Water molecules which are beyond 5 Å of bound ligand and are not involved in at least two hydrogen bonds with non-water residues were removed from the protein complex. The structure was then energetically minimized to remove atomic clashes. The ligand coordinates were designated as the </w:t>
      </w:r>
      <w:proofErr w:type="spellStart"/>
      <w:r w:rsidRPr="00DC3CF6">
        <w:rPr>
          <w:rFonts w:asciiTheme="majorBidi" w:eastAsia="Calibri" w:hAnsiTheme="majorBidi" w:cstheme="majorBidi"/>
          <w:sz w:val="24"/>
          <w:szCs w:val="24"/>
        </w:rPr>
        <w:t>center</w:t>
      </w:r>
      <w:proofErr w:type="spellEnd"/>
      <w:r w:rsidRPr="00DC3CF6">
        <w:rPr>
          <w:rFonts w:asciiTheme="majorBidi" w:eastAsia="Calibri" w:hAnsiTheme="majorBidi" w:cstheme="majorBidi"/>
          <w:sz w:val="24"/>
          <w:szCs w:val="24"/>
        </w:rPr>
        <w:t xml:space="preserve"> for docking. Glide receptor grid preparation (</w:t>
      </w:r>
      <w:proofErr w:type="spellStart"/>
      <w:r w:rsidRPr="00DC3CF6">
        <w:rPr>
          <w:rFonts w:asciiTheme="majorBidi" w:hAnsiTheme="majorBidi" w:cstheme="majorBidi"/>
          <w:sz w:val="24"/>
          <w:szCs w:val="24"/>
        </w:rPr>
        <w:t>Friesner</w:t>
      </w:r>
      <w:proofErr w:type="spellEnd"/>
      <w:r w:rsidRPr="00DC3CF6">
        <w:rPr>
          <w:rFonts w:asciiTheme="majorBidi" w:hAnsiTheme="majorBidi" w:cstheme="majorBidi"/>
          <w:noProof/>
          <w:sz w:val="24"/>
          <w:szCs w:val="24"/>
        </w:rPr>
        <w:t xml:space="preserve"> et al.</w:t>
      </w:r>
      <w:r w:rsidRPr="00DC3CF6">
        <w:rPr>
          <w:rFonts w:asciiTheme="majorBidi" w:hAnsiTheme="majorBidi" w:cstheme="majorBidi"/>
          <w:sz w:val="24"/>
          <w:szCs w:val="24"/>
        </w:rPr>
        <w:t xml:space="preserve">, 2006; </w:t>
      </w:r>
      <w:proofErr w:type="spellStart"/>
      <w:r w:rsidRPr="00DC3CF6">
        <w:rPr>
          <w:rFonts w:asciiTheme="majorBidi" w:hAnsiTheme="majorBidi" w:cstheme="majorBidi"/>
          <w:sz w:val="24"/>
          <w:szCs w:val="24"/>
        </w:rPr>
        <w:t>Halgren</w:t>
      </w:r>
      <w:proofErr w:type="spellEnd"/>
      <w:r w:rsidRPr="00DC3CF6">
        <w:rPr>
          <w:rFonts w:asciiTheme="majorBidi" w:hAnsiTheme="majorBidi" w:cstheme="majorBidi"/>
          <w:noProof/>
          <w:sz w:val="24"/>
          <w:szCs w:val="24"/>
        </w:rPr>
        <w:t xml:space="preserve"> et al.</w:t>
      </w:r>
      <w:r w:rsidRPr="00DC3CF6">
        <w:rPr>
          <w:rFonts w:asciiTheme="majorBidi" w:hAnsiTheme="majorBidi" w:cstheme="majorBidi"/>
          <w:sz w:val="24"/>
          <w:szCs w:val="24"/>
        </w:rPr>
        <w:t xml:space="preserve">, 2004; </w:t>
      </w:r>
      <w:proofErr w:type="spellStart"/>
      <w:r w:rsidRPr="00DC3CF6">
        <w:rPr>
          <w:rFonts w:asciiTheme="majorBidi" w:hAnsiTheme="majorBidi" w:cstheme="majorBidi"/>
          <w:sz w:val="24"/>
          <w:szCs w:val="24"/>
        </w:rPr>
        <w:t>Friesner</w:t>
      </w:r>
      <w:proofErr w:type="spellEnd"/>
      <w:r w:rsidRPr="00DC3CF6">
        <w:rPr>
          <w:rFonts w:asciiTheme="majorBidi" w:hAnsiTheme="majorBidi" w:cstheme="majorBidi"/>
          <w:noProof/>
          <w:sz w:val="24"/>
          <w:szCs w:val="24"/>
        </w:rPr>
        <w:t xml:space="preserve"> et al.</w:t>
      </w:r>
      <w:r w:rsidRPr="00DC3CF6">
        <w:rPr>
          <w:rFonts w:asciiTheme="majorBidi" w:hAnsiTheme="majorBidi" w:cstheme="majorBidi"/>
          <w:sz w:val="24"/>
          <w:szCs w:val="24"/>
        </w:rPr>
        <w:t xml:space="preserve">, 2004; Schrödinger, 2018) </w:t>
      </w:r>
      <w:r w:rsidRPr="00DC3CF6">
        <w:rPr>
          <w:rFonts w:asciiTheme="majorBidi" w:eastAsia="Calibri" w:hAnsiTheme="majorBidi" w:cstheme="majorBidi"/>
          <w:sz w:val="24"/>
          <w:szCs w:val="24"/>
        </w:rPr>
        <w:t xml:space="preserve">was used to define and construct the receptor for the docking step. To decrease penalties for close contacts between ligands and protein, 0.85 was used to scale van der Waals radii of nonpolar atoms. The hydroxyl groups of </w:t>
      </w:r>
      <w:proofErr w:type="spellStart"/>
      <w:r w:rsidRPr="00DC3CF6">
        <w:rPr>
          <w:rFonts w:asciiTheme="majorBidi" w:eastAsia="Calibri" w:hAnsiTheme="majorBidi" w:cstheme="majorBidi"/>
          <w:sz w:val="24"/>
          <w:szCs w:val="24"/>
        </w:rPr>
        <w:t>Ser</w:t>
      </w:r>
      <w:proofErr w:type="spellEnd"/>
      <w:r w:rsidRPr="00DC3CF6">
        <w:rPr>
          <w:rFonts w:asciiTheme="majorBidi" w:eastAsia="Calibri" w:hAnsiTheme="majorBidi" w:cstheme="majorBidi"/>
          <w:sz w:val="24"/>
          <w:szCs w:val="24"/>
        </w:rPr>
        <w:t xml:space="preserve">, </w:t>
      </w:r>
      <w:proofErr w:type="spellStart"/>
      <w:r w:rsidRPr="00DC3CF6">
        <w:rPr>
          <w:rFonts w:asciiTheme="majorBidi" w:eastAsia="Calibri" w:hAnsiTheme="majorBidi" w:cstheme="majorBidi"/>
          <w:sz w:val="24"/>
          <w:szCs w:val="24"/>
        </w:rPr>
        <w:t>Thr</w:t>
      </w:r>
      <w:proofErr w:type="spellEnd"/>
      <w:r w:rsidRPr="00DC3CF6">
        <w:rPr>
          <w:rFonts w:asciiTheme="majorBidi" w:eastAsia="Calibri" w:hAnsiTheme="majorBidi" w:cstheme="majorBidi"/>
          <w:sz w:val="24"/>
          <w:szCs w:val="24"/>
        </w:rPr>
        <w:t xml:space="preserve">, or Tyr residues in the active site were identified as rotatable groups to account for all possible hydrogen bonds with incoming ligands. Ligand structures were prepared by </w:t>
      </w:r>
      <w:proofErr w:type="spellStart"/>
      <w:r w:rsidRPr="00DC3CF6">
        <w:rPr>
          <w:rFonts w:asciiTheme="majorBidi" w:eastAsia="Calibri" w:hAnsiTheme="majorBidi" w:cstheme="majorBidi"/>
          <w:sz w:val="24"/>
          <w:szCs w:val="24"/>
        </w:rPr>
        <w:t>LigPrep</w:t>
      </w:r>
      <w:proofErr w:type="spellEnd"/>
      <w:r w:rsidRPr="00DC3CF6">
        <w:rPr>
          <w:rFonts w:asciiTheme="majorBidi" w:eastAsia="Calibri" w:hAnsiTheme="majorBidi" w:cstheme="majorBidi"/>
          <w:sz w:val="24"/>
          <w:szCs w:val="24"/>
        </w:rPr>
        <w:t xml:space="preserve"> (</w:t>
      </w:r>
      <w:r w:rsidRPr="00DC3CF6">
        <w:rPr>
          <w:rFonts w:asciiTheme="majorBidi" w:hAnsiTheme="majorBidi" w:cstheme="majorBidi"/>
          <w:sz w:val="24"/>
          <w:szCs w:val="24"/>
        </w:rPr>
        <w:t>Schrödinger, 2018</w:t>
      </w:r>
      <w:r w:rsidRPr="00DC3CF6">
        <w:rPr>
          <w:rFonts w:asciiTheme="majorBidi" w:eastAsia="Calibri" w:hAnsiTheme="majorBidi" w:cstheme="majorBidi"/>
          <w:sz w:val="24"/>
          <w:szCs w:val="24"/>
        </w:rPr>
        <w:t>). Standard-precision (SP) docking option was chosen for the docking experiment, and Glide was directed to generate ligand conformations through the docking process.</w:t>
      </w:r>
    </w:p>
    <w:p w:rsidR="00923C1B" w:rsidRPr="00DC3CF6" w:rsidRDefault="00923C1B" w:rsidP="00DC3CF6">
      <w:pPr>
        <w:spacing w:line="360" w:lineRule="auto"/>
        <w:rPr>
          <w:rFonts w:asciiTheme="majorBidi" w:hAnsiTheme="majorBidi" w:cstheme="majorBidi"/>
          <w:color w:val="000000"/>
          <w:sz w:val="24"/>
          <w:szCs w:val="24"/>
        </w:rPr>
      </w:pPr>
      <w:r w:rsidRPr="00DC3CF6">
        <w:rPr>
          <w:rFonts w:asciiTheme="majorBidi" w:hAnsiTheme="majorBidi" w:cstheme="majorBidi"/>
          <w:noProof/>
          <w:color w:val="000000"/>
          <w:sz w:val="24"/>
          <w:szCs w:val="24"/>
          <w:bdr w:val="single" w:sz="4" w:space="0" w:color="auto"/>
          <w:lang w:eastAsia="en-GB"/>
        </w:rPr>
        <w:drawing>
          <wp:inline distT="0" distB="0" distL="0" distR="0" wp14:anchorId="1568EEE7" wp14:editId="75A1D15B">
            <wp:extent cx="2489200" cy="2184400"/>
            <wp:effectExtent l="0" t="0" r="6350" b="6350"/>
            <wp:docPr id="4" name="Picture 4" descr="C:\Users\HP\Desktop\dr manal 2\final\new docking\2i-2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P\Desktop\dr manal 2\final\new docking\2i-2d.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9200" cy="2184400"/>
                    </a:xfrm>
                    <a:prstGeom prst="rect">
                      <a:avLst/>
                    </a:prstGeom>
                    <a:noFill/>
                    <a:ln>
                      <a:noFill/>
                    </a:ln>
                  </pic:spPr>
                </pic:pic>
              </a:graphicData>
            </a:graphic>
          </wp:inline>
        </w:drawing>
      </w:r>
      <w:r w:rsidRPr="00DC3CF6">
        <w:rPr>
          <w:rFonts w:asciiTheme="majorBidi" w:hAnsiTheme="majorBidi" w:cstheme="majorBidi"/>
          <w:color w:val="000000"/>
          <w:sz w:val="24"/>
          <w:szCs w:val="24"/>
        </w:rPr>
        <w:t xml:space="preserve"> </w:t>
      </w:r>
      <w:r w:rsidRPr="00DC3CF6">
        <w:rPr>
          <w:rFonts w:asciiTheme="majorBidi" w:hAnsiTheme="majorBidi" w:cstheme="majorBidi"/>
          <w:noProof/>
          <w:color w:val="000000"/>
          <w:sz w:val="24"/>
          <w:szCs w:val="24"/>
          <w:bdr w:val="single" w:sz="4" w:space="0" w:color="auto"/>
          <w:lang w:eastAsia="en-GB"/>
        </w:rPr>
        <w:drawing>
          <wp:inline distT="0" distB="0" distL="0" distR="0" wp14:anchorId="5BE98E29" wp14:editId="29FFAFB6">
            <wp:extent cx="2621280" cy="2194560"/>
            <wp:effectExtent l="0" t="0" r="7620" b="0"/>
            <wp:docPr id="5" name="Picture 5" descr="C:\Users\HP\Desktop\dr manal 2\final\new docking\2i-3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P\Desktop\dr manal 2\final\new docking\2i-3d.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1280" cy="2194560"/>
                    </a:xfrm>
                    <a:prstGeom prst="rect">
                      <a:avLst/>
                    </a:prstGeom>
                    <a:noFill/>
                    <a:ln>
                      <a:noFill/>
                    </a:ln>
                  </pic:spPr>
                </pic:pic>
              </a:graphicData>
            </a:graphic>
          </wp:inline>
        </w:drawing>
      </w:r>
    </w:p>
    <w:p w:rsidR="00923C1B" w:rsidRPr="00DC3CF6" w:rsidRDefault="00923C1B" w:rsidP="00DC3CF6">
      <w:pPr>
        <w:spacing w:line="360" w:lineRule="auto"/>
        <w:ind w:left="360"/>
        <w:rPr>
          <w:rFonts w:asciiTheme="majorBidi" w:eastAsia="Calibri" w:hAnsiTheme="majorBidi" w:cstheme="majorBidi"/>
          <w:b/>
          <w:bCs/>
          <w:sz w:val="24"/>
          <w:szCs w:val="24"/>
        </w:rPr>
      </w:pPr>
      <w:r w:rsidRPr="00DC3CF6">
        <w:rPr>
          <w:rFonts w:asciiTheme="majorBidi" w:eastAsia="Calibri" w:hAnsiTheme="majorBidi" w:cstheme="majorBidi"/>
          <w:b/>
          <w:bCs/>
          <w:sz w:val="24"/>
          <w:szCs w:val="24"/>
        </w:rPr>
        <w:t xml:space="preserve">                        (A)                                                                      (B)</w:t>
      </w:r>
    </w:p>
    <w:p w:rsidR="00923C1B" w:rsidRPr="00DC3CF6" w:rsidRDefault="00923C1B" w:rsidP="00DC3CF6">
      <w:pPr>
        <w:spacing w:line="360" w:lineRule="auto"/>
        <w:jc w:val="both"/>
        <w:rPr>
          <w:rFonts w:asciiTheme="majorBidi" w:eastAsia="Calibri" w:hAnsiTheme="majorBidi" w:cstheme="majorBidi"/>
          <w:sz w:val="24"/>
          <w:szCs w:val="24"/>
        </w:rPr>
      </w:pPr>
      <w:r w:rsidRPr="00DC3CF6">
        <w:rPr>
          <w:rFonts w:asciiTheme="majorBidi" w:eastAsia="Calibri" w:hAnsiTheme="majorBidi" w:cstheme="majorBidi"/>
          <w:b/>
          <w:bCs/>
          <w:sz w:val="24"/>
          <w:szCs w:val="24"/>
        </w:rPr>
        <w:t>Fig. 2</w:t>
      </w:r>
      <w:r w:rsidRPr="00DC3CF6">
        <w:rPr>
          <w:rFonts w:asciiTheme="majorBidi" w:eastAsia="Calibri" w:hAnsiTheme="majorBidi" w:cstheme="majorBidi"/>
          <w:sz w:val="24"/>
          <w:szCs w:val="24"/>
        </w:rPr>
        <w:t xml:space="preserve"> 2D diagram </w:t>
      </w:r>
      <w:r w:rsidRPr="00DC3CF6">
        <w:rPr>
          <w:rFonts w:asciiTheme="majorBidi" w:eastAsia="Calibri" w:hAnsiTheme="majorBidi" w:cstheme="majorBidi"/>
          <w:b/>
          <w:bCs/>
          <w:sz w:val="24"/>
          <w:szCs w:val="24"/>
        </w:rPr>
        <w:t xml:space="preserve">(A) </w:t>
      </w:r>
      <w:r w:rsidRPr="00DC3CF6">
        <w:rPr>
          <w:rFonts w:asciiTheme="majorBidi" w:eastAsia="Calibri" w:hAnsiTheme="majorBidi" w:cstheme="majorBidi"/>
          <w:sz w:val="24"/>
          <w:szCs w:val="24"/>
        </w:rPr>
        <w:t xml:space="preserve">and 3D representation </w:t>
      </w:r>
      <w:r w:rsidRPr="00DC3CF6">
        <w:rPr>
          <w:rFonts w:asciiTheme="majorBidi" w:eastAsia="Calibri" w:hAnsiTheme="majorBidi" w:cstheme="majorBidi"/>
          <w:b/>
          <w:bCs/>
          <w:sz w:val="24"/>
          <w:szCs w:val="24"/>
        </w:rPr>
        <w:t xml:space="preserve">(B) </w:t>
      </w:r>
      <w:r w:rsidRPr="00DC3CF6">
        <w:rPr>
          <w:rFonts w:asciiTheme="majorBidi" w:eastAsia="Calibri" w:hAnsiTheme="majorBidi" w:cstheme="majorBidi"/>
          <w:sz w:val="24"/>
          <w:szCs w:val="24"/>
        </w:rPr>
        <w:t xml:space="preserve">of compound </w:t>
      </w:r>
      <w:r w:rsidRPr="00DC3CF6">
        <w:rPr>
          <w:rFonts w:asciiTheme="majorBidi" w:eastAsia="Calibri" w:hAnsiTheme="majorBidi" w:cstheme="majorBidi"/>
          <w:b/>
          <w:bCs/>
          <w:sz w:val="24"/>
          <w:szCs w:val="24"/>
        </w:rPr>
        <w:t xml:space="preserve">2c </w:t>
      </w:r>
      <w:r w:rsidRPr="00DC3CF6">
        <w:rPr>
          <w:rFonts w:asciiTheme="majorBidi" w:eastAsia="Calibri" w:hAnsiTheme="majorBidi" w:cstheme="majorBidi"/>
          <w:sz w:val="24"/>
          <w:szCs w:val="24"/>
        </w:rPr>
        <w:t>showing its interaction with the HER2 kinase active site.</w:t>
      </w:r>
    </w:p>
    <w:p w:rsidR="00923C1B" w:rsidRPr="00DC3CF6" w:rsidRDefault="00923C1B" w:rsidP="00DC3CF6">
      <w:pPr>
        <w:spacing w:line="360" w:lineRule="auto"/>
        <w:jc w:val="both"/>
        <w:rPr>
          <w:rFonts w:asciiTheme="majorBidi" w:eastAsia="Calibri" w:hAnsiTheme="majorBidi" w:cstheme="majorBidi"/>
          <w:b/>
          <w:bCs/>
          <w:sz w:val="24"/>
          <w:szCs w:val="24"/>
        </w:rPr>
      </w:pPr>
      <w:r w:rsidRPr="00DC3CF6">
        <w:rPr>
          <w:rFonts w:asciiTheme="majorBidi" w:eastAsia="Calibri" w:hAnsiTheme="majorBidi" w:cstheme="majorBidi"/>
          <w:b/>
          <w:bCs/>
          <w:noProof/>
          <w:sz w:val="24"/>
          <w:szCs w:val="24"/>
          <w:bdr w:val="single" w:sz="4" w:space="0" w:color="auto"/>
          <w:lang w:eastAsia="en-GB"/>
        </w:rPr>
        <w:lastRenderedPageBreak/>
        <w:drawing>
          <wp:inline distT="0" distB="0" distL="0" distR="0" wp14:anchorId="51049369" wp14:editId="3798091F">
            <wp:extent cx="2519680" cy="2021840"/>
            <wp:effectExtent l="0" t="0" r="0" b="0"/>
            <wp:docPr id="7" name="Picture 7" descr="C:\Users\HP\Desktop\dr manal 2\final\new docking\erlo-2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P\Desktop\dr manal 2\final\new docking\erlo-2d.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9680" cy="2021840"/>
                    </a:xfrm>
                    <a:prstGeom prst="rect">
                      <a:avLst/>
                    </a:prstGeom>
                    <a:noFill/>
                    <a:ln>
                      <a:noFill/>
                    </a:ln>
                  </pic:spPr>
                </pic:pic>
              </a:graphicData>
            </a:graphic>
          </wp:inline>
        </w:drawing>
      </w:r>
      <w:r w:rsidRPr="00DC3CF6">
        <w:rPr>
          <w:rFonts w:asciiTheme="majorBidi" w:eastAsia="Calibri" w:hAnsiTheme="majorBidi" w:cstheme="majorBidi"/>
          <w:b/>
          <w:bCs/>
          <w:sz w:val="24"/>
          <w:szCs w:val="24"/>
        </w:rPr>
        <w:t xml:space="preserve"> </w:t>
      </w:r>
      <w:r w:rsidRPr="00DC3CF6">
        <w:rPr>
          <w:rFonts w:asciiTheme="majorBidi" w:eastAsia="Calibri" w:hAnsiTheme="majorBidi" w:cstheme="majorBidi"/>
          <w:b/>
          <w:bCs/>
          <w:noProof/>
          <w:sz w:val="24"/>
          <w:szCs w:val="24"/>
          <w:bdr w:val="single" w:sz="4" w:space="0" w:color="auto"/>
          <w:lang w:eastAsia="en-GB"/>
        </w:rPr>
        <w:drawing>
          <wp:inline distT="0" distB="0" distL="0" distR="0" wp14:anchorId="5EA2CC44" wp14:editId="26833D06">
            <wp:extent cx="2600960" cy="2021840"/>
            <wp:effectExtent l="0" t="0" r="8890" b="0"/>
            <wp:docPr id="8" name="Picture 8" descr="C:\Users\HP\Desktop\dr manal 2\final\new docking\erlo-3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P\Desktop\dr manal 2\final\new docking\erlo-3d.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0960" cy="2021840"/>
                    </a:xfrm>
                    <a:prstGeom prst="rect">
                      <a:avLst/>
                    </a:prstGeom>
                    <a:noFill/>
                    <a:ln>
                      <a:noFill/>
                    </a:ln>
                  </pic:spPr>
                </pic:pic>
              </a:graphicData>
            </a:graphic>
          </wp:inline>
        </w:drawing>
      </w:r>
    </w:p>
    <w:p w:rsidR="00923C1B" w:rsidRPr="00DC3CF6" w:rsidRDefault="00923C1B" w:rsidP="00DC3CF6">
      <w:pPr>
        <w:spacing w:line="360" w:lineRule="auto"/>
        <w:ind w:left="360"/>
        <w:rPr>
          <w:rFonts w:asciiTheme="majorBidi" w:eastAsia="Calibri" w:hAnsiTheme="majorBidi" w:cstheme="majorBidi"/>
          <w:b/>
          <w:bCs/>
          <w:sz w:val="24"/>
          <w:szCs w:val="24"/>
        </w:rPr>
      </w:pPr>
      <w:r w:rsidRPr="00DC3CF6">
        <w:rPr>
          <w:rFonts w:asciiTheme="majorBidi" w:eastAsia="Calibri" w:hAnsiTheme="majorBidi" w:cstheme="majorBidi"/>
          <w:b/>
          <w:bCs/>
          <w:sz w:val="24"/>
          <w:szCs w:val="24"/>
        </w:rPr>
        <w:t xml:space="preserve">                        (A)                                                                      (B)</w:t>
      </w:r>
    </w:p>
    <w:p w:rsidR="00923C1B" w:rsidRPr="00DC3CF6" w:rsidRDefault="00923C1B" w:rsidP="00DC3CF6">
      <w:pPr>
        <w:spacing w:line="360" w:lineRule="auto"/>
        <w:jc w:val="both"/>
        <w:rPr>
          <w:rFonts w:asciiTheme="majorBidi" w:eastAsia="Calibri" w:hAnsiTheme="majorBidi" w:cstheme="majorBidi"/>
          <w:sz w:val="24"/>
          <w:szCs w:val="24"/>
        </w:rPr>
      </w:pPr>
      <w:r w:rsidRPr="00DC3CF6">
        <w:rPr>
          <w:rFonts w:asciiTheme="majorBidi" w:eastAsia="Calibri" w:hAnsiTheme="majorBidi" w:cstheme="majorBidi"/>
          <w:b/>
          <w:bCs/>
          <w:sz w:val="24"/>
          <w:szCs w:val="24"/>
        </w:rPr>
        <w:t>Fig. 3</w:t>
      </w:r>
      <w:r w:rsidRPr="00DC3CF6">
        <w:rPr>
          <w:rFonts w:asciiTheme="majorBidi" w:eastAsia="Calibri" w:hAnsiTheme="majorBidi" w:cstheme="majorBidi"/>
          <w:sz w:val="24"/>
          <w:szCs w:val="24"/>
        </w:rPr>
        <w:t xml:space="preserve"> 2D diagram </w:t>
      </w:r>
      <w:r w:rsidRPr="00DC3CF6">
        <w:rPr>
          <w:rFonts w:asciiTheme="majorBidi" w:eastAsia="Calibri" w:hAnsiTheme="majorBidi" w:cstheme="majorBidi"/>
          <w:b/>
          <w:bCs/>
          <w:sz w:val="24"/>
          <w:szCs w:val="24"/>
        </w:rPr>
        <w:t xml:space="preserve">(A) </w:t>
      </w:r>
      <w:r w:rsidRPr="00DC3CF6">
        <w:rPr>
          <w:rFonts w:asciiTheme="majorBidi" w:eastAsia="Calibri" w:hAnsiTheme="majorBidi" w:cstheme="majorBidi"/>
          <w:sz w:val="24"/>
          <w:szCs w:val="24"/>
        </w:rPr>
        <w:t xml:space="preserve">and 3D representation </w:t>
      </w:r>
      <w:r w:rsidRPr="00DC3CF6">
        <w:rPr>
          <w:rFonts w:asciiTheme="majorBidi" w:eastAsia="Calibri" w:hAnsiTheme="majorBidi" w:cstheme="majorBidi"/>
          <w:b/>
          <w:bCs/>
          <w:sz w:val="24"/>
          <w:szCs w:val="24"/>
        </w:rPr>
        <w:t xml:space="preserve">(B) </w:t>
      </w:r>
      <w:r w:rsidRPr="00DC3CF6">
        <w:rPr>
          <w:rFonts w:asciiTheme="majorBidi" w:eastAsia="Calibri" w:hAnsiTheme="majorBidi" w:cstheme="majorBidi"/>
          <w:sz w:val="24"/>
          <w:szCs w:val="24"/>
        </w:rPr>
        <w:t xml:space="preserve">of compound </w:t>
      </w:r>
      <w:proofErr w:type="spellStart"/>
      <w:r w:rsidRPr="00DC3CF6">
        <w:rPr>
          <w:rFonts w:asciiTheme="majorBidi" w:eastAsia="Calibri" w:hAnsiTheme="majorBidi" w:cstheme="majorBidi"/>
          <w:b/>
          <w:bCs/>
          <w:sz w:val="24"/>
          <w:szCs w:val="24"/>
        </w:rPr>
        <w:t>Erlotinib</w:t>
      </w:r>
      <w:proofErr w:type="spellEnd"/>
      <w:r w:rsidRPr="00DC3CF6">
        <w:rPr>
          <w:rFonts w:asciiTheme="majorBidi" w:eastAsia="Calibri" w:hAnsiTheme="majorBidi" w:cstheme="majorBidi"/>
          <w:b/>
          <w:bCs/>
          <w:sz w:val="24"/>
          <w:szCs w:val="24"/>
        </w:rPr>
        <w:t xml:space="preserve"> </w:t>
      </w:r>
      <w:r w:rsidRPr="00DC3CF6">
        <w:rPr>
          <w:rFonts w:asciiTheme="majorBidi" w:eastAsia="Calibri" w:hAnsiTheme="majorBidi" w:cstheme="majorBidi"/>
          <w:sz w:val="24"/>
          <w:szCs w:val="24"/>
        </w:rPr>
        <w:t>showing its interaction with the HER2 kinase active site.</w:t>
      </w:r>
    </w:p>
    <w:p w:rsidR="001E4114" w:rsidRPr="00DC3CF6" w:rsidRDefault="001E4114" w:rsidP="00DC3CF6">
      <w:pPr>
        <w:spacing w:line="360" w:lineRule="auto"/>
        <w:rPr>
          <w:rFonts w:asciiTheme="majorBidi" w:eastAsia="Times New Roman" w:hAnsiTheme="majorBidi" w:cstheme="majorBidi"/>
          <w:sz w:val="24"/>
          <w:szCs w:val="24"/>
          <w:lang w:eastAsia="en-GB"/>
        </w:rPr>
      </w:pPr>
      <w:r w:rsidRPr="00DC3CF6">
        <w:rPr>
          <w:rFonts w:asciiTheme="majorBidi" w:hAnsiTheme="majorBidi" w:cstheme="majorBidi"/>
          <w:color w:val="000000"/>
          <w:sz w:val="24"/>
          <w:szCs w:val="24"/>
        </w:rPr>
        <w:br/>
      </w:r>
      <w:r w:rsidRPr="00DC3CF6">
        <w:rPr>
          <w:rFonts w:asciiTheme="majorBidi" w:eastAsia="Times New Roman" w:hAnsiTheme="majorBidi" w:cstheme="majorBidi"/>
          <w:b/>
          <w:bCs/>
          <w:color w:val="000000"/>
          <w:sz w:val="24"/>
          <w:szCs w:val="24"/>
          <w:lang w:eastAsia="en-GB"/>
        </w:rPr>
        <w:t>Abbreviations</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384"/>
        <w:gridCol w:w="4678"/>
      </w:tblGrid>
      <w:tr w:rsidR="001E4114" w:rsidRPr="00DC3CF6" w:rsidTr="009743AC">
        <w:tc>
          <w:tcPr>
            <w:tcW w:w="1384" w:type="dxa"/>
            <w:vAlign w:val="center"/>
            <w:hideMark/>
          </w:tcPr>
          <w:p w:rsidR="001E4114" w:rsidRPr="00DC3CF6" w:rsidRDefault="001E4114" w:rsidP="00DC3CF6">
            <w:pPr>
              <w:spacing w:after="0" w:line="360" w:lineRule="auto"/>
              <w:rPr>
                <w:rFonts w:asciiTheme="majorBidi" w:eastAsia="Times New Roman" w:hAnsiTheme="majorBidi" w:cstheme="majorBidi"/>
                <w:sz w:val="24"/>
                <w:szCs w:val="24"/>
                <w:lang w:eastAsia="en-GB"/>
              </w:rPr>
            </w:pPr>
            <w:r w:rsidRPr="00DC3CF6">
              <w:rPr>
                <w:rFonts w:asciiTheme="majorBidi" w:eastAsia="Times New Roman" w:hAnsiTheme="majorBidi" w:cstheme="majorBidi"/>
                <w:b/>
                <w:bCs/>
                <w:color w:val="000000"/>
                <w:sz w:val="24"/>
                <w:szCs w:val="24"/>
                <w:lang w:eastAsia="en-GB"/>
              </w:rPr>
              <w:t xml:space="preserve">RTK </w:t>
            </w:r>
          </w:p>
        </w:tc>
        <w:tc>
          <w:tcPr>
            <w:tcW w:w="4678" w:type="dxa"/>
            <w:vAlign w:val="center"/>
            <w:hideMark/>
          </w:tcPr>
          <w:p w:rsidR="001E4114" w:rsidRPr="00DC3CF6" w:rsidRDefault="001E4114" w:rsidP="00DC3CF6">
            <w:pPr>
              <w:spacing w:after="0" w:line="360" w:lineRule="auto"/>
              <w:rPr>
                <w:rFonts w:asciiTheme="majorBidi" w:eastAsia="Times New Roman" w:hAnsiTheme="majorBidi" w:cstheme="majorBidi"/>
                <w:sz w:val="24"/>
                <w:szCs w:val="24"/>
                <w:lang w:eastAsia="en-GB"/>
              </w:rPr>
            </w:pPr>
            <w:r w:rsidRPr="00DC3CF6">
              <w:rPr>
                <w:rFonts w:asciiTheme="majorBidi" w:eastAsia="Times New Roman" w:hAnsiTheme="majorBidi" w:cstheme="majorBidi"/>
                <w:color w:val="000000"/>
                <w:sz w:val="24"/>
                <w:szCs w:val="24"/>
                <w:lang w:eastAsia="en-GB"/>
              </w:rPr>
              <w:t>receptor tyrosine kinase</w:t>
            </w:r>
          </w:p>
        </w:tc>
      </w:tr>
      <w:tr w:rsidR="001E4114" w:rsidRPr="00DC3CF6" w:rsidTr="009743AC">
        <w:tc>
          <w:tcPr>
            <w:tcW w:w="1384" w:type="dxa"/>
            <w:vAlign w:val="center"/>
            <w:hideMark/>
          </w:tcPr>
          <w:p w:rsidR="001E4114" w:rsidRPr="00DC3CF6" w:rsidRDefault="001E4114" w:rsidP="00DC3CF6">
            <w:pPr>
              <w:spacing w:after="0" w:line="360" w:lineRule="auto"/>
              <w:rPr>
                <w:rFonts w:asciiTheme="majorBidi" w:eastAsia="Times New Roman" w:hAnsiTheme="majorBidi" w:cstheme="majorBidi"/>
                <w:sz w:val="24"/>
                <w:szCs w:val="24"/>
                <w:lang w:eastAsia="en-GB"/>
              </w:rPr>
            </w:pPr>
            <w:r w:rsidRPr="00DC3CF6">
              <w:rPr>
                <w:rFonts w:asciiTheme="majorBidi" w:eastAsia="Times New Roman" w:hAnsiTheme="majorBidi" w:cstheme="majorBidi"/>
                <w:b/>
                <w:bCs/>
                <w:color w:val="000000"/>
                <w:sz w:val="24"/>
                <w:szCs w:val="24"/>
                <w:lang w:eastAsia="en-GB"/>
              </w:rPr>
              <w:t xml:space="preserve">EGFR </w:t>
            </w:r>
          </w:p>
        </w:tc>
        <w:tc>
          <w:tcPr>
            <w:tcW w:w="4678" w:type="dxa"/>
            <w:vAlign w:val="center"/>
            <w:hideMark/>
          </w:tcPr>
          <w:p w:rsidR="001E4114" w:rsidRPr="00DC3CF6" w:rsidRDefault="001E4114" w:rsidP="00DC3CF6">
            <w:pPr>
              <w:spacing w:after="0" w:line="360" w:lineRule="auto"/>
              <w:rPr>
                <w:rFonts w:asciiTheme="majorBidi" w:eastAsia="Times New Roman" w:hAnsiTheme="majorBidi" w:cstheme="majorBidi"/>
                <w:sz w:val="24"/>
                <w:szCs w:val="24"/>
                <w:lang w:eastAsia="en-GB"/>
              </w:rPr>
            </w:pPr>
            <w:r w:rsidRPr="00DC3CF6">
              <w:rPr>
                <w:rFonts w:asciiTheme="majorBidi" w:eastAsia="Times New Roman" w:hAnsiTheme="majorBidi" w:cstheme="majorBidi"/>
                <w:color w:val="000000"/>
                <w:sz w:val="24"/>
                <w:szCs w:val="24"/>
                <w:lang w:eastAsia="en-GB"/>
              </w:rPr>
              <w:t>epidermal growth factor receptor</w:t>
            </w:r>
          </w:p>
        </w:tc>
      </w:tr>
      <w:tr w:rsidR="0061641E" w:rsidRPr="00DC3CF6" w:rsidTr="009743AC">
        <w:tc>
          <w:tcPr>
            <w:tcW w:w="1384" w:type="dxa"/>
            <w:vAlign w:val="center"/>
          </w:tcPr>
          <w:p w:rsidR="0061641E" w:rsidRPr="00DC3CF6" w:rsidRDefault="0061641E" w:rsidP="00DC3CF6">
            <w:pPr>
              <w:spacing w:after="0" w:line="360" w:lineRule="auto"/>
              <w:rPr>
                <w:rFonts w:asciiTheme="majorBidi" w:eastAsia="Times New Roman" w:hAnsiTheme="majorBidi" w:cstheme="majorBidi"/>
                <w:b/>
                <w:bCs/>
                <w:color w:val="000000"/>
                <w:sz w:val="24"/>
                <w:szCs w:val="24"/>
                <w:lang w:eastAsia="en-GB"/>
              </w:rPr>
            </w:pPr>
            <w:r w:rsidRPr="00DC3CF6">
              <w:rPr>
                <w:rFonts w:asciiTheme="majorBidi" w:eastAsia="Times New Roman" w:hAnsiTheme="majorBidi" w:cstheme="majorBidi"/>
                <w:b/>
                <w:bCs/>
                <w:color w:val="000000"/>
                <w:sz w:val="24"/>
                <w:szCs w:val="24"/>
                <w:lang w:eastAsia="en-GB"/>
              </w:rPr>
              <w:t xml:space="preserve">HER </w:t>
            </w:r>
          </w:p>
        </w:tc>
        <w:tc>
          <w:tcPr>
            <w:tcW w:w="4678" w:type="dxa"/>
            <w:vAlign w:val="center"/>
          </w:tcPr>
          <w:p w:rsidR="0061641E" w:rsidRPr="00DC3CF6" w:rsidRDefault="0061641E" w:rsidP="00DC3CF6">
            <w:pPr>
              <w:spacing w:after="0" w:line="360" w:lineRule="auto"/>
              <w:rPr>
                <w:rFonts w:asciiTheme="majorBidi" w:eastAsia="Times New Roman" w:hAnsiTheme="majorBidi" w:cstheme="majorBidi"/>
                <w:color w:val="000000"/>
                <w:sz w:val="24"/>
                <w:szCs w:val="24"/>
                <w:lang w:eastAsia="en-GB"/>
              </w:rPr>
            </w:pPr>
            <w:r w:rsidRPr="00DC3CF6">
              <w:rPr>
                <w:rFonts w:asciiTheme="majorBidi" w:eastAsia="Times New Roman" w:hAnsiTheme="majorBidi" w:cstheme="majorBidi"/>
                <w:color w:val="000000"/>
                <w:sz w:val="24"/>
                <w:szCs w:val="24"/>
                <w:lang w:eastAsia="en-GB"/>
              </w:rPr>
              <w:t>human epidermal growth factor receptor</w:t>
            </w:r>
          </w:p>
        </w:tc>
      </w:tr>
      <w:tr w:rsidR="001E4114" w:rsidRPr="00DC3CF6" w:rsidTr="009743AC">
        <w:tc>
          <w:tcPr>
            <w:tcW w:w="1384" w:type="dxa"/>
            <w:vAlign w:val="center"/>
            <w:hideMark/>
          </w:tcPr>
          <w:p w:rsidR="001E4114" w:rsidRPr="00DC3CF6" w:rsidRDefault="001E4114" w:rsidP="00DC3CF6">
            <w:pPr>
              <w:spacing w:after="0" w:line="360" w:lineRule="auto"/>
              <w:rPr>
                <w:rFonts w:asciiTheme="majorBidi" w:eastAsia="Times New Roman" w:hAnsiTheme="majorBidi" w:cstheme="majorBidi"/>
                <w:sz w:val="24"/>
                <w:szCs w:val="24"/>
                <w:lang w:eastAsia="en-GB"/>
              </w:rPr>
            </w:pPr>
            <w:r w:rsidRPr="00DC3CF6">
              <w:rPr>
                <w:rFonts w:asciiTheme="majorBidi" w:eastAsia="Times New Roman" w:hAnsiTheme="majorBidi" w:cstheme="majorBidi"/>
                <w:b/>
                <w:bCs/>
                <w:color w:val="000000"/>
                <w:sz w:val="24"/>
                <w:szCs w:val="24"/>
                <w:lang w:eastAsia="en-GB"/>
              </w:rPr>
              <w:t xml:space="preserve">VEGFR </w:t>
            </w:r>
            <w:r w:rsidRPr="00DC3CF6">
              <w:rPr>
                <w:rFonts w:asciiTheme="majorBidi" w:eastAsia="Times New Roman" w:hAnsiTheme="majorBidi" w:cstheme="majorBidi"/>
                <w:b/>
                <w:bCs/>
                <w:color w:val="000000"/>
                <w:sz w:val="24"/>
                <w:szCs w:val="24"/>
                <w:lang w:eastAsia="en-GB"/>
              </w:rPr>
              <w:br/>
              <w:t xml:space="preserve">PDGFR </w:t>
            </w:r>
          </w:p>
        </w:tc>
        <w:tc>
          <w:tcPr>
            <w:tcW w:w="4678" w:type="dxa"/>
            <w:vAlign w:val="center"/>
            <w:hideMark/>
          </w:tcPr>
          <w:p w:rsidR="001E4114" w:rsidRPr="00DC3CF6" w:rsidRDefault="001E4114" w:rsidP="00DC3CF6">
            <w:pPr>
              <w:spacing w:after="0" w:line="360" w:lineRule="auto"/>
              <w:rPr>
                <w:rFonts w:asciiTheme="majorBidi" w:eastAsia="Times New Roman" w:hAnsiTheme="majorBidi" w:cstheme="majorBidi"/>
                <w:sz w:val="24"/>
                <w:szCs w:val="24"/>
                <w:lang w:eastAsia="en-GB"/>
              </w:rPr>
            </w:pPr>
            <w:r w:rsidRPr="00DC3CF6">
              <w:rPr>
                <w:rFonts w:asciiTheme="majorBidi" w:eastAsia="Times New Roman" w:hAnsiTheme="majorBidi" w:cstheme="majorBidi"/>
                <w:color w:val="000000"/>
                <w:sz w:val="24"/>
                <w:szCs w:val="24"/>
                <w:lang w:eastAsia="en-GB"/>
              </w:rPr>
              <w:t>vascular end</w:t>
            </w:r>
            <w:r w:rsidR="0061641E" w:rsidRPr="00DC3CF6">
              <w:rPr>
                <w:rFonts w:asciiTheme="majorBidi" w:eastAsia="Times New Roman" w:hAnsiTheme="majorBidi" w:cstheme="majorBidi"/>
                <w:color w:val="000000"/>
                <w:sz w:val="24"/>
                <w:szCs w:val="24"/>
                <w:lang w:eastAsia="en-GB"/>
              </w:rPr>
              <w:t>othelial growth factor receptor</w:t>
            </w:r>
            <w:r w:rsidRPr="00DC3CF6">
              <w:rPr>
                <w:rFonts w:asciiTheme="majorBidi" w:eastAsia="Times New Roman" w:hAnsiTheme="majorBidi" w:cstheme="majorBidi"/>
                <w:color w:val="000000"/>
                <w:sz w:val="24"/>
                <w:szCs w:val="24"/>
                <w:lang w:eastAsia="en-GB"/>
              </w:rPr>
              <w:br/>
              <w:t>platelet-derived growth factor receptors</w:t>
            </w:r>
          </w:p>
        </w:tc>
      </w:tr>
    </w:tbl>
    <w:p w:rsidR="001E4114" w:rsidRPr="00DC3CF6" w:rsidRDefault="001E4114" w:rsidP="00DC3CF6">
      <w:pPr>
        <w:spacing w:line="360" w:lineRule="auto"/>
        <w:rPr>
          <w:rFonts w:asciiTheme="majorBidi" w:hAnsiTheme="majorBidi" w:cstheme="majorBidi"/>
          <w:sz w:val="24"/>
          <w:szCs w:val="24"/>
        </w:rPr>
      </w:pPr>
    </w:p>
    <w:p w:rsidR="001E4114" w:rsidRPr="00DC3CF6" w:rsidRDefault="001E4114" w:rsidP="00DC3CF6">
      <w:pPr>
        <w:spacing w:line="360" w:lineRule="auto"/>
        <w:rPr>
          <w:rFonts w:asciiTheme="majorBidi" w:hAnsiTheme="majorBidi" w:cstheme="majorBidi"/>
          <w:sz w:val="24"/>
          <w:szCs w:val="24"/>
        </w:rPr>
      </w:pPr>
    </w:p>
    <w:p w:rsidR="001E4114" w:rsidRPr="00DC3CF6" w:rsidRDefault="001E4114" w:rsidP="00DC3CF6">
      <w:pPr>
        <w:spacing w:line="360" w:lineRule="auto"/>
        <w:rPr>
          <w:rFonts w:asciiTheme="majorBidi" w:hAnsiTheme="majorBidi" w:cstheme="majorBidi"/>
          <w:sz w:val="24"/>
          <w:szCs w:val="24"/>
        </w:rPr>
      </w:pPr>
    </w:p>
    <w:p w:rsidR="001E4114" w:rsidRPr="00DC3CF6" w:rsidRDefault="001E4114" w:rsidP="00DC3CF6">
      <w:pPr>
        <w:spacing w:line="360" w:lineRule="auto"/>
        <w:rPr>
          <w:rFonts w:asciiTheme="majorBidi" w:hAnsiTheme="majorBidi" w:cstheme="majorBidi"/>
          <w:sz w:val="24"/>
          <w:szCs w:val="24"/>
        </w:rPr>
      </w:pPr>
    </w:p>
    <w:p w:rsidR="001E4114" w:rsidRPr="00DC3CF6" w:rsidRDefault="001E4114" w:rsidP="00DC3CF6">
      <w:pPr>
        <w:spacing w:line="360" w:lineRule="auto"/>
        <w:rPr>
          <w:rFonts w:asciiTheme="majorBidi" w:hAnsiTheme="majorBidi" w:cstheme="majorBidi"/>
          <w:sz w:val="24"/>
          <w:szCs w:val="24"/>
        </w:rPr>
      </w:pPr>
    </w:p>
    <w:p w:rsidR="001E4114" w:rsidRPr="00DC3CF6" w:rsidRDefault="001E4114" w:rsidP="00DC3CF6">
      <w:pPr>
        <w:spacing w:line="360" w:lineRule="auto"/>
        <w:rPr>
          <w:rFonts w:asciiTheme="majorBidi" w:hAnsiTheme="majorBidi" w:cstheme="majorBidi"/>
          <w:sz w:val="24"/>
          <w:szCs w:val="24"/>
        </w:rPr>
      </w:pPr>
    </w:p>
    <w:p w:rsidR="001E4114" w:rsidRPr="00DC3CF6" w:rsidRDefault="001E4114" w:rsidP="00DC3CF6">
      <w:pPr>
        <w:spacing w:line="360" w:lineRule="auto"/>
        <w:rPr>
          <w:rFonts w:asciiTheme="majorBidi" w:hAnsiTheme="majorBidi" w:cstheme="majorBidi"/>
          <w:sz w:val="24"/>
          <w:szCs w:val="24"/>
        </w:rPr>
      </w:pPr>
    </w:p>
    <w:p w:rsidR="001E4114" w:rsidRPr="00DC3CF6" w:rsidRDefault="001E4114" w:rsidP="00DC3CF6">
      <w:pPr>
        <w:spacing w:line="360" w:lineRule="auto"/>
        <w:rPr>
          <w:rFonts w:asciiTheme="majorBidi" w:hAnsiTheme="majorBidi" w:cstheme="majorBidi"/>
          <w:sz w:val="24"/>
          <w:szCs w:val="24"/>
        </w:rPr>
      </w:pPr>
    </w:p>
    <w:p w:rsidR="00B14001" w:rsidRPr="00DC3CF6" w:rsidRDefault="00B14001" w:rsidP="00DC3CF6">
      <w:pPr>
        <w:spacing w:line="360" w:lineRule="auto"/>
        <w:rPr>
          <w:rFonts w:asciiTheme="majorBidi" w:hAnsiTheme="majorBidi" w:cstheme="majorBidi"/>
          <w:sz w:val="24"/>
          <w:szCs w:val="24"/>
        </w:rPr>
      </w:pPr>
    </w:p>
    <w:sectPr w:rsidR="00B14001" w:rsidRPr="00DC3CF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9A0" w:rsidRDefault="003F79A0" w:rsidP="001E4114">
      <w:pPr>
        <w:spacing w:after="0" w:line="240" w:lineRule="auto"/>
      </w:pPr>
      <w:r>
        <w:separator/>
      </w:r>
    </w:p>
  </w:endnote>
  <w:endnote w:type="continuationSeparator" w:id="0">
    <w:p w:rsidR="003F79A0" w:rsidRDefault="003F79A0" w:rsidP="001E4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ymbolMT">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harisSIL">
    <w:altName w:val="Microsoft YaHei"/>
    <w:panose1 w:val="00000000000000000000"/>
    <w:charset w:val="80"/>
    <w:family w:val="swiss"/>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9A0" w:rsidRDefault="003F79A0" w:rsidP="001E4114">
      <w:pPr>
        <w:spacing w:after="0" w:line="240" w:lineRule="auto"/>
      </w:pPr>
      <w:r>
        <w:separator/>
      </w:r>
    </w:p>
  </w:footnote>
  <w:footnote w:type="continuationSeparator" w:id="0">
    <w:p w:rsidR="003F79A0" w:rsidRDefault="003F79A0" w:rsidP="001E41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AD6"/>
    <w:rsid w:val="000342E0"/>
    <w:rsid w:val="000B4C08"/>
    <w:rsid w:val="000C0EC5"/>
    <w:rsid w:val="00122808"/>
    <w:rsid w:val="001E4114"/>
    <w:rsid w:val="00284253"/>
    <w:rsid w:val="002B6816"/>
    <w:rsid w:val="003623D0"/>
    <w:rsid w:val="00371B1C"/>
    <w:rsid w:val="003A231C"/>
    <w:rsid w:val="003C19B1"/>
    <w:rsid w:val="003F79A0"/>
    <w:rsid w:val="00410AD6"/>
    <w:rsid w:val="00424D1A"/>
    <w:rsid w:val="00482298"/>
    <w:rsid w:val="0048437C"/>
    <w:rsid w:val="00506F8D"/>
    <w:rsid w:val="0056118F"/>
    <w:rsid w:val="006162B6"/>
    <w:rsid w:val="0061641E"/>
    <w:rsid w:val="0064047A"/>
    <w:rsid w:val="006B0DB1"/>
    <w:rsid w:val="006F50B9"/>
    <w:rsid w:val="0076326E"/>
    <w:rsid w:val="007A4ECB"/>
    <w:rsid w:val="00890396"/>
    <w:rsid w:val="00923C1B"/>
    <w:rsid w:val="00925CDE"/>
    <w:rsid w:val="00957FBA"/>
    <w:rsid w:val="00960D8A"/>
    <w:rsid w:val="009668EA"/>
    <w:rsid w:val="009743AC"/>
    <w:rsid w:val="009C565E"/>
    <w:rsid w:val="009E7AE2"/>
    <w:rsid w:val="00AA4E90"/>
    <w:rsid w:val="00AC28C0"/>
    <w:rsid w:val="00B14001"/>
    <w:rsid w:val="00B50DD8"/>
    <w:rsid w:val="00BC1EF6"/>
    <w:rsid w:val="00BF70D0"/>
    <w:rsid w:val="00C17A50"/>
    <w:rsid w:val="00CB1FE3"/>
    <w:rsid w:val="00CE599C"/>
    <w:rsid w:val="00D215F2"/>
    <w:rsid w:val="00D601DB"/>
    <w:rsid w:val="00D762C0"/>
    <w:rsid w:val="00DB4F50"/>
    <w:rsid w:val="00DC3CF6"/>
    <w:rsid w:val="00E041C6"/>
    <w:rsid w:val="00E17D92"/>
    <w:rsid w:val="00E872E7"/>
    <w:rsid w:val="00ED2534"/>
    <w:rsid w:val="00F257F2"/>
    <w:rsid w:val="00F45DCC"/>
    <w:rsid w:val="00F63888"/>
    <w:rsid w:val="00F73573"/>
    <w:rsid w:val="00F75747"/>
    <w:rsid w:val="00F852D0"/>
    <w:rsid w:val="00FC52C6"/>
    <w:rsid w:val="00FE029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A231C"/>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0A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AD6"/>
    <w:rPr>
      <w:rFonts w:ascii="Tahoma" w:hAnsi="Tahoma" w:cs="Tahoma"/>
      <w:sz w:val="16"/>
      <w:szCs w:val="16"/>
    </w:rPr>
  </w:style>
  <w:style w:type="character" w:customStyle="1" w:styleId="Heading1Char">
    <w:name w:val="Heading 1 Char"/>
    <w:basedOn w:val="DefaultParagraphFont"/>
    <w:link w:val="Heading1"/>
    <w:uiPriority w:val="9"/>
    <w:rsid w:val="003A231C"/>
    <w:rPr>
      <w:rFonts w:asciiTheme="majorHAnsi" w:eastAsiaTheme="majorEastAsia" w:hAnsiTheme="majorHAnsi" w:cstheme="majorBidi"/>
      <w:b/>
      <w:bCs/>
      <w:color w:val="365F91" w:themeColor="accent1" w:themeShade="BF"/>
      <w:sz w:val="28"/>
      <w:szCs w:val="28"/>
      <w:lang w:val="en-US" w:eastAsia="ja-JP"/>
    </w:rPr>
  </w:style>
  <w:style w:type="paragraph" w:styleId="Header">
    <w:name w:val="header"/>
    <w:basedOn w:val="Normal"/>
    <w:link w:val="HeaderChar"/>
    <w:uiPriority w:val="99"/>
    <w:unhideWhenUsed/>
    <w:rsid w:val="001E4114"/>
    <w:pPr>
      <w:tabs>
        <w:tab w:val="center" w:pos="4153"/>
        <w:tab w:val="right" w:pos="8306"/>
      </w:tabs>
      <w:spacing w:after="0" w:line="240" w:lineRule="auto"/>
    </w:pPr>
  </w:style>
  <w:style w:type="character" w:customStyle="1" w:styleId="HeaderChar">
    <w:name w:val="Header Char"/>
    <w:basedOn w:val="DefaultParagraphFont"/>
    <w:link w:val="Header"/>
    <w:uiPriority w:val="99"/>
    <w:rsid w:val="001E4114"/>
  </w:style>
  <w:style w:type="paragraph" w:styleId="Footer">
    <w:name w:val="footer"/>
    <w:basedOn w:val="Normal"/>
    <w:link w:val="FooterChar"/>
    <w:uiPriority w:val="99"/>
    <w:unhideWhenUsed/>
    <w:rsid w:val="001E4114"/>
    <w:pPr>
      <w:tabs>
        <w:tab w:val="center" w:pos="4153"/>
        <w:tab w:val="right" w:pos="8306"/>
      </w:tabs>
      <w:spacing w:after="0" w:line="240" w:lineRule="auto"/>
    </w:pPr>
  </w:style>
  <w:style w:type="character" w:customStyle="1" w:styleId="FooterChar">
    <w:name w:val="Footer Char"/>
    <w:basedOn w:val="DefaultParagraphFont"/>
    <w:link w:val="Footer"/>
    <w:uiPriority w:val="99"/>
    <w:rsid w:val="001E4114"/>
  </w:style>
  <w:style w:type="character" w:customStyle="1" w:styleId="fontstyle01">
    <w:name w:val="fontstyle01"/>
    <w:basedOn w:val="DefaultParagraphFont"/>
    <w:rsid w:val="001E4114"/>
    <w:rPr>
      <w:rFonts w:ascii="TimesNewRomanPS-BoldMT" w:hAnsi="TimesNewRomanPS-BoldMT" w:hint="default"/>
      <w:b/>
      <w:bCs/>
      <w:i w:val="0"/>
      <w:iCs w:val="0"/>
      <w:color w:val="000000"/>
      <w:sz w:val="24"/>
      <w:szCs w:val="24"/>
    </w:rPr>
  </w:style>
  <w:style w:type="character" w:customStyle="1" w:styleId="fontstyle21">
    <w:name w:val="fontstyle21"/>
    <w:basedOn w:val="DefaultParagraphFont"/>
    <w:rsid w:val="001E4114"/>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rsid w:val="001E4114"/>
    <w:rPr>
      <w:rFonts w:ascii="SymbolMT" w:hAnsi="SymbolMT" w:hint="default"/>
      <w:b w:val="0"/>
      <w:bCs w:val="0"/>
      <w:i w:val="0"/>
      <w:iCs w:val="0"/>
      <w:color w:val="000000"/>
      <w:sz w:val="24"/>
      <w:szCs w:val="24"/>
    </w:rPr>
  </w:style>
  <w:style w:type="character" w:customStyle="1" w:styleId="fontstyle41">
    <w:name w:val="fontstyle41"/>
    <w:basedOn w:val="DefaultParagraphFont"/>
    <w:rsid w:val="001E4114"/>
    <w:rPr>
      <w:rFonts w:ascii="TimesNewRomanPS-BoldItalicMT" w:hAnsi="TimesNewRomanPS-BoldItalicMT" w:hint="default"/>
      <w:b/>
      <w:bCs/>
      <w:i/>
      <w:iCs/>
      <w:color w:val="000000"/>
      <w:sz w:val="24"/>
      <w:szCs w:val="24"/>
    </w:rPr>
  </w:style>
  <w:style w:type="character" w:customStyle="1" w:styleId="fontstyle51">
    <w:name w:val="fontstyle51"/>
    <w:basedOn w:val="DefaultParagraphFont"/>
    <w:rsid w:val="001E4114"/>
    <w:rPr>
      <w:rFonts w:ascii="TimesNewRomanPS-ItalicMT" w:hAnsi="TimesNewRomanPS-ItalicMT" w:hint="default"/>
      <w:b w:val="0"/>
      <w:bCs w:val="0"/>
      <w:i/>
      <w:iC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A231C"/>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0A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AD6"/>
    <w:rPr>
      <w:rFonts w:ascii="Tahoma" w:hAnsi="Tahoma" w:cs="Tahoma"/>
      <w:sz w:val="16"/>
      <w:szCs w:val="16"/>
    </w:rPr>
  </w:style>
  <w:style w:type="character" w:customStyle="1" w:styleId="Heading1Char">
    <w:name w:val="Heading 1 Char"/>
    <w:basedOn w:val="DefaultParagraphFont"/>
    <w:link w:val="Heading1"/>
    <w:uiPriority w:val="9"/>
    <w:rsid w:val="003A231C"/>
    <w:rPr>
      <w:rFonts w:asciiTheme="majorHAnsi" w:eastAsiaTheme="majorEastAsia" w:hAnsiTheme="majorHAnsi" w:cstheme="majorBidi"/>
      <w:b/>
      <w:bCs/>
      <w:color w:val="365F91" w:themeColor="accent1" w:themeShade="BF"/>
      <w:sz w:val="28"/>
      <w:szCs w:val="28"/>
      <w:lang w:val="en-US" w:eastAsia="ja-JP"/>
    </w:rPr>
  </w:style>
  <w:style w:type="paragraph" w:styleId="Header">
    <w:name w:val="header"/>
    <w:basedOn w:val="Normal"/>
    <w:link w:val="HeaderChar"/>
    <w:uiPriority w:val="99"/>
    <w:unhideWhenUsed/>
    <w:rsid w:val="001E4114"/>
    <w:pPr>
      <w:tabs>
        <w:tab w:val="center" w:pos="4153"/>
        <w:tab w:val="right" w:pos="8306"/>
      </w:tabs>
      <w:spacing w:after="0" w:line="240" w:lineRule="auto"/>
    </w:pPr>
  </w:style>
  <w:style w:type="character" w:customStyle="1" w:styleId="HeaderChar">
    <w:name w:val="Header Char"/>
    <w:basedOn w:val="DefaultParagraphFont"/>
    <w:link w:val="Header"/>
    <w:uiPriority w:val="99"/>
    <w:rsid w:val="001E4114"/>
  </w:style>
  <w:style w:type="paragraph" w:styleId="Footer">
    <w:name w:val="footer"/>
    <w:basedOn w:val="Normal"/>
    <w:link w:val="FooterChar"/>
    <w:uiPriority w:val="99"/>
    <w:unhideWhenUsed/>
    <w:rsid w:val="001E4114"/>
    <w:pPr>
      <w:tabs>
        <w:tab w:val="center" w:pos="4153"/>
        <w:tab w:val="right" w:pos="8306"/>
      </w:tabs>
      <w:spacing w:after="0" w:line="240" w:lineRule="auto"/>
    </w:pPr>
  </w:style>
  <w:style w:type="character" w:customStyle="1" w:styleId="FooterChar">
    <w:name w:val="Footer Char"/>
    <w:basedOn w:val="DefaultParagraphFont"/>
    <w:link w:val="Footer"/>
    <w:uiPriority w:val="99"/>
    <w:rsid w:val="001E4114"/>
  </w:style>
  <w:style w:type="character" w:customStyle="1" w:styleId="fontstyle01">
    <w:name w:val="fontstyle01"/>
    <w:basedOn w:val="DefaultParagraphFont"/>
    <w:rsid w:val="001E4114"/>
    <w:rPr>
      <w:rFonts w:ascii="TimesNewRomanPS-BoldMT" w:hAnsi="TimesNewRomanPS-BoldMT" w:hint="default"/>
      <w:b/>
      <w:bCs/>
      <w:i w:val="0"/>
      <w:iCs w:val="0"/>
      <w:color w:val="000000"/>
      <w:sz w:val="24"/>
      <w:szCs w:val="24"/>
    </w:rPr>
  </w:style>
  <w:style w:type="character" w:customStyle="1" w:styleId="fontstyle21">
    <w:name w:val="fontstyle21"/>
    <w:basedOn w:val="DefaultParagraphFont"/>
    <w:rsid w:val="001E4114"/>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rsid w:val="001E4114"/>
    <w:rPr>
      <w:rFonts w:ascii="SymbolMT" w:hAnsi="SymbolMT" w:hint="default"/>
      <w:b w:val="0"/>
      <w:bCs w:val="0"/>
      <w:i w:val="0"/>
      <w:iCs w:val="0"/>
      <w:color w:val="000000"/>
      <w:sz w:val="24"/>
      <w:szCs w:val="24"/>
    </w:rPr>
  </w:style>
  <w:style w:type="character" w:customStyle="1" w:styleId="fontstyle41">
    <w:name w:val="fontstyle41"/>
    <w:basedOn w:val="DefaultParagraphFont"/>
    <w:rsid w:val="001E4114"/>
    <w:rPr>
      <w:rFonts w:ascii="TimesNewRomanPS-BoldItalicMT" w:hAnsi="TimesNewRomanPS-BoldItalicMT" w:hint="default"/>
      <w:b/>
      <w:bCs/>
      <w:i/>
      <w:iCs/>
      <w:color w:val="000000"/>
      <w:sz w:val="24"/>
      <w:szCs w:val="24"/>
    </w:rPr>
  </w:style>
  <w:style w:type="character" w:customStyle="1" w:styleId="fontstyle51">
    <w:name w:val="fontstyle51"/>
    <w:basedOn w:val="DefaultParagraphFont"/>
    <w:rsid w:val="001E4114"/>
    <w:rPr>
      <w:rFonts w:ascii="TimesNewRomanPS-ItalicMT" w:hAnsi="TimesNewRomanPS-ItalicMT"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rcsb.org"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36B05-14C6-42F4-8F78-5B5AC6D2C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1041</Words>
  <Characters>5935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10</cp:revision>
  <dcterms:created xsi:type="dcterms:W3CDTF">2020-10-27T08:13:00Z</dcterms:created>
  <dcterms:modified xsi:type="dcterms:W3CDTF">2020-10-28T22:19:00Z</dcterms:modified>
</cp:coreProperties>
</file>