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17" w:rsidRDefault="00933117" w:rsidP="00933117">
      <w:pPr>
        <w:spacing w:line="480" w:lineRule="auto"/>
        <w:jc w:val="center"/>
        <w:rPr>
          <w:rFonts w:asciiTheme="majorBidi" w:hAnsiTheme="majorBidi" w:cstheme="majorBidi"/>
          <w:b/>
          <w:bCs/>
          <w:sz w:val="28"/>
          <w:szCs w:val="28"/>
        </w:rPr>
      </w:pPr>
      <w:r w:rsidRPr="00467CBD">
        <w:rPr>
          <w:rFonts w:asciiTheme="majorBidi" w:hAnsiTheme="majorBidi" w:cstheme="majorBidi"/>
          <w:b/>
          <w:bCs/>
          <w:sz w:val="28"/>
          <w:szCs w:val="28"/>
        </w:rPr>
        <w:t xml:space="preserve">Characterization of Secondary Metabolites of Leaf and Stem Essential Oils of </w:t>
      </w:r>
      <w:proofErr w:type="spellStart"/>
      <w:r w:rsidRPr="00467CBD">
        <w:rPr>
          <w:rFonts w:asciiTheme="majorBidi" w:hAnsiTheme="majorBidi" w:cstheme="majorBidi"/>
          <w:b/>
          <w:bCs/>
          <w:i/>
          <w:iCs/>
          <w:sz w:val="28"/>
          <w:szCs w:val="28"/>
        </w:rPr>
        <w:t>Achillea</w:t>
      </w:r>
      <w:proofErr w:type="spellEnd"/>
      <w:r w:rsidRPr="00467CBD">
        <w:rPr>
          <w:rFonts w:asciiTheme="majorBidi" w:hAnsiTheme="majorBidi" w:cstheme="majorBidi"/>
          <w:b/>
          <w:bCs/>
          <w:i/>
          <w:iCs/>
          <w:sz w:val="28"/>
          <w:szCs w:val="28"/>
        </w:rPr>
        <w:t xml:space="preserve"> </w:t>
      </w:r>
      <w:proofErr w:type="spellStart"/>
      <w:r w:rsidRPr="00467CBD">
        <w:rPr>
          <w:rFonts w:asciiTheme="majorBidi" w:hAnsiTheme="majorBidi" w:cstheme="majorBidi"/>
          <w:b/>
          <w:bCs/>
          <w:i/>
          <w:iCs/>
          <w:sz w:val="28"/>
          <w:szCs w:val="28"/>
        </w:rPr>
        <w:t>fragrantissima</w:t>
      </w:r>
      <w:proofErr w:type="spellEnd"/>
      <w:r w:rsidRPr="00467CBD">
        <w:rPr>
          <w:rFonts w:asciiTheme="majorBidi" w:hAnsiTheme="majorBidi" w:cstheme="majorBidi"/>
          <w:b/>
          <w:bCs/>
          <w:i/>
          <w:iCs/>
          <w:sz w:val="28"/>
          <w:szCs w:val="28"/>
        </w:rPr>
        <w:t xml:space="preserve"> </w:t>
      </w:r>
      <w:r>
        <w:rPr>
          <w:rFonts w:asciiTheme="majorBidi" w:hAnsiTheme="majorBidi" w:cstheme="majorBidi"/>
          <w:b/>
          <w:bCs/>
          <w:sz w:val="28"/>
          <w:szCs w:val="28"/>
        </w:rPr>
        <w:t>f</w:t>
      </w:r>
      <w:r w:rsidRPr="00467CBD">
        <w:rPr>
          <w:rFonts w:asciiTheme="majorBidi" w:hAnsiTheme="majorBidi" w:cstheme="majorBidi"/>
          <w:b/>
          <w:bCs/>
          <w:sz w:val="28"/>
          <w:szCs w:val="28"/>
        </w:rPr>
        <w:t>rom Central Region of Saudi Arabia</w:t>
      </w:r>
    </w:p>
    <w:p w:rsidR="00933117" w:rsidRDefault="00933117" w:rsidP="00933117">
      <w:pPr>
        <w:spacing w:line="259" w:lineRule="auto"/>
        <w:jc w:val="center"/>
        <w:rPr>
          <w:rFonts w:asciiTheme="majorBidi" w:hAnsiTheme="majorBidi" w:cstheme="majorBidi"/>
          <w:b/>
          <w:bCs/>
          <w:sz w:val="28"/>
          <w:szCs w:val="28"/>
        </w:rPr>
      </w:pPr>
    </w:p>
    <w:p w:rsidR="00933117" w:rsidRPr="00A46D20" w:rsidRDefault="00933117" w:rsidP="00933117">
      <w:pPr>
        <w:spacing w:line="480" w:lineRule="auto"/>
        <w:jc w:val="center"/>
        <w:rPr>
          <w:rFonts w:asciiTheme="majorBidi" w:hAnsiTheme="majorBidi" w:cstheme="majorBidi"/>
          <w:b/>
          <w:bCs/>
          <w:sz w:val="24"/>
          <w:szCs w:val="24"/>
        </w:rPr>
      </w:pPr>
      <w:r w:rsidRPr="00A46D20">
        <w:rPr>
          <w:rFonts w:asciiTheme="majorBidi" w:hAnsiTheme="majorBidi" w:cstheme="majorBidi"/>
          <w:b/>
          <w:bCs/>
          <w:sz w:val="24"/>
          <w:szCs w:val="24"/>
        </w:rPr>
        <w:t>Merajuddin Khan</w:t>
      </w:r>
      <w:r>
        <w:rPr>
          <w:rFonts w:asciiTheme="majorBidi" w:hAnsiTheme="majorBidi" w:cstheme="majorBidi"/>
          <w:b/>
          <w:bCs/>
          <w:sz w:val="24"/>
          <w:szCs w:val="24"/>
        </w:rPr>
        <w:t>*</w:t>
      </w:r>
      <w:r w:rsidR="006E2011">
        <w:rPr>
          <w:rFonts w:asciiTheme="majorBidi" w:hAnsiTheme="majorBidi" w:cstheme="majorBidi"/>
          <w:vertAlign w:val="superscript"/>
          <w:lang w:val="da-DK"/>
        </w:rPr>
        <w:t>a</w:t>
      </w:r>
      <w:r w:rsidRPr="00A46D20">
        <w:rPr>
          <w:rFonts w:asciiTheme="majorBidi" w:hAnsiTheme="majorBidi" w:cstheme="majorBidi"/>
          <w:b/>
          <w:bCs/>
          <w:sz w:val="24"/>
          <w:szCs w:val="24"/>
        </w:rPr>
        <w:t xml:space="preserve">, </w:t>
      </w:r>
      <w:proofErr w:type="spellStart"/>
      <w:r w:rsidRPr="00A46D20">
        <w:rPr>
          <w:rFonts w:asciiTheme="majorBidi" w:hAnsiTheme="majorBidi" w:cstheme="majorBidi"/>
          <w:b/>
          <w:bCs/>
          <w:sz w:val="24"/>
          <w:szCs w:val="24"/>
        </w:rPr>
        <w:t>Mujeeb</w:t>
      </w:r>
      <w:proofErr w:type="spellEnd"/>
      <w:r w:rsidRPr="00A46D20">
        <w:rPr>
          <w:rFonts w:asciiTheme="majorBidi" w:hAnsiTheme="majorBidi" w:cstheme="majorBidi"/>
          <w:b/>
          <w:bCs/>
          <w:sz w:val="24"/>
          <w:szCs w:val="24"/>
        </w:rPr>
        <w:t xml:space="preserve"> Khan</w:t>
      </w:r>
      <w:r w:rsidR="006E2011">
        <w:rPr>
          <w:rFonts w:asciiTheme="majorBidi" w:hAnsiTheme="majorBidi" w:cstheme="majorBidi"/>
          <w:vertAlign w:val="superscript"/>
          <w:lang w:val="da-DK"/>
        </w:rPr>
        <w:t>a</w:t>
      </w:r>
      <w:r w:rsidRPr="00A46D20">
        <w:rPr>
          <w:rFonts w:asciiTheme="majorBidi" w:hAnsiTheme="majorBidi" w:cstheme="majorBidi"/>
          <w:b/>
          <w:bCs/>
          <w:sz w:val="24"/>
          <w:szCs w:val="24"/>
        </w:rPr>
        <w:t xml:space="preserve">, </w:t>
      </w:r>
      <w:proofErr w:type="spellStart"/>
      <w:r w:rsidRPr="00A46D20">
        <w:rPr>
          <w:rFonts w:asciiTheme="majorBidi" w:hAnsiTheme="majorBidi" w:cstheme="majorBidi"/>
          <w:b/>
          <w:bCs/>
          <w:sz w:val="24"/>
          <w:szCs w:val="24"/>
        </w:rPr>
        <w:t>Mahmood</w:t>
      </w:r>
      <w:proofErr w:type="spellEnd"/>
      <w:r w:rsidRPr="00A46D20">
        <w:rPr>
          <w:rFonts w:asciiTheme="majorBidi" w:hAnsiTheme="majorBidi" w:cstheme="majorBidi"/>
          <w:b/>
          <w:bCs/>
          <w:sz w:val="24"/>
          <w:szCs w:val="24"/>
        </w:rPr>
        <w:t xml:space="preserve"> M. S. Abdullah</w:t>
      </w:r>
      <w:r w:rsidR="006E2011">
        <w:rPr>
          <w:rFonts w:asciiTheme="majorBidi" w:hAnsiTheme="majorBidi" w:cstheme="majorBidi"/>
          <w:vertAlign w:val="superscript"/>
          <w:lang w:val="da-DK"/>
        </w:rPr>
        <w:t>a</w:t>
      </w:r>
      <w:r w:rsidRPr="00A46D20">
        <w:rPr>
          <w:rFonts w:asciiTheme="majorBidi" w:hAnsiTheme="majorBidi" w:cstheme="majorBidi"/>
          <w:b/>
          <w:bCs/>
          <w:sz w:val="24"/>
          <w:szCs w:val="24"/>
        </w:rPr>
        <w:t xml:space="preserve">, </w:t>
      </w:r>
      <w:proofErr w:type="spellStart"/>
      <w:r w:rsidRPr="00A46D20">
        <w:rPr>
          <w:rFonts w:asciiTheme="majorBidi" w:hAnsiTheme="majorBidi" w:cstheme="majorBidi"/>
          <w:b/>
          <w:bCs/>
          <w:sz w:val="24"/>
          <w:szCs w:val="24"/>
        </w:rPr>
        <w:t>Lamya</w:t>
      </w:r>
      <w:proofErr w:type="spellEnd"/>
      <w:r w:rsidRPr="00A46D20">
        <w:rPr>
          <w:rFonts w:asciiTheme="majorBidi" w:hAnsiTheme="majorBidi" w:cstheme="majorBidi"/>
          <w:b/>
          <w:bCs/>
          <w:sz w:val="24"/>
          <w:szCs w:val="24"/>
        </w:rPr>
        <w:t xml:space="preserve"> H. Al-</w:t>
      </w:r>
      <w:proofErr w:type="spellStart"/>
      <w:r w:rsidRPr="00A46D20">
        <w:rPr>
          <w:rFonts w:asciiTheme="majorBidi" w:hAnsiTheme="majorBidi" w:cstheme="majorBidi"/>
          <w:b/>
          <w:bCs/>
          <w:sz w:val="24"/>
          <w:szCs w:val="24"/>
        </w:rPr>
        <w:t>Wahaibi</w:t>
      </w:r>
      <w:proofErr w:type="spellEnd"/>
      <w:r w:rsidR="006E2011">
        <w:rPr>
          <w:rFonts w:asciiTheme="majorBidi" w:hAnsiTheme="majorBidi" w:cstheme="majorBidi"/>
          <w:vertAlign w:val="superscript"/>
          <w:lang w:val="da-DK"/>
        </w:rPr>
        <w:t>b</w:t>
      </w:r>
      <w:r w:rsidRPr="00A46D20">
        <w:rPr>
          <w:rFonts w:asciiTheme="majorBidi" w:hAnsiTheme="majorBidi" w:cstheme="majorBidi"/>
          <w:b/>
          <w:bCs/>
          <w:sz w:val="24"/>
          <w:szCs w:val="24"/>
        </w:rPr>
        <w:t xml:space="preserve">, </w:t>
      </w:r>
      <w:proofErr w:type="spellStart"/>
      <w:r w:rsidRPr="00A46D20">
        <w:rPr>
          <w:rFonts w:asciiTheme="majorBidi" w:hAnsiTheme="majorBidi" w:cstheme="majorBidi"/>
          <w:b/>
          <w:bCs/>
          <w:sz w:val="24"/>
          <w:szCs w:val="24"/>
        </w:rPr>
        <w:t>Hamad</w:t>
      </w:r>
      <w:proofErr w:type="spellEnd"/>
      <w:r w:rsidRPr="00A46D20">
        <w:rPr>
          <w:rFonts w:asciiTheme="majorBidi" w:hAnsiTheme="majorBidi" w:cstheme="majorBidi"/>
          <w:b/>
          <w:bCs/>
          <w:sz w:val="24"/>
          <w:szCs w:val="24"/>
        </w:rPr>
        <w:t xml:space="preserve"> Z. </w:t>
      </w:r>
      <w:proofErr w:type="spellStart"/>
      <w:r w:rsidRPr="00A46D20">
        <w:rPr>
          <w:rFonts w:asciiTheme="majorBidi" w:hAnsiTheme="majorBidi" w:cstheme="majorBidi"/>
          <w:b/>
          <w:bCs/>
          <w:sz w:val="24"/>
          <w:szCs w:val="24"/>
        </w:rPr>
        <w:t>Alkhathlan</w:t>
      </w:r>
      <w:proofErr w:type="spellEnd"/>
      <w:r w:rsidR="006E2011">
        <w:rPr>
          <w:rFonts w:asciiTheme="majorBidi" w:hAnsiTheme="majorBidi" w:cstheme="majorBidi"/>
          <w:vertAlign w:val="superscript"/>
          <w:lang w:val="da-DK"/>
        </w:rPr>
        <w:t>a</w:t>
      </w:r>
    </w:p>
    <w:p w:rsidR="00933117" w:rsidRDefault="00933117" w:rsidP="00933117">
      <w:pPr>
        <w:spacing w:line="480" w:lineRule="auto"/>
        <w:jc w:val="center"/>
        <w:rPr>
          <w:rFonts w:asciiTheme="majorBidi" w:hAnsiTheme="majorBidi" w:cstheme="majorBidi"/>
          <w:b/>
          <w:bCs/>
          <w:sz w:val="24"/>
          <w:szCs w:val="24"/>
          <w:vertAlign w:val="superscript"/>
          <w:lang w:val="da-DK"/>
        </w:rPr>
      </w:pPr>
    </w:p>
    <w:p w:rsidR="00933117" w:rsidRDefault="00933117" w:rsidP="00933117">
      <w:pPr>
        <w:spacing w:line="480" w:lineRule="auto"/>
        <w:jc w:val="center"/>
        <w:rPr>
          <w:rFonts w:asciiTheme="majorBidi" w:hAnsiTheme="majorBidi" w:cstheme="majorBidi"/>
          <w:b/>
          <w:bCs/>
          <w:sz w:val="24"/>
          <w:szCs w:val="24"/>
          <w:vertAlign w:val="superscript"/>
          <w:lang w:val="da-DK"/>
        </w:rPr>
      </w:pPr>
    </w:p>
    <w:p w:rsidR="00933117" w:rsidRDefault="006E2011" w:rsidP="00933117">
      <w:pPr>
        <w:spacing w:line="480" w:lineRule="auto"/>
        <w:ind w:right="98"/>
        <w:jc w:val="center"/>
        <w:rPr>
          <w:rFonts w:asciiTheme="majorBidi" w:hAnsiTheme="majorBidi" w:cstheme="majorBidi"/>
          <w:i/>
          <w:iCs/>
          <w:sz w:val="24"/>
          <w:szCs w:val="24"/>
          <w:lang w:val="da-DK"/>
        </w:rPr>
      </w:pPr>
      <w:r>
        <w:rPr>
          <w:rFonts w:asciiTheme="majorBidi" w:hAnsiTheme="majorBidi" w:cstheme="majorBidi"/>
          <w:i/>
          <w:iCs/>
          <w:sz w:val="24"/>
          <w:szCs w:val="24"/>
          <w:vertAlign w:val="superscript"/>
          <w:lang w:val="da-DK"/>
        </w:rPr>
        <w:t>a</w:t>
      </w:r>
      <w:r w:rsidR="00933117">
        <w:rPr>
          <w:rFonts w:asciiTheme="majorBidi" w:hAnsiTheme="majorBidi" w:cstheme="majorBidi"/>
          <w:i/>
          <w:iCs/>
          <w:sz w:val="24"/>
          <w:szCs w:val="24"/>
          <w:lang w:val="da-DK"/>
        </w:rPr>
        <w:t>Department of Chemistry, College of Science, Kin</w:t>
      </w:r>
      <w:r>
        <w:rPr>
          <w:rFonts w:asciiTheme="majorBidi" w:hAnsiTheme="majorBidi" w:cstheme="majorBidi"/>
          <w:i/>
          <w:iCs/>
          <w:sz w:val="24"/>
          <w:szCs w:val="24"/>
          <w:lang w:val="da-DK"/>
        </w:rPr>
        <w:t>g Saud University, P.O.Box 2455</w:t>
      </w:r>
      <w:bookmarkStart w:id="0" w:name="_GoBack"/>
      <w:bookmarkEnd w:id="0"/>
      <w:r w:rsidR="00933117">
        <w:rPr>
          <w:rFonts w:asciiTheme="majorBidi" w:hAnsiTheme="majorBidi" w:cstheme="majorBidi"/>
          <w:i/>
          <w:iCs/>
          <w:sz w:val="24"/>
          <w:szCs w:val="24"/>
          <w:lang w:val="da-DK"/>
        </w:rPr>
        <w:t>, Riyadh - 11451, Saudi Arabia.</w:t>
      </w:r>
    </w:p>
    <w:p w:rsidR="00933117" w:rsidRPr="00A46D20" w:rsidRDefault="006E2011" w:rsidP="00933117">
      <w:pPr>
        <w:spacing w:line="480" w:lineRule="auto"/>
        <w:ind w:right="98"/>
        <w:jc w:val="center"/>
        <w:rPr>
          <w:rFonts w:asciiTheme="majorBidi" w:hAnsiTheme="majorBidi" w:cstheme="majorBidi"/>
          <w:i/>
          <w:iCs/>
          <w:sz w:val="24"/>
          <w:szCs w:val="24"/>
          <w:lang w:val="da-DK"/>
        </w:rPr>
      </w:pPr>
      <w:r>
        <w:rPr>
          <w:rFonts w:asciiTheme="majorBidi" w:hAnsiTheme="majorBidi" w:cstheme="majorBidi"/>
          <w:i/>
          <w:iCs/>
          <w:sz w:val="24"/>
          <w:szCs w:val="24"/>
          <w:vertAlign w:val="superscript"/>
          <w:lang w:val="da-DK"/>
        </w:rPr>
        <w:t>b</w:t>
      </w:r>
      <w:r w:rsidR="00933117" w:rsidRPr="00A46D20">
        <w:rPr>
          <w:rFonts w:asciiTheme="majorBidi" w:hAnsiTheme="majorBidi" w:cstheme="majorBidi"/>
          <w:i/>
          <w:iCs/>
          <w:sz w:val="24"/>
          <w:szCs w:val="24"/>
          <w:lang w:val="da-DK"/>
        </w:rPr>
        <w:t>Department</w:t>
      </w:r>
      <w:r>
        <w:rPr>
          <w:rFonts w:asciiTheme="majorBidi" w:hAnsiTheme="majorBidi" w:cstheme="majorBidi"/>
          <w:i/>
          <w:iCs/>
          <w:sz w:val="24"/>
          <w:szCs w:val="24"/>
          <w:lang w:val="da-DK"/>
        </w:rPr>
        <w:t xml:space="preserve"> </w:t>
      </w:r>
      <w:r w:rsidR="00933117" w:rsidRPr="00A46D20">
        <w:rPr>
          <w:rFonts w:asciiTheme="majorBidi" w:hAnsiTheme="majorBidi" w:cstheme="majorBidi"/>
          <w:i/>
          <w:iCs/>
          <w:sz w:val="24"/>
          <w:szCs w:val="24"/>
          <w:lang w:val="da-DK"/>
        </w:rPr>
        <w:t>of Chemistry, Princess Nourah bint Abdel-Rahman University,</w:t>
      </w:r>
    </w:p>
    <w:p w:rsidR="00933117" w:rsidRPr="00A46D20" w:rsidRDefault="00933117" w:rsidP="00933117">
      <w:pPr>
        <w:spacing w:line="480" w:lineRule="auto"/>
        <w:ind w:right="98"/>
        <w:jc w:val="center"/>
        <w:rPr>
          <w:rFonts w:asciiTheme="majorBidi" w:hAnsiTheme="majorBidi" w:cstheme="majorBidi"/>
          <w:i/>
          <w:iCs/>
          <w:sz w:val="24"/>
          <w:szCs w:val="24"/>
          <w:lang w:val="da-DK"/>
        </w:rPr>
      </w:pPr>
      <w:r w:rsidRPr="00A46D20">
        <w:rPr>
          <w:rFonts w:asciiTheme="majorBidi" w:hAnsiTheme="majorBidi" w:cstheme="majorBidi"/>
          <w:i/>
          <w:iCs/>
          <w:sz w:val="24"/>
          <w:szCs w:val="24"/>
          <w:lang w:val="da-DK"/>
        </w:rPr>
        <w:t>P. O. Box 84428, Riyadh-11671, Saudi Arabia.</w:t>
      </w:r>
    </w:p>
    <w:p w:rsidR="00933117" w:rsidRDefault="00933117" w:rsidP="00933117">
      <w:pPr>
        <w:spacing w:line="480" w:lineRule="auto"/>
        <w:ind w:right="98"/>
        <w:jc w:val="center"/>
        <w:rPr>
          <w:rFonts w:asciiTheme="majorBidi" w:hAnsiTheme="majorBidi" w:cstheme="majorBidi"/>
          <w:i/>
          <w:iCs/>
          <w:sz w:val="24"/>
          <w:szCs w:val="24"/>
          <w:lang w:val="da-DK"/>
        </w:rPr>
      </w:pPr>
    </w:p>
    <w:p w:rsidR="00933117" w:rsidRDefault="00933117" w:rsidP="00933117">
      <w:pPr>
        <w:spacing w:line="480" w:lineRule="auto"/>
        <w:jc w:val="center"/>
        <w:rPr>
          <w:rFonts w:asciiTheme="majorBidi" w:hAnsiTheme="majorBidi" w:cstheme="majorBidi"/>
          <w:bCs/>
          <w:sz w:val="24"/>
          <w:szCs w:val="24"/>
          <w:vertAlign w:val="superscript"/>
          <w:lang w:val="da-DK"/>
        </w:rPr>
      </w:pPr>
    </w:p>
    <w:p w:rsidR="00933117" w:rsidRDefault="00933117" w:rsidP="00933117">
      <w:pPr>
        <w:spacing w:line="480" w:lineRule="auto"/>
        <w:ind w:right="98"/>
        <w:jc w:val="center"/>
        <w:rPr>
          <w:rFonts w:asciiTheme="majorBidi" w:hAnsiTheme="majorBidi" w:cstheme="majorBidi"/>
          <w:i/>
          <w:iCs/>
          <w:sz w:val="24"/>
          <w:szCs w:val="24"/>
          <w:lang w:val="da-DK"/>
        </w:rPr>
      </w:pPr>
    </w:p>
    <w:p w:rsidR="00933117" w:rsidRDefault="00933117" w:rsidP="00933117">
      <w:pPr>
        <w:spacing w:line="480" w:lineRule="auto"/>
        <w:ind w:right="98"/>
        <w:rPr>
          <w:rFonts w:asciiTheme="majorBidi" w:hAnsiTheme="majorBidi" w:cstheme="majorBidi"/>
          <w:i/>
          <w:iCs/>
          <w:sz w:val="24"/>
          <w:szCs w:val="24"/>
          <w:lang w:val="da-DK"/>
        </w:rPr>
      </w:pPr>
    </w:p>
    <w:p w:rsidR="00933117" w:rsidRDefault="00933117" w:rsidP="00933117">
      <w:pPr>
        <w:spacing w:line="480" w:lineRule="auto"/>
        <w:ind w:right="98"/>
        <w:rPr>
          <w:sz w:val="24"/>
          <w:szCs w:val="24"/>
        </w:rPr>
      </w:pPr>
    </w:p>
    <w:p w:rsidR="00933117" w:rsidRDefault="00933117" w:rsidP="008E5526">
      <w:pPr>
        <w:spacing w:line="480" w:lineRule="auto"/>
        <w:ind w:right="98"/>
        <w:rPr>
          <w:rFonts w:asciiTheme="majorBidi" w:hAnsiTheme="majorBidi" w:cstheme="majorBidi"/>
        </w:rPr>
      </w:pPr>
      <w:r>
        <w:rPr>
          <w:rFonts w:asciiTheme="majorBidi" w:hAnsiTheme="majorBidi" w:cstheme="majorBidi"/>
          <w:bCs/>
          <w:sz w:val="24"/>
          <w:szCs w:val="24"/>
          <w:lang w:val="da-DK"/>
        </w:rPr>
        <w:t>*</w:t>
      </w:r>
      <w:r>
        <w:rPr>
          <w:rFonts w:asciiTheme="majorBidi" w:hAnsiTheme="majorBidi" w:cstheme="majorBidi"/>
          <w:sz w:val="24"/>
          <w:szCs w:val="24"/>
        </w:rPr>
        <w:t xml:space="preserve">Corresponding Author. </w:t>
      </w:r>
      <w:r>
        <w:rPr>
          <w:rFonts w:asciiTheme="majorBidi" w:hAnsiTheme="majorBidi" w:cstheme="majorBidi"/>
          <w:i/>
          <w:iCs/>
          <w:sz w:val="24"/>
          <w:szCs w:val="24"/>
          <w:lang w:val="da-DK"/>
        </w:rPr>
        <w:t>E-mail:</w:t>
      </w:r>
      <w:r>
        <w:rPr>
          <w:lang w:val="da-DK"/>
        </w:rPr>
        <w:t xml:space="preserve"> </w:t>
      </w:r>
      <w:hyperlink r:id="rId4" w:history="1">
        <w:r w:rsidRPr="00DE3806">
          <w:rPr>
            <w:rStyle w:val="Hyperlink"/>
            <w:rFonts w:asciiTheme="majorBidi" w:hAnsiTheme="majorBidi" w:cstheme="majorBidi"/>
            <w:color w:val="0000FF"/>
            <w:sz w:val="24"/>
            <w:szCs w:val="24"/>
          </w:rPr>
          <w:t>mkhan3@ksu.edu.sa</w:t>
        </w:r>
      </w:hyperlink>
      <w:r>
        <w:t xml:space="preserve"> </w:t>
      </w:r>
      <w:r>
        <w:rPr>
          <w:rFonts w:asciiTheme="majorBidi" w:hAnsiTheme="majorBidi" w:cstheme="majorBidi"/>
        </w:rPr>
        <w:t xml:space="preserve"> </w:t>
      </w:r>
      <w:r w:rsidRPr="00DE3806">
        <w:rPr>
          <w:rFonts w:asciiTheme="majorBidi" w:hAnsiTheme="majorBidi" w:cstheme="majorBidi"/>
          <w:sz w:val="24"/>
          <w:szCs w:val="24"/>
        </w:rPr>
        <w:t>(M. Khan</w:t>
      </w:r>
      <w:r>
        <w:rPr>
          <w:rFonts w:asciiTheme="majorBidi" w:hAnsiTheme="majorBidi" w:cstheme="majorBidi"/>
        </w:rPr>
        <w:t>)</w:t>
      </w:r>
      <w:r w:rsidR="008E5526">
        <w:rPr>
          <w:rFonts w:asciiTheme="majorBidi" w:hAnsiTheme="majorBidi" w:cstheme="majorBidi"/>
        </w:rPr>
        <w:t>.</w:t>
      </w:r>
    </w:p>
    <w:p w:rsidR="00BC4A29" w:rsidRPr="00933117" w:rsidRDefault="00BC4A29" w:rsidP="00BC4A29">
      <w:pPr>
        <w:rPr>
          <w:rFonts w:ascii="Times New Roman" w:hAnsi="Times New Roman" w:cs="Times New Roman"/>
          <w:b/>
          <w:bCs/>
          <w:sz w:val="24"/>
          <w:szCs w:val="24"/>
        </w:rPr>
      </w:pPr>
    </w:p>
    <w:p w:rsidR="00BC4A29" w:rsidRDefault="00BC4A29" w:rsidP="00BC4A29">
      <w:pPr>
        <w:rPr>
          <w:rFonts w:ascii="Times New Roman" w:hAnsi="Times New Roman" w:cs="Times New Roman"/>
          <w:b/>
          <w:bCs/>
          <w:sz w:val="24"/>
          <w:szCs w:val="24"/>
        </w:rPr>
      </w:pPr>
    </w:p>
    <w:p w:rsidR="00BC4A29" w:rsidRDefault="00BC4A29" w:rsidP="00BC4A29">
      <w:pPr>
        <w:rPr>
          <w:rFonts w:ascii="Times New Roman" w:hAnsi="Times New Roman" w:cs="Times New Roman"/>
          <w:b/>
          <w:bCs/>
          <w:sz w:val="24"/>
          <w:szCs w:val="24"/>
        </w:rPr>
      </w:pPr>
    </w:p>
    <w:p w:rsidR="00BC4A29" w:rsidRDefault="00865A41" w:rsidP="00BC4A29">
      <w:pPr>
        <w:rPr>
          <w:rFonts w:ascii="Times New Roman" w:hAnsi="Times New Roman" w:cs="Times New Roman"/>
          <w:b/>
          <w:bCs/>
          <w:sz w:val="24"/>
          <w:szCs w:val="24"/>
        </w:rPr>
      </w:pPr>
      <w:r w:rsidRPr="00865A41">
        <w:rPr>
          <w:rFonts w:ascii="Times New Roman" w:hAnsi="Times New Roman" w:cs="Times New Roman"/>
          <w:b/>
          <w:bCs/>
          <w:noProof/>
          <w:sz w:val="24"/>
          <w:szCs w:val="24"/>
          <w:lang w:val="en-U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486400" cy="3105509"/>
            <wp:effectExtent l="0" t="0" r="0" b="0"/>
            <wp:wrapThrough wrapText="bothSides">
              <wp:wrapPolygon edited="0">
                <wp:start x="0" y="0"/>
                <wp:lineTo x="0" y="21467"/>
                <wp:lineTo x="21525" y="21467"/>
                <wp:lineTo x="21525" y="0"/>
                <wp:lineTo x="0" y="0"/>
              </wp:wrapPolygon>
            </wp:wrapThrough>
            <wp:docPr id="1" name="Picture 1" descr="C:\Users\mkhan3\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han3\Desktop\1.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105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41" w:rsidRPr="00FF42C8" w:rsidRDefault="00865A41" w:rsidP="00865A41">
      <w:pPr>
        <w:spacing w:line="360" w:lineRule="auto"/>
        <w:jc w:val="both"/>
        <w:rPr>
          <w:rFonts w:asciiTheme="majorBidi" w:hAnsiTheme="majorBidi" w:cstheme="majorBidi"/>
          <w:bCs/>
          <w:sz w:val="24"/>
          <w:szCs w:val="24"/>
        </w:rPr>
      </w:pPr>
      <w:r w:rsidRPr="00FF42C8">
        <w:rPr>
          <w:rFonts w:asciiTheme="majorBidi" w:hAnsiTheme="majorBidi" w:cstheme="majorBidi"/>
          <w:b/>
          <w:sz w:val="24"/>
          <w:szCs w:val="24"/>
        </w:rPr>
        <w:t xml:space="preserve">Figure </w:t>
      </w:r>
      <w:r>
        <w:rPr>
          <w:rFonts w:asciiTheme="majorBidi" w:hAnsiTheme="majorBidi" w:cstheme="majorBidi"/>
          <w:b/>
          <w:sz w:val="24"/>
          <w:szCs w:val="24"/>
        </w:rPr>
        <w:t>1s</w:t>
      </w:r>
      <w:r w:rsidRPr="00FF42C8">
        <w:rPr>
          <w:rFonts w:asciiTheme="majorBidi" w:hAnsiTheme="majorBidi" w:cstheme="majorBidi"/>
          <w:b/>
          <w:sz w:val="24"/>
          <w:szCs w:val="24"/>
        </w:rPr>
        <w:t>.</w:t>
      </w:r>
      <w:r w:rsidRPr="00FF42C8">
        <w:rPr>
          <w:rFonts w:asciiTheme="majorBidi" w:hAnsiTheme="majorBidi" w:cstheme="majorBidi"/>
          <w:bCs/>
          <w:sz w:val="24"/>
          <w:szCs w:val="24"/>
        </w:rPr>
        <w:t xml:space="preserve"> </w:t>
      </w:r>
      <w:r w:rsidRPr="00FF42C8">
        <w:rPr>
          <w:rFonts w:asciiTheme="majorBidi" w:hAnsiTheme="majorBidi" w:cstheme="majorBidi"/>
          <w:color w:val="000000"/>
          <w:sz w:val="24"/>
          <w:szCs w:val="24"/>
        </w:rPr>
        <w:t xml:space="preserve">GC–FID chromatogram of </w:t>
      </w:r>
      <w:r w:rsidRPr="00FF42C8">
        <w:rPr>
          <w:rFonts w:ascii="Times New Roman" w:eastAsia="Calibri" w:hAnsi="Times New Roman" w:cs="Times New Roman"/>
          <w:bCs/>
          <w:i/>
          <w:iCs/>
          <w:sz w:val="24"/>
          <w:szCs w:val="24"/>
        </w:rPr>
        <w:t xml:space="preserve">A. </w:t>
      </w:r>
      <w:proofErr w:type="spellStart"/>
      <w:r w:rsidRPr="00FF42C8">
        <w:rPr>
          <w:rFonts w:ascii="Times New Roman" w:eastAsia="Calibri" w:hAnsi="Times New Roman" w:cs="Times New Roman"/>
          <w:bCs/>
          <w:i/>
          <w:iCs/>
          <w:sz w:val="24"/>
          <w:szCs w:val="24"/>
        </w:rPr>
        <w:t>fragrantissima</w:t>
      </w:r>
      <w:proofErr w:type="spellEnd"/>
      <w:r w:rsidRPr="00FF42C8">
        <w:rPr>
          <w:rFonts w:ascii="Times New Roman" w:eastAsia="Calibri" w:hAnsi="Times New Roman" w:cs="Times New Roman"/>
          <w:bCs/>
          <w:i/>
          <w:iCs/>
          <w:sz w:val="24"/>
          <w:szCs w:val="24"/>
        </w:rPr>
        <w:t xml:space="preserve"> </w:t>
      </w:r>
      <w:r w:rsidRPr="00FF42C8">
        <w:rPr>
          <w:rFonts w:ascii="Times New Roman" w:eastAsia="Calibri" w:hAnsi="Times New Roman" w:cs="Times New Roman"/>
          <w:bCs/>
          <w:sz w:val="24"/>
          <w:szCs w:val="24"/>
        </w:rPr>
        <w:t>leaves</w:t>
      </w:r>
      <w:r w:rsidRPr="00FF42C8">
        <w:rPr>
          <w:rFonts w:ascii="Times New Roman" w:eastAsia="Calibri" w:hAnsi="Times New Roman" w:cs="Times New Roman"/>
          <w:bCs/>
          <w:i/>
          <w:iCs/>
          <w:sz w:val="24"/>
          <w:szCs w:val="24"/>
        </w:rPr>
        <w:t xml:space="preserve"> </w:t>
      </w:r>
      <w:r>
        <w:rPr>
          <w:rFonts w:asciiTheme="majorBidi" w:hAnsiTheme="majorBidi" w:cstheme="majorBidi"/>
          <w:color w:val="000000"/>
          <w:sz w:val="24"/>
          <w:szCs w:val="24"/>
        </w:rPr>
        <w:t>EO</w:t>
      </w:r>
      <w:r w:rsidRPr="00FF42C8">
        <w:rPr>
          <w:rFonts w:asciiTheme="majorBidi" w:hAnsiTheme="majorBidi" w:cstheme="majorBidi"/>
          <w:color w:val="000000"/>
          <w:sz w:val="24"/>
          <w:szCs w:val="24"/>
        </w:rPr>
        <w:t xml:space="preserve">. </w:t>
      </w:r>
    </w:p>
    <w:p w:rsidR="00865A41" w:rsidRDefault="00865A41" w:rsidP="00BC4A29">
      <w:pPr>
        <w:rPr>
          <w:rFonts w:ascii="Times New Roman" w:hAnsi="Times New Roman" w:cs="Times New Roman"/>
          <w:b/>
          <w:bCs/>
          <w:sz w:val="24"/>
          <w:szCs w:val="24"/>
        </w:rPr>
      </w:pPr>
      <w:r w:rsidRPr="00865A41">
        <w:rPr>
          <w:rFonts w:ascii="Times New Roman" w:hAnsi="Times New Roman" w:cs="Times New Roman"/>
          <w:b/>
          <w:bCs/>
          <w:noProof/>
          <w:sz w:val="24"/>
          <w:szCs w:val="24"/>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486400" cy="3115570"/>
            <wp:effectExtent l="0" t="0" r="0" b="8890"/>
            <wp:wrapThrough wrapText="bothSides">
              <wp:wrapPolygon edited="0">
                <wp:start x="0" y="0"/>
                <wp:lineTo x="0" y="21530"/>
                <wp:lineTo x="21525" y="21530"/>
                <wp:lineTo x="21525" y="0"/>
                <wp:lineTo x="0" y="0"/>
              </wp:wrapPolygon>
            </wp:wrapThrough>
            <wp:docPr id="2" name="Picture 2" descr="C:\Users\mkhan3\Desktop\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han3\Desktop\2.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11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41" w:rsidRDefault="00865A41" w:rsidP="00865A41">
      <w:pPr>
        <w:spacing w:line="360" w:lineRule="auto"/>
        <w:jc w:val="both"/>
        <w:rPr>
          <w:rFonts w:asciiTheme="majorBidi" w:hAnsiTheme="majorBidi" w:cstheme="majorBidi"/>
          <w:bCs/>
          <w:sz w:val="24"/>
          <w:szCs w:val="24"/>
        </w:rPr>
      </w:pPr>
      <w:r w:rsidRPr="00FF42C8">
        <w:rPr>
          <w:rFonts w:asciiTheme="majorBidi" w:hAnsiTheme="majorBidi" w:cstheme="majorBidi"/>
          <w:b/>
          <w:sz w:val="24"/>
          <w:szCs w:val="24"/>
        </w:rPr>
        <w:t xml:space="preserve">Figure </w:t>
      </w:r>
      <w:r>
        <w:rPr>
          <w:rFonts w:asciiTheme="majorBidi" w:hAnsiTheme="majorBidi" w:cstheme="majorBidi"/>
          <w:b/>
          <w:sz w:val="24"/>
          <w:szCs w:val="24"/>
        </w:rPr>
        <w:t>2s</w:t>
      </w:r>
      <w:r w:rsidRPr="00FF42C8">
        <w:rPr>
          <w:rFonts w:asciiTheme="majorBidi" w:hAnsiTheme="majorBidi" w:cstheme="majorBidi"/>
          <w:b/>
          <w:sz w:val="24"/>
          <w:szCs w:val="24"/>
        </w:rPr>
        <w:t>.</w:t>
      </w:r>
      <w:r w:rsidRPr="00FF42C8">
        <w:rPr>
          <w:rFonts w:asciiTheme="majorBidi" w:hAnsiTheme="majorBidi" w:cstheme="majorBidi"/>
          <w:bCs/>
          <w:sz w:val="24"/>
          <w:szCs w:val="24"/>
        </w:rPr>
        <w:t xml:space="preserve"> </w:t>
      </w:r>
      <w:r w:rsidRPr="00FF42C8">
        <w:rPr>
          <w:rFonts w:asciiTheme="majorBidi" w:hAnsiTheme="majorBidi" w:cstheme="majorBidi"/>
          <w:color w:val="000000"/>
          <w:sz w:val="24"/>
          <w:szCs w:val="24"/>
        </w:rPr>
        <w:t xml:space="preserve">GC–FID chromatogram of </w:t>
      </w:r>
      <w:r w:rsidRPr="00FF42C8">
        <w:rPr>
          <w:rFonts w:ascii="Times New Roman" w:eastAsia="Calibri" w:hAnsi="Times New Roman" w:cs="Times New Roman"/>
          <w:bCs/>
          <w:i/>
          <w:iCs/>
          <w:sz w:val="24"/>
          <w:szCs w:val="24"/>
        </w:rPr>
        <w:t xml:space="preserve">A. </w:t>
      </w:r>
      <w:proofErr w:type="spellStart"/>
      <w:r w:rsidRPr="00FF42C8">
        <w:rPr>
          <w:rFonts w:ascii="Times New Roman" w:eastAsia="Calibri" w:hAnsi="Times New Roman" w:cs="Times New Roman"/>
          <w:bCs/>
          <w:i/>
          <w:iCs/>
          <w:sz w:val="24"/>
          <w:szCs w:val="24"/>
        </w:rPr>
        <w:t>fragrantissima</w:t>
      </w:r>
      <w:proofErr w:type="spellEnd"/>
      <w:r w:rsidRPr="00FF42C8">
        <w:rPr>
          <w:rFonts w:ascii="Times New Roman" w:eastAsia="Calibri" w:hAnsi="Times New Roman" w:cs="Times New Roman"/>
          <w:bCs/>
          <w:i/>
          <w:iCs/>
          <w:sz w:val="24"/>
          <w:szCs w:val="24"/>
        </w:rPr>
        <w:t xml:space="preserve"> </w:t>
      </w:r>
      <w:r w:rsidRPr="00FF42C8">
        <w:rPr>
          <w:rFonts w:ascii="Times New Roman" w:eastAsia="Calibri" w:hAnsi="Times New Roman" w:cs="Times New Roman"/>
          <w:bCs/>
          <w:sz w:val="24"/>
          <w:szCs w:val="24"/>
        </w:rPr>
        <w:t>stems</w:t>
      </w:r>
      <w:r w:rsidRPr="00FF42C8">
        <w:rPr>
          <w:rFonts w:ascii="Times New Roman" w:eastAsia="Calibri" w:hAnsi="Times New Roman" w:cs="Times New Roman"/>
          <w:bCs/>
          <w:i/>
          <w:iCs/>
          <w:sz w:val="24"/>
          <w:szCs w:val="24"/>
        </w:rPr>
        <w:t xml:space="preserve"> </w:t>
      </w:r>
      <w:r>
        <w:rPr>
          <w:rFonts w:asciiTheme="majorBidi" w:hAnsiTheme="majorBidi" w:cstheme="majorBidi"/>
          <w:color w:val="000000"/>
          <w:sz w:val="24"/>
          <w:szCs w:val="24"/>
        </w:rPr>
        <w:t>EO</w:t>
      </w:r>
      <w:r w:rsidRPr="00FF42C8">
        <w:rPr>
          <w:rFonts w:asciiTheme="majorBidi" w:hAnsiTheme="majorBidi" w:cstheme="majorBidi"/>
          <w:color w:val="000000"/>
          <w:sz w:val="24"/>
          <w:szCs w:val="24"/>
        </w:rPr>
        <w:t xml:space="preserve">. </w:t>
      </w:r>
    </w:p>
    <w:p w:rsidR="00865A41" w:rsidRDefault="00865A41" w:rsidP="00BC4A29">
      <w:pPr>
        <w:rPr>
          <w:rFonts w:ascii="Times New Roman" w:hAnsi="Times New Roman" w:cs="Times New Roman"/>
          <w:b/>
          <w:bCs/>
          <w:sz w:val="24"/>
          <w:szCs w:val="24"/>
        </w:rPr>
      </w:pPr>
    </w:p>
    <w:p w:rsidR="00BC4A29" w:rsidRDefault="00BC4A29" w:rsidP="00933117">
      <w:pPr>
        <w:spacing w:line="480" w:lineRule="auto"/>
        <w:jc w:val="both"/>
        <w:rPr>
          <w:rFonts w:asciiTheme="majorBidi" w:hAnsiTheme="majorBidi" w:cstheme="majorBidi"/>
          <w:i/>
          <w:iCs/>
          <w:sz w:val="24"/>
          <w:szCs w:val="24"/>
        </w:rPr>
      </w:pPr>
      <w:r>
        <w:rPr>
          <w:rFonts w:asciiTheme="majorBidi" w:eastAsia="Calibri" w:hAnsiTheme="majorBidi" w:cstheme="majorBidi"/>
          <w:b/>
          <w:bCs/>
          <w:i/>
          <w:iCs/>
          <w:sz w:val="24"/>
          <w:szCs w:val="24"/>
        </w:rPr>
        <w:lastRenderedPageBreak/>
        <w:t>S1.</w:t>
      </w:r>
      <w:r>
        <w:rPr>
          <w:rFonts w:asciiTheme="majorBidi" w:eastAsia="Calibri" w:hAnsiTheme="majorBidi" w:cstheme="majorBidi"/>
          <w:i/>
          <w:iCs/>
          <w:sz w:val="24"/>
          <w:szCs w:val="24"/>
        </w:rPr>
        <w:t xml:space="preserve"> </w:t>
      </w:r>
      <w:r>
        <w:rPr>
          <w:rFonts w:asciiTheme="majorBidi" w:hAnsiTheme="majorBidi" w:cstheme="majorBidi"/>
          <w:i/>
          <w:iCs/>
          <w:sz w:val="24"/>
          <w:szCs w:val="24"/>
        </w:rPr>
        <w:t>Gas Chromatography (GC) and Gas Chromatography−Mass Spectrometry (GC-MS) Analysis of Essential Oils</w:t>
      </w:r>
    </w:p>
    <w:p w:rsidR="00BC4A29" w:rsidRDefault="00BC4A29" w:rsidP="00933117">
      <w:pPr>
        <w:spacing w:line="480" w:lineRule="auto"/>
        <w:ind w:firstLine="720"/>
        <w:jc w:val="both"/>
        <w:rPr>
          <w:rFonts w:asciiTheme="majorBidi" w:hAnsiTheme="majorBidi" w:cstheme="majorBidi"/>
          <w:b/>
          <w:bCs/>
          <w:sz w:val="24"/>
          <w:szCs w:val="24"/>
        </w:rPr>
      </w:pPr>
      <w:r>
        <w:rPr>
          <w:rFonts w:asciiTheme="majorBidi" w:hAnsiTheme="majorBidi" w:cstheme="majorBidi"/>
          <w:sz w:val="24"/>
          <w:szCs w:val="24"/>
        </w:rPr>
        <w:t>GC–MS was performed on an Agilent single-quadrupole mass spectrometer with an inert mass selective detector (MSD-5975C detector, Agilent Technologies, USA) coupled directly to an Agilent 7890A gas chromatograph which was equipped with a split–</w:t>
      </w:r>
      <w:proofErr w:type="spellStart"/>
      <w:r>
        <w:rPr>
          <w:rFonts w:asciiTheme="majorBidi" w:hAnsiTheme="majorBidi" w:cstheme="majorBidi"/>
          <w:sz w:val="24"/>
          <w:szCs w:val="24"/>
        </w:rPr>
        <w:t>splitless</w:t>
      </w:r>
      <w:proofErr w:type="spellEnd"/>
      <w:r>
        <w:rPr>
          <w:rFonts w:asciiTheme="majorBidi" w:hAnsiTheme="majorBidi" w:cstheme="majorBidi"/>
          <w:sz w:val="24"/>
          <w:szCs w:val="24"/>
        </w:rPr>
        <w:t xml:space="preserve"> injector, a </w:t>
      </w:r>
      <w:proofErr w:type="spellStart"/>
      <w:r>
        <w:rPr>
          <w:rFonts w:asciiTheme="majorBidi" w:hAnsiTheme="majorBidi" w:cstheme="majorBidi"/>
          <w:sz w:val="24"/>
          <w:szCs w:val="24"/>
        </w:rPr>
        <w:t>quickswap</w:t>
      </w:r>
      <w:proofErr w:type="spellEnd"/>
      <w:r>
        <w:rPr>
          <w:rFonts w:asciiTheme="majorBidi" w:hAnsiTheme="majorBidi" w:cstheme="majorBidi"/>
          <w:sz w:val="24"/>
          <w:szCs w:val="24"/>
        </w:rPr>
        <w:t xml:space="preserve"> assembly, an Agilent model 7693 </w:t>
      </w:r>
      <w:proofErr w:type="spellStart"/>
      <w:r>
        <w:rPr>
          <w:rFonts w:asciiTheme="majorBidi" w:hAnsiTheme="majorBidi" w:cstheme="majorBidi"/>
          <w:sz w:val="24"/>
          <w:szCs w:val="24"/>
        </w:rPr>
        <w:t>autosampler</w:t>
      </w:r>
      <w:proofErr w:type="spellEnd"/>
      <w:r>
        <w:rPr>
          <w:rFonts w:asciiTheme="majorBidi" w:hAnsiTheme="majorBidi" w:cstheme="majorBidi"/>
          <w:sz w:val="24"/>
          <w:szCs w:val="24"/>
        </w:rPr>
        <w:t xml:space="preserve"> and a HP-5MS fused silica capillary column (5% phenyl 95% dimethylpolysiloxane, 30 m × 0.25 mm </w:t>
      </w:r>
      <w:proofErr w:type="spellStart"/>
      <w:r>
        <w:rPr>
          <w:rFonts w:asciiTheme="majorBidi" w:hAnsiTheme="majorBidi" w:cstheme="majorBidi"/>
          <w:sz w:val="24"/>
          <w:szCs w:val="24"/>
        </w:rPr>
        <w:t>i.d.</w:t>
      </w:r>
      <w:proofErr w:type="spellEnd"/>
      <w:r>
        <w:rPr>
          <w:rFonts w:asciiTheme="majorBidi" w:hAnsiTheme="majorBidi" w:cstheme="majorBidi"/>
          <w:sz w:val="24"/>
          <w:szCs w:val="24"/>
        </w:rPr>
        <w:t xml:space="preserve">, film thickness 0.25 </w:t>
      </w:r>
      <w:proofErr w:type="spellStart"/>
      <w:r>
        <w:rPr>
          <w:rFonts w:asciiTheme="majorBidi" w:hAnsiTheme="majorBidi" w:cstheme="majorBidi"/>
          <w:sz w:val="24"/>
          <w:szCs w:val="24"/>
        </w:rPr>
        <w:t>μm</w:t>
      </w:r>
      <w:proofErr w:type="spellEnd"/>
      <w:r>
        <w:rPr>
          <w:rFonts w:asciiTheme="majorBidi" w:hAnsiTheme="majorBidi" w:cstheme="majorBidi"/>
          <w:sz w:val="24"/>
          <w:szCs w:val="24"/>
        </w:rPr>
        <w:t xml:space="preserve">, Agilent Technologies, USA). The column was operated using an injector temperature of 250°C and the following oven temperature profile: an isothermal hold at 50°C for 4 min, followed by a ramp of 4°C/min to 220°C, an isothermal hold for 2 min, a second ramp to 280°C at 20°C/min and finally an isothermal hold for 15 min. </w:t>
      </w:r>
    </w:p>
    <w:p w:rsidR="00BC4A29" w:rsidRDefault="00BC4A29" w:rsidP="0093311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Approximately 0.2 </w:t>
      </w:r>
      <w:proofErr w:type="spellStart"/>
      <w:r>
        <w:rPr>
          <w:rFonts w:asciiTheme="majorBidi" w:hAnsiTheme="majorBidi" w:cstheme="majorBidi"/>
          <w:sz w:val="24"/>
          <w:szCs w:val="24"/>
        </w:rPr>
        <w:t>μl</w:t>
      </w:r>
      <w:proofErr w:type="spellEnd"/>
      <w:r>
        <w:rPr>
          <w:rFonts w:asciiTheme="majorBidi" w:hAnsiTheme="majorBidi" w:cstheme="majorBidi"/>
          <w:sz w:val="24"/>
          <w:szCs w:val="24"/>
        </w:rPr>
        <w:t xml:space="preserve"> of each sample diluted in diethyl ether (5% solution in acetone) was injected using the split injection mode; the split flow ratio was 10:1. The helium carrier gas was flowed at 1 ml/min. The GC–TIC profiles and mass spectra were obtained using the </w:t>
      </w:r>
      <w:proofErr w:type="spellStart"/>
      <w:r>
        <w:rPr>
          <w:rFonts w:asciiTheme="majorBidi" w:hAnsiTheme="majorBidi" w:cstheme="majorBidi"/>
          <w:sz w:val="24"/>
          <w:szCs w:val="24"/>
        </w:rPr>
        <w:t>ChemStation</w:t>
      </w:r>
      <w:proofErr w:type="spellEnd"/>
      <w:r>
        <w:rPr>
          <w:rFonts w:asciiTheme="majorBidi" w:hAnsiTheme="majorBidi" w:cstheme="majorBidi"/>
          <w:sz w:val="24"/>
          <w:szCs w:val="24"/>
        </w:rPr>
        <w:t xml:space="preserve"> data analysis software, version E-02.00.493 (Agilent). All mass spectra were acquired in the EI mode (scan range of m/z 45–600 and ionization energy of 70 eV). The temperatures of the electronic-impact ion source and the MS quadrupole were 230°C and 150°C, respectively. The MSD transfer line was maintained at 280°C for the </w:t>
      </w:r>
      <w:proofErr w:type="spellStart"/>
      <w:r>
        <w:rPr>
          <w:rFonts w:asciiTheme="majorBidi" w:hAnsiTheme="majorBidi" w:cstheme="majorBidi"/>
          <w:sz w:val="24"/>
          <w:szCs w:val="24"/>
        </w:rPr>
        <w:t>nalysis</w:t>
      </w:r>
      <w:proofErr w:type="spellEnd"/>
      <w:r>
        <w:rPr>
          <w:rFonts w:asciiTheme="majorBidi" w:hAnsiTheme="majorBidi" w:cstheme="majorBidi"/>
          <w:sz w:val="24"/>
          <w:szCs w:val="24"/>
        </w:rPr>
        <w:t xml:space="preserve">. The GC analysis was performed on an Agilent GC-7890A dual-channel gas chromatograph (Agilent Technologies, USA) equipped with FID using nonpolar (HP-5MS) columns under the same conditions as described above. The detector temperature was maintained at 300°C for the analyses. The relative composition of the oil </w:t>
      </w:r>
      <w:r>
        <w:rPr>
          <w:rFonts w:asciiTheme="majorBidi" w:hAnsiTheme="majorBidi" w:cstheme="majorBidi"/>
          <w:sz w:val="24"/>
          <w:szCs w:val="24"/>
        </w:rPr>
        <w:lastRenderedPageBreak/>
        <w:t>components was calculated on the basis of the GC–FID peak areas measured using the HP-5 MS column without using correction factor. Results are reported in Table 1 according to their elution order on the HP-5MS column.</w:t>
      </w:r>
    </w:p>
    <w:p w:rsidR="00BC4A29" w:rsidRDefault="00BC4A29" w:rsidP="00933117">
      <w:pPr>
        <w:spacing w:line="480" w:lineRule="auto"/>
        <w:jc w:val="both"/>
        <w:rPr>
          <w:rFonts w:asciiTheme="majorBidi" w:hAnsiTheme="majorBidi" w:cstheme="majorBidi"/>
          <w:sz w:val="24"/>
          <w:szCs w:val="24"/>
        </w:rPr>
      </w:pPr>
      <w:r>
        <w:rPr>
          <w:rFonts w:asciiTheme="majorBidi" w:eastAsia="Calibri" w:hAnsiTheme="majorBidi" w:cstheme="majorBidi"/>
          <w:b/>
          <w:bCs/>
          <w:i/>
          <w:iCs/>
          <w:sz w:val="24"/>
          <w:szCs w:val="24"/>
        </w:rPr>
        <w:t>S2.</w:t>
      </w:r>
      <w:r>
        <w:rPr>
          <w:rFonts w:asciiTheme="majorBidi" w:eastAsia="Calibri" w:hAnsiTheme="majorBidi" w:cstheme="majorBidi"/>
          <w:i/>
          <w:iCs/>
          <w:sz w:val="24"/>
          <w:szCs w:val="24"/>
        </w:rPr>
        <w:t xml:space="preserve"> </w:t>
      </w:r>
      <w:r>
        <w:rPr>
          <w:rFonts w:asciiTheme="majorBidi" w:hAnsiTheme="majorBidi" w:cstheme="majorBidi"/>
          <w:i/>
          <w:iCs/>
          <w:sz w:val="24"/>
          <w:szCs w:val="24"/>
        </w:rPr>
        <w:t>Linear retention indices</w:t>
      </w:r>
      <w:r>
        <w:rPr>
          <w:rFonts w:asciiTheme="majorBidi" w:hAnsiTheme="majorBidi" w:cstheme="majorBidi"/>
          <w:b/>
          <w:bCs/>
          <w:sz w:val="24"/>
          <w:szCs w:val="24"/>
        </w:rPr>
        <w:t xml:space="preserve"> </w:t>
      </w:r>
      <w:r>
        <w:rPr>
          <w:rFonts w:asciiTheme="majorBidi" w:hAnsiTheme="majorBidi" w:cstheme="majorBidi"/>
          <w:i/>
          <w:iCs/>
          <w:sz w:val="24"/>
          <w:szCs w:val="24"/>
        </w:rPr>
        <w:t>(LRIs)</w:t>
      </w:r>
    </w:p>
    <w:p w:rsidR="00BC4A29" w:rsidRDefault="00BC4A29" w:rsidP="0093311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 mixture of a continuous series of straight-chain hydrocarbons, C8-C31 (C8-C20, 04070, Sigma-Aldrich, USA and C20-C31, S23747, </w:t>
      </w:r>
      <w:proofErr w:type="spellStart"/>
      <w:r>
        <w:rPr>
          <w:rFonts w:asciiTheme="majorBidi" w:hAnsiTheme="majorBidi" w:cstheme="majorBidi"/>
          <w:sz w:val="24"/>
          <w:szCs w:val="24"/>
        </w:rPr>
        <w:t>AccuStandard</w:t>
      </w:r>
      <w:proofErr w:type="spellEnd"/>
      <w:r>
        <w:rPr>
          <w:rFonts w:asciiTheme="majorBidi" w:hAnsiTheme="majorBidi" w:cstheme="majorBidi"/>
          <w:sz w:val="24"/>
          <w:szCs w:val="24"/>
        </w:rPr>
        <w:t xml:space="preserve">, USA) was injected into nonpolar (HP-5MS) columns under the same conditions previously described for the oil samples to obtain the linear retention indices (LRIs) (also referred to as linear temperature programmed retention indices (LTPRI)) of the oil constituents provided in Table 1. The LRIs were computed using van den </w:t>
      </w:r>
      <w:proofErr w:type="spellStart"/>
      <w:r>
        <w:rPr>
          <w:rFonts w:asciiTheme="majorBidi" w:hAnsiTheme="majorBidi" w:cstheme="majorBidi"/>
          <w:sz w:val="24"/>
          <w:szCs w:val="24"/>
        </w:rPr>
        <w:t>Dool</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Kratz’s</w:t>
      </w:r>
      <w:proofErr w:type="spellEnd"/>
      <w:r>
        <w:rPr>
          <w:rFonts w:asciiTheme="majorBidi" w:hAnsiTheme="majorBidi" w:cstheme="majorBidi"/>
          <w:sz w:val="24"/>
          <w:szCs w:val="24"/>
        </w:rPr>
        <w:t xml:space="preserve"> equation.    </w:t>
      </w:r>
    </w:p>
    <w:p w:rsidR="00BC4A29" w:rsidRDefault="00BC4A29" w:rsidP="00933117">
      <w:pPr>
        <w:spacing w:line="480" w:lineRule="auto"/>
        <w:jc w:val="both"/>
        <w:rPr>
          <w:rFonts w:asciiTheme="majorBidi" w:hAnsiTheme="majorBidi" w:cstheme="majorBidi"/>
          <w:i/>
          <w:iCs/>
          <w:sz w:val="24"/>
          <w:szCs w:val="24"/>
        </w:rPr>
      </w:pPr>
      <w:r>
        <w:rPr>
          <w:rFonts w:asciiTheme="majorBidi" w:eastAsia="Calibri" w:hAnsiTheme="majorBidi" w:cstheme="majorBidi"/>
          <w:b/>
          <w:bCs/>
          <w:i/>
          <w:iCs/>
          <w:sz w:val="24"/>
          <w:szCs w:val="24"/>
        </w:rPr>
        <w:t>S3.</w:t>
      </w:r>
      <w:r>
        <w:rPr>
          <w:rFonts w:asciiTheme="majorBidi" w:hAnsiTheme="majorBidi" w:cstheme="majorBidi"/>
          <w:i/>
          <w:iCs/>
          <w:sz w:val="24"/>
          <w:szCs w:val="24"/>
        </w:rPr>
        <w:t xml:space="preserve"> Identification of volatile components </w:t>
      </w:r>
    </w:p>
    <w:p w:rsidR="00BC4A29" w:rsidRDefault="00BC4A29" w:rsidP="00234FD5">
      <w:pPr>
        <w:spacing w:line="480" w:lineRule="auto"/>
        <w:ind w:firstLine="720"/>
        <w:jc w:val="both"/>
        <w:rPr>
          <w:rFonts w:asciiTheme="majorBidi" w:hAnsiTheme="majorBidi" w:cstheme="majorBidi"/>
          <w:color w:val="0000FF"/>
          <w:sz w:val="24"/>
          <w:szCs w:val="24"/>
        </w:rPr>
      </w:pPr>
      <w:r w:rsidRPr="004B0EC1">
        <w:rPr>
          <w:rFonts w:asciiTheme="majorBidi" w:hAnsiTheme="majorBidi" w:cstheme="majorBidi"/>
          <w:sz w:val="24"/>
          <w:szCs w:val="24"/>
        </w:rPr>
        <w:t xml:space="preserve">The identification of different components of fresh </w:t>
      </w:r>
      <w:r w:rsidR="00954F3D" w:rsidRPr="004B0EC1">
        <w:rPr>
          <w:rFonts w:asciiTheme="majorBidi" w:hAnsiTheme="majorBidi" w:cstheme="majorBidi"/>
          <w:sz w:val="24"/>
          <w:szCs w:val="24"/>
        </w:rPr>
        <w:t>leaves and stems</w:t>
      </w:r>
      <w:r w:rsidRPr="004B0EC1">
        <w:rPr>
          <w:rFonts w:asciiTheme="majorBidi" w:hAnsiTheme="majorBidi" w:cstheme="majorBidi"/>
          <w:sz w:val="24"/>
          <w:szCs w:val="24"/>
        </w:rPr>
        <w:t xml:space="preserve"> essential oils constituents of </w:t>
      </w:r>
      <w:r w:rsidR="00041DF9" w:rsidRPr="004B0EC1">
        <w:rPr>
          <w:rFonts w:asciiTheme="majorBidi" w:hAnsiTheme="majorBidi" w:cstheme="majorBidi"/>
          <w:bCs/>
          <w:i/>
          <w:iCs/>
          <w:sz w:val="24"/>
          <w:szCs w:val="24"/>
        </w:rPr>
        <w:t xml:space="preserve">A. </w:t>
      </w:r>
      <w:proofErr w:type="spellStart"/>
      <w:r w:rsidR="00041DF9" w:rsidRPr="004B0EC1">
        <w:rPr>
          <w:rFonts w:asciiTheme="majorBidi" w:hAnsiTheme="majorBidi" w:cstheme="majorBidi"/>
          <w:bCs/>
          <w:i/>
          <w:iCs/>
          <w:sz w:val="24"/>
          <w:szCs w:val="24"/>
        </w:rPr>
        <w:t>fragrantissima</w:t>
      </w:r>
      <w:proofErr w:type="spellEnd"/>
      <w:r w:rsidR="00041DF9" w:rsidRPr="004B0EC1">
        <w:rPr>
          <w:rFonts w:asciiTheme="majorBidi" w:hAnsiTheme="majorBidi" w:cstheme="majorBidi"/>
          <w:bCs/>
          <w:sz w:val="24"/>
          <w:szCs w:val="24"/>
        </w:rPr>
        <w:t xml:space="preserve"> </w:t>
      </w:r>
      <w:r w:rsidRPr="004B0EC1">
        <w:rPr>
          <w:rFonts w:asciiTheme="majorBidi" w:hAnsiTheme="majorBidi" w:cstheme="majorBidi"/>
          <w:sz w:val="24"/>
          <w:szCs w:val="24"/>
        </w:rPr>
        <w:t xml:space="preserve">was done </w:t>
      </w:r>
      <w:r>
        <w:rPr>
          <w:rFonts w:asciiTheme="majorBidi" w:hAnsiTheme="majorBidi" w:cstheme="majorBidi"/>
          <w:sz w:val="24"/>
          <w:szCs w:val="24"/>
        </w:rPr>
        <w:t xml:space="preserve">by matching their mass spectra with the library entries of mass spectra databases (WILEY 9th edition, NIST-08 MS library version 2.0 f, and Adams and </w:t>
      </w:r>
      <w:proofErr w:type="spellStart"/>
      <w:r>
        <w:rPr>
          <w:rFonts w:asciiTheme="majorBidi" w:hAnsiTheme="majorBidi" w:cstheme="majorBidi"/>
          <w:sz w:val="24"/>
          <w:szCs w:val="24"/>
        </w:rPr>
        <w:t>Flavor</w:t>
      </w:r>
      <w:proofErr w:type="spellEnd"/>
      <w:r>
        <w:rPr>
          <w:rFonts w:asciiTheme="majorBidi" w:hAnsiTheme="majorBidi" w:cstheme="majorBidi"/>
          <w:sz w:val="24"/>
          <w:szCs w:val="24"/>
        </w:rPr>
        <w:t xml:space="preserve"> libraries) as well as by comparing their mass spectra and linear retention indices (LRI) with published data </w:t>
      </w:r>
      <w:r>
        <w:rPr>
          <w:rFonts w:asciiTheme="majorBidi" w:hAnsiTheme="majorBidi" w:cstheme="majorBidi"/>
          <w:sz w:val="24"/>
          <w:szCs w:val="24"/>
        </w:rPr>
        <w:fldChar w:fldCharType="begin"/>
      </w:r>
      <w:r w:rsidR="00234FD5">
        <w:rPr>
          <w:rFonts w:asciiTheme="majorBidi" w:hAnsiTheme="majorBidi" w:cstheme="majorBidi"/>
          <w:sz w:val="24"/>
          <w:szCs w:val="24"/>
        </w:rPr>
        <w:instrText xml:space="preserve"> ADDIN EN.CITE &lt;EndNote&gt;&lt;Cite&gt;&lt;Author&gt;Acree&lt;/Author&gt;&lt;Year&gt;2012&lt;/Year&gt;&lt;RecNum&gt;132&lt;/RecNum&gt;&lt;DisplayText&gt;&lt;style font="Times New Roman" size="12"&gt;(Acree and Arn, 2012; Adams, 2007; Linstrom and Mallard, 2005)&lt;/style&gt;&lt;/DisplayText&gt;&lt;record&gt;&lt;rec-number&gt;132&lt;/rec-number&gt;&lt;foreign-keys&gt;&lt;key app="EN" db-id="v2p22e224e0s9seatfope5ve229z2fr99ssa" timestamp="1577250203"&gt;132&lt;/key&gt;&lt;/foreign-keys&gt;&lt;ref-type name="Generic"&gt;13&lt;/ref-type&gt;&lt;contributors&gt;&lt;authors&gt;&lt;author&gt;Acree, T&lt;/author&gt;&lt;author&gt;Arn, H&lt;/author&gt;&lt;/authors&gt;&lt;/contributors&gt;&lt;titles&gt;&lt;title&gt;Flavornet. Cornell University, NYSAES. New York&lt;/title&gt;&lt;/titles&gt;&lt;dates&gt;&lt;year&gt;2012&lt;/year&gt;&lt;/dates&gt;&lt;urls&gt;&lt;/urls&gt;&lt;/record&gt;&lt;/Cite&gt;&lt;Cite&gt;&lt;Author&gt;Linstrom&lt;/Author&gt;&lt;Year&gt;2005&lt;/Year&gt;&lt;RecNum&gt;133&lt;/RecNum&gt;&lt;record&gt;&lt;rec-number&gt;133&lt;/rec-number&gt;&lt;foreign-keys&gt;&lt;key app="EN" db-id="v2p22e224e0s9seatfope5ve229z2fr99ssa" timestamp="1577251129"&gt;133&lt;/key&gt;&lt;/foreign-keys&gt;&lt;ref-type name="Journal Article"&gt;17&lt;/ref-type&gt;&lt;contributors&gt;&lt;authors&gt;&lt;author&gt;Linstrom, PJ&lt;/author&gt;&lt;author&gt;Mallard, WG&lt;/author&gt;&lt;/authors&gt;&lt;/contributors&gt;&lt;titles&gt;&lt;title&gt;NIST Chemistry WebBook, NIST Standard Reference Database Number 69, June 2005&lt;/title&gt;&lt;secondary-title&gt;National Institute of Standards and Technology, Gaithersburg MD&lt;/secondary-title&gt;&lt;/titles&gt;&lt;periodical&gt;&lt;full-title&gt;National Institute of Standards and Technology, Gaithersburg MD&lt;/full-title&gt;&lt;/periodical&gt;&lt;volume&gt;20899&lt;/volume&gt;&lt;dates&gt;&lt;year&gt;2005&lt;/year&gt;&lt;/dates&gt;&lt;urls&gt;&lt;/urls&gt;&lt;/record&gt;&lt;/Cite&gt;&lt;Cite&gt;&lt;Author&gt;Adams&lt;/Author&gt;&lt;Year&gt;2007&lt;/Year&gt;&lt;RecNum&gt;134&lt;/RecNum&gt;&lt;record&gt;&lt;rec-number&gt;134&lt;/rec-number&gt;&lt;foreign-keys&gt;&lt;key app="EN" db-id="v2p22e224e0s9seatfope5ve229z2fr99ssa" timestamp="1577190354"&gt;134&lt;/key&gt;&lt;/foreign-keys&gt;&lt;ref-type name="Book"&gt;6&lt;/ref-type&gt;&lt;contributors&gt;&lt;authors&gt;&lt;author&gt;Adams, R P&lt;/author&gt;&lt;/authors&gt;&lt;/contributors&gt;&lt;titles&gt;&lt;title&gt;Identification of essential oil components by gas chromatography/mass spectrometry&lt;/title&gt;&lt;/titles&gt;&lt;dates&gt;&lt;year&gt;2007&lt;/year&gt;&lt;/dates&gt;&lt;publisher&gt;Allured publishing corporation Carol Stream, IL, 4th edition&lt;/publisher&gt;&lt;urls&gt;&lt;/urls&gt;&lt;/record&gt;&lt;/Cite&gt;&lt;/EndNote&gt;</w:instrText>
      </w:r>
      <w:r>
        <w:rPr>
          <w:rFonts w:asciiTheme="majorBidi" w:hAnsiTheme="majorBidi" w:cstheme="majorBidi"/>
          <w:sz w:val="24"/>
          <w:szCs w:val="24"/>
        </w:rPr>
        <w:fldChar w:fldCharType="separate"/>
      </w:r>
      <w:r w:rsidR="00234FD5" w:rsidRPr="00234FD5">
        <w:rPr>
          <w:rFonts w:ascii="Times New Roman" w:hAnsi="Times New Roman" w:cs="Times New Roman"/>
          <w:noProof/>
          <w:sz w:val="24"/>
          <w:szCs w:val="24"/>
        </w:rPr>
        <w:t>(Acree and Arn, 2012; Adams, 2007; Linstrom and Mallard, 2005)</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DB2772" w:rsidRDefault="00DB2772"/>
    <w:p w:rsidR="00DB2772" w:rsidRDefault="0054713E">
      <w:r w:rsidRPr="006C5991">
        <w:rPr>
          <w:rFonts w:asciiTheme="majorBidi" w:hAnsiTheme="majorBidi" w:cstheme="majorBidi"/>
          <w:b/>
          <w:bCs/>
          <w:sz w:val="24"/>
          <w:szCs w:val="24"/>
        </w:rPr>
        <w:t>References</w:t>
      </w:r>
    </w:p>
    <w:p w:rsidR="00234FD5" w:rsidRPr="00234FD5" w:rsidRDefault="00DB2772" w:rsidP="00B4024B">
      <w:pPr>
        <w:pStyle w:val="EndNoteBibliography"/>
        <w:spacing w:after="0"/>
        <w:jc w:val="both"/>
      </w:pPr>
      <w:r>
        <w:rPr>
          <w:rFonts w:ascii="Calibri" w:hAnsi="Calibri" w:cs="Calibri"/>
        </w:rPr>
        <w:fldChar w:fldCharType="begin"/>
      </w:r>
      <w:r>
        <w:instrText xml:space="preserve"> ADDIN EN.REFLIST </w:instrText>
      </w:r>
      <w:r>
        <w:rPr>
          <w:rFonts w:ascii="Calibri" w:hAnsi="Calibri" w:cs="Calibri"/>
        </w:rPr>
        <w:fldChar w:fldCharType="separate"/>
      </w:r>
      <w:r w:rsidR="00234FD5" w:rsidRPr="00234FD5">
        <w:t>Acree, T., Arn, H., Flavornet. Cornell University, NYSAES. New York. 2012.</w:t>
      </w:r>
    </w:p>
    <w:p w:rsidR="00234FD5" w:rsidRPr="00234FD5" w:rsidRDefault="00234FD5" w:rsidP="00B4024B">
      <w:pPr>
        <w:pStyle w:val="EndNoteBibliography"/>
        <w:spacing w:after="0"/>
        <w:jc w:val="both"/>
      </w:pPr>
      <w:r w:rsidRPr="00234FD5">
        <w:t xml:space="preserve">Adams, R.P., </w:t>
      </w:r>
      <w:r w:rsidRPr="00234FD5">
        <w:rPr>
          <w:i/>
        </w:rPr>
        <w:t>Identification of essential oil components by gas chromatography/mass spectrometry</w:t>
      </w:r>
      <w:r w:rsidRPr="00234FD5">
        <w:t>. Allured publishing corporation Carol Stream, IL, 4th edition: 2007.</w:t>
      </w:r>
    </w:p>
    <w:p w:rsidR="00234FD5" w:rsidRPr="00234FD5" w:rsidRDefault="00234FD5" w:rsidP="00B4024B">
      <w:pPr>
        <w:pStyle w:val="EndNoteBibliography"/>
        <w:jc w:val="both"/>
      </w:pPr>
      <w:r w:rsidRPr="00234FD5">
        <w:lastRenderedPageBreak/>
        <w:t>Linstrom, P., Mallard, W., 2005. NIST Chemistry WebBook, NIST Standard Reference Database Number 69, June 2005. National Institute of Standards and Technology, Gaithersburg MD</w:t>
      </w:r>
      <w:r w:rsidRPr="00234FD5">
        <w:rPr>
          <w:i/>
        </w:rPr>
        <w:t xml:space="preserve"> </w:t>
      </w:r>
      <w:r w:rsidRPr="00234FD5">
        <w:t>20899.</w:t>
      </w:r>
    </w:p>
    <w:p w:rsidR="005568F5" w:rsidRDefault="00DB2772" w:rsidP="00B4024B">
      <w:pPr>
        <w:jc w:val="both"/>
      </w:pPr>
      <w:r>
        <w:fldChar w:fldCharType="end"/>
      </w:r>
    </w:p>
    <w:sectPr w:rsidR="005568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ab J Chem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2p22e224e0s9seatfope5ve229z2fr99ssa&quot;&gt;EndNote&lt;record-ids&gt;&lt;item&gt;134&lt;/item&gt;&lt;/record-ids&gt;&lt;/item&gt;&lt;/Libraries&gt;"/>
  </w:docVars>
  <w:rsids>
    <w:rsidRoot w:val="00BC4A29"/>
    <w:rsid w:val="00041DF9"/>
    <w:rsid w:val="000E43D9"/>
    <w:rsid w:val="00234FD5"/>
    <w:rsid w:val="0046375F"/>
    <w:rsid w:val="004B0EC1"/>
    <w:rsid w:val="0054713E"/>
    <w:rsid w:val="005568F5"/>
    <w:rsid w:val="006151DC"/>
    <w:rsid w:val="006E2011"/>
    <w:rsid w:val="007F5772"/>
    <w:rsid w:val="00865A41"/>
    <w:rsid w:val="008E5526"/>
    <w:rsid w:val="00933117"/>
    <w:rsid w:val="00954F3D"/>
    <w:rsid w:val="00A5712D"/>
    <w:rsid w:val="00AA411B"/>
    <w:rsid w:val="00B4024B"/>
    <w:rsid w:val="00BC4A29"/>
    <w:rsid w:val="00CA1B21"/>
    <w:rsid w:val="00D14B28"/>
    <w:rsid w:val="00DB2772"/>
    <w:rsid w:val="00DE3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448B9-A45A-4F62-BEE0-4320FF00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29"/>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A29"/>
    <w:rPr>
      <w:color w:val="0563C1" w:themeColor="hyperlink"/>
      <w:u w:val="single"/>
    </w:rPr>
  </w:style>
  <w:style w:type="paragraph" w:customStyle="1" w:styleId="EndNoteBibliographyTitle">
    <w:name w:val="EndNote Bibliography Title"/>
    <w:basedOn w:val="Normal"/>
    <w:link w:val="EndNoteBibliographyTitleChar"/>
    <w:rsid w:val="00DB2772"/>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DB2772"/>
    <w:rPr>
      <w:rFonts w:ascii="Times New Roman" w:hAnsi="Times New Roman" w:cs="Times New Roman"/>
      <w:noProof/>
      <w:sz w:val="24"/>
    </w:rPr>
  </w:style>
  <w:style w:type="paragraph" w:customStyle="1" w:styleId="EndNoteBibliography">
    <w:name w:val="EndNote Bibliography"/>
    <w:basedOn w:val="Normal"/>
    <w:link w:val="EndNoteBibliographyChar"/>
    <w:rsid w:val="00DB2772"/>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DB2772"/>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hyperlink" Target="mailto:mkhan3@ks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Merajuddin Khan</dc:creator>
  <cp:keywords/>
  <dc:description/>
  <cp:lastModifiedBy>Dr. Meraj</cp:lastModifiedBy>
  <cp:revision>2</cp:revision>
  <dcterms:created xsi:type="dcterms:W3CDTF">2020-03-24T20:07:00Z</dcterms:created>
  <dcterms:modified xsi:type="dcterms:W3CDTF">2020-03-24T20:07:00Z</dcterms:modified>
</cp:coreProperties>
</file>