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A4" w:rsidRPr="004679F2" w:rsidRDefault="00140CA4" w:rsidP="00140CA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79F2">
        <w:rPr>
          <w:rFonts w:ascii="Times New Roman" w:hAnsi="Times New Roman" w:cs="Times New Roman"/>
          <w:b/>
          <w:bCs/>
          <w:sz w:val="24"/>
          <w:szCs w:val="24"/>
          <w:lang w:val="en-GB"/>
        </w:rPr>
        <w:t>Chemical characterization, antioxidant properties and enzyme inhibition of Rutabaga root’s pulp and peel (</w:t>
      </w:r>
      <w:r w:rsidRPr="004679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Brassica </w:t>
      </w:r>
      <w:proofErr w:type="spellStart"/>
      <w:r w:rsidRPr="004679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napus</w:t>
      </w:r>
      <w:proofErr w:type="spellEnd"/>
      <w:r w:rsidRPr="004679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4679F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L</w:t>
      </w:r>
      <w:r w:rsidRPr="004679F2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</w:t>
      </w:r>
      <w:r w:rsidRPr="004679F2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140CA4" w:rsidRDefault="00140CA4" w:rsidP="00140CA4">
      <w:pPr>
        <w:spacing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74DBB">
        <w:rPr>
          <w:rFonts w:ascii="Times New Roman" w:hAnsi="Times New Roman"/>
          <w:sz w:val="24"/>
          <w:szCs w:val="24"/>
        </w:rPr>
        <w:t>Azzurra Stefanucci,</w:t>
      </w:r>
      <w:r w:rsidRPr="00A74DBB">
        <w:rPr>
          <w:rFonts w:ascii="Times New Roman" w:hAnsi="Times New Roman"/>
          <w:sz w:val="24"/>
          <w:szCs w:val="24"/>
          <w:vertAlign w:val="superscript"/>
        </w:rPr>
        <w:t>1</w:t>
      </w:r>
      <w:r w:rsidRPr="00A74DBB">
        <w:rPr>
          <w:rFonts w:ascii="Times New Roman" w:hAnsi="Times New Roman"/>
          <w:sz w:val="24"/>
          <w:szCs w:val="24"/>
        </w:rPr>
        <w:t xml:space="preserve"> Gokhan Zengin,</w:t>
      </w:r>
      <w:r w:rsidRPr="00A74DBB">
        <w:rPr>
          <w:rFonts w:ascii="Times New Roman" w:hAnsi="Times New Roman"/>
          <w:sz w:val="24"/>
          <w:szCs w:val="24"/>
          <w:vertAlign w:val="superscript"/>
        </w:rPr>
        <w:t>2</w:t>
      </w:r>
      <w:r w:rsidRPr="00A74DBB">
        <w:rPr>
          <w:rFonts w:ascii="Times New Roman" w:hAnsi="Times New Roman"/>
          <w:sz w:val="24"/>
          <w:szCs w:val="24"/>
        </w:rPr>
        <w:t xml:space="preserve"> Eulogio J. Llorent-Martinez,</w:t>
      </w:r>
      <w:r w:rsidRPr="00A74DBB">
        <w:rPr>
          <w:rFonts w:ascii="Times New Roman" w:hAnsi="Times New Roman"/>
          <w:sz w:val="24"/>
          <w:szCs w:val="24"/>
          <w:vertAlign w:val="superscript"/>
        </w:rPr>
        <w:t>3</w:t>
      </w:r>
      <w:r w:rsidRPr="00A74DBB">
        <w:rPr>
          <w:rFonts w:ascii="Times New Roman" w:hAnsi="Times New Roman"/>
          <w:sz w:val="24"/>
          <w:szCs w:val="24"/>
        </w:rPr>
        <w:t xml:space="preserve"> Marilisa Pia Dimmito,</w:t>
      </w:r>
      <w:r w:rsidRPr="00A74DBB">
        <w:rPr>
          <w:rFonts w:ascii="Times New Roman" w:hAnsi="Times New Roman"/>
          <w:sz w:val="24"/>
          <w:szCs w:val="24"/>
          <w:vertAlign w:val="superscript"/>
        </w:rPr>
        <w:t>1</w:t>
      </w:r>
      <w:r w:rsidRPr="00A74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Alice Della Valle,</w:t>
      </w:r>
      <w:r w:rsidRPr="008C3BE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DBB">
        <w:rPr>
          <w:rFonts w:ascii="Times New Roman" w:hAnsi="Times New Roman"/>
          <w:sz w:val="24"/>
          <w:szCs w:val="24"/>
        </w:rPr>
        <w:t>Stefano Pieretti,</w:t>
      </w:r>
      <w:r w:rsidRPr="00A74DBB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>Gunes Ak,</w:t>
      </w:r>
      <w:r w:rsidR="00EE097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E55">
        <w:rPr>
          <w:rFonts w:ascii="Times New Roman" w:hAnsi="Times New Roman"/>
          <w:sz w:val="24"/>
          <w:szCs w:val="24"/>
        </w:rPr>
        <w:t>Kouadio Ibrahime Sinan</w:t>
      </w:r>
      <w:r>
        <w:rPr>
          <w:rFonts w:ascii="Times New Roman" w:hAnsi="Times New Roman"/>
          <w:sz w:val="24"/>
          <w:szCs w:val="24"/>
        </w:rPr>
        <w:t>,</w:t>
      </w:r>
      <w:r w:rsidR="00EE0977">
        <w:rPr>
          <w:rFonts w:ascii="Times New Roman" w:hAnsi="Times New Roman"/>
          <w:sz w:val="24"/>
          <w:szCs w:val="24"/>
          <w:vertAlign w:val="superscript"/>
        </w:rPr>
        <w:t>2</w:t>
      </w:r>
      <w:r w:rsidRPr="00ED2E55">
        <w:rPr>
          <w:rFonts w:ascii="Times New Roman" w:hAnsi="Times New Roman"/>
          <w:sz w:val="24"/>
          <w:szCs w:val="24"/>
        </w:rPr>
        <w:t xml:space="preserve"> </w:t>
      </w:r>
      <w:r w:rsidRPr="00A74DBB">
        <w:rPr>
          <w:rFonts w:ascii="Times New Roman" w:hAnsi="Times New Roman"/>
          <w:sz w:val="24"/>
          <w:szCs w:val="24"/>
        </w:rPr>
        <w:t>Adriano Mollica</w:t>
      </w:r>
      <w:r w:rsidRPr="00A74DBB">
        <w:rPr>
          <w:rFonts w:ascii="Times New Roman" w:hAnsi="Times New Roman"/>
          <w:sz w:val="24"/>
          <w:szCs w:val="24"/>
          <w:vertAlign w:val="superscript"/>
        </w:rPr>
        <w:t>1,*</w:t>
      </w:r>
    </w:p>
    <w:p w:rsidR="00140CA4" w:rsidRPr="00A74DBB" w:rsidRDefault="00140CA4" w:rsidP="00140C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A74DBB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epartment of Pharmacy</w:t>
      </w:r>
      <w:r w:rsidRPr="00A74DBB">
        <w:rPr>
          <w:rFonts w:ascii="Times New Roman" w:hAnsi="Times New Roman"/>
          <w:sz w:val="24"/>
          <w:szCs w:val="24"/>
        </w:rPr>
        <w:t>, Universit</w:t>
      </w:r>
      <w:r>
        <w:rPr>
          <w:rFonts w:ascii="Times New Roman" w:hAnsi="Times New Roman"/>
          <w:sz w:val="24"/>
          <w:szCs w:val="24"/>
        </w:rPr>
        <w:t>y</w:t>
      </w:r>
      <w:r w:rsidRPr="00A74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74DBB">
        <w:rPr>
          <w:rFonts w:ascii="Times New Roman" w:hAnsi="Times New Roman"/>
          <w:sz w:val="24"/>
          <w:szCs w:val="24"/>
        </w:rPr>
        <w:t xml:space="preserve"> Chieti-Pescara “G. d’Annunzio”, Via dei Vestini 31, 66100 Chieti, Italy.</w:t>
      </w:r>
    </w:p>
    <w:p w:rsidR="00140CA4" w:rsidRPr="005C6752" w:rsidRDefault="00140CA4" w:rsidP="00140CA4">
      <w:pPr>
        <w:spacing w:line="480" w:lineRule="auto"/>
        <w:jc w:val="both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5C6752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5C6752">
        <w:rPr>
          <w:rFonts w:ascii="Times New Roman" w:hAnsi="Times New Roman"/>
          <w:sz w:val="24"/>
          <w:szCs w:val="24"/>
          <w:lang w:val="en-US"/>
        </w:rPr>
        <w:t xml:space="preserve">Department of Biology, Science Faculty, </w:t>
      </w:r>
      <w:proofErr w:type="spellStart"/>
      <w:r w:rsidRPr="005C6752">
        <w:rPr>
          <w:rFonts w:ascii="Times New Roman" w:hAnsi="Times New Roman"/>
          <w:sz w:val="24"/>
          <w:szCs w:val="24"/>
          <w:lang w:val="en-US"/>
        </w:rPr>
        <w:t>Selcuk</w:t>
      </w:r>
      <w:proofErr w:type="spellEnd"/>
      <w:r w:rsidRPr="005C6752">
        <w:rPr>
          <w:rFonts w:ascii="Times New Roman" w:hAnsi="Times New Roman"/>
          <w:sz w:val="24"/>
          <w:szCs w:val="24"/>
          <w:lang w:val="en-US"/>
        </w:rPr>
        <w:t xml:space="preserve"> University, Konya, Turkey.</w:t>
      </w: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6E0043">
        <w:rPr>
          <w:rFonts w:ascii="Times New Roman" w:hAnsi="Times New Roman"/>
          <w:iCs/>
          <w:sz w:val="24"/>
          <w:szCs w:val="24"/>
          <w:vertAlign w:val="superscript"/>
          <w:lang w:val="en-GB"/>
        </w:rPr>
        <w:t>3</w:t>
      </w:r>
      <w:r w:rsidRPr="006E0043">
        <w:rPr>
          <w:rFonts w:ascii="Times New Roman" w:hAnsi="Times New Roman"/>
          <w:iCs/>
          <w:sz w:val="24"/>
          <w:szCs w:val="24"/>
          <w:lang w:val="en-GB"/>
        </w:rPr>
        <w:t xml:space="preserve">University of </w:t>
      </w:r>
      <w:proofErr w:type="spellStart"/>
      <w:r w:rsidRPr="006E0043">
        <w:rPr>
          <w:rFonts w:ascii="Times New Roman" w:hAnsi="Times New Roman"/>
          <w:iCs/>
          <w:sz w:val="24"/>
          <w:szCs w:val="24"/>
          <w:lang w:val="en-GB"/>
        </w:rPr>
        <w:t>Jaén</w:t>
      </w:r>
      <w:proofErr w:type="spellEnd"/>
      <w:r w:rsidRPr="006E0043">
        <w:rPr>
          <w:rFonts w:ascii="Times New Roman" w:hAnsi="Times New Roman"/>
          <w:iCs/>
          <w:sz w:val="24"/>
          <w:szCs w:val="24"/>
          <w:lang w:val="en-GB"/>
        </w:rPr>
        <w:t>,</w:t>
      </w:r>
      <w:r w:rsidRPr="006E0043">
        <w:rPr>
          <w:rFonts w:ascii="Times New Roman" w:hAnsi="Times New Roman"/>
          <w:iCs/>
          <w:sz w:val="24"/>
          <w:szCs w:val="24"/>
          <w:vertAlign w:val="superscript"/>
          <w:lang w:val="en-GB"/>
        </w:rPr>
        <w:t xml:space="preserve"> </w:t>
      </w:r>
      <w:r w:rsidRPr="006E0043">
        <w:rPr>
          <w:rFonts w:ascii="Times New Roman" w:hAnsi="Times New Roman"/>
          <w:iCs/>
          <w:sz w:val="24"/>
          <w:szCs w:val="24"/>
          <w:lang w:val="en-GB"/>
        </w:rPr>
        <w:t xml:space="preserve">Faculty of Experimental Sciences, Department of Physical and Analytical Chemistry, </w:t>
      </w:r>
      <w:proofErr w:type="spellStart"/>
      <w:r w:rsidRPr="006E0043">
        <w:rPr>
          <w:rFonts w:ascii="Times New Roman" w:hAnsi="Times New Roman"/>
          <w:iCs/>
          <w:sz w:val="24"/>
          <w:szCs w:val="24"/>
          <w:lang w:val="en-GB"/>
        </w:rPr>
        <w:t>Jaén</w:t>
      </w:r>
      <w:proofErr w:type="spellEnd"/>
      <w:r w:rsidRPr="006E0043">
        <w:rPr>
          <w:rFonts w:ascii="Times New Roman" w:hAnsi="Times New Roman"/>
          <w:iCs/>
          <w:sz w:val="24"/>
          <w:szCs w:val="24"/>
          <w:lang w:val="en-GB"/>
        </w:rPr>
        <w:t>, Spain</w:t>
      </w:r>
      <w:r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140CA4" w:rsidRPr="005C6752" w:rsidRDefault="00140CA4" w:rsidP="00140CA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E0043">
        <w:rPr>
          <w:rFonts w:ascii="Times New Roman" w:hAnsi="Times New Roman"/>
          <w:iCs/>
          <w:sz w:val="24"/>
          <w:szCs w:val="24"/>
          <w:vertAlign w:val="superscript"/>
          <w:lang w:val="en-GB"/>
        </w:rPr>
        <w:t>4</w:t>
      </w:r>
      <w:r w:rsidRPr="005C6752">
        <w:rPr>
          <w:rFonts w:ascii="Times New Roman" w:hAnsi="Times New Roman"/>
          <w:sz w:val="24"/>
          <w:szCs w:val="24"/>
          <w:lang w:val="en-GB"/>
        </w:rPr>
        <w:t xml:space="preserve">National </w:t>
      </w:r>
      <w:proofErr w:type="spellStart"/>
      <w:r w:rsidRPr="005C6752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5C6752">
        <w:rPr>
          <w:rFonts w:ascii="Times New Roman" w:hAnsi="Times New Roman"/>
          <w:sz w:val="24"/>
          <w:szCs w:val="24"/>
          <w:lang w:val="en-GB"/>
        </w:rPr>
        <w:t xml:space="preserve"> for Drug Research and Evaluation, </w:t>
      </w:r>
      <w:proofErr w:type="spellStart"/>
      <w:r w:rsidRPr="005C6752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5C675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6752">
        <w:rPr>
          <w:rFonts w:ascii="Times New Roman" w:hAnsi="Times New Roman"/>
          <w:sz w:val="24"/>
          <w:szCs w:val="24"/>
          <w:lang w:val="en-GB"/>
        </w:rPr>
        <w:t>Superiore</w:t>
      </w:r>
      <w:proofErr w:type="spellEnd"/>
      <w:r w:rsidRPr="005C6752">
        <w:rPr>
          <w:rFonts w:ascii="Times New Roman" w:hAnsi="Times New Roman"/>
          <w:sz w:val="24"/>
          <w:szCs w:val="24"/>
          <w:lang w:val="en-GB"/>
        </w:rPr>
        <w:t xml:space="preserve"> di </w:t>
      </w:r>
      <w:proofErr w:type="spellStart"/>
      <w:r w:rsidRPr="005C6752">
        <w:rPr>
          <w:rFonts w:ascii="Times New Roman" w:hAnsi="Times New Roman"/>
          <w:sz w:val="24"/>
          <w:szCs w:val="24"/>
          <w:lang w:val="en-GB"/>
        </w:rPr>
        <w:t>Sanità</w:t>
      </w:r>
      <w:proofErr w:type="spellEnd"/>
      <w:r w:rsidRPr="005C675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C6752">
        <w:rPr>
          <w:rFonts w:ascii="Times New Roman" w:hAnsi="Times New Roman"/>
          <w:sz w:val="24"/>
          <w:szCs w:val="24"/>
          <w:lang w:val="en-GB"/>
        </w:rPr>
        <w:t>Viale</w:t>
      </w:r>
      <w:proofErr w:type="spellEnd"/>
      <w:r w:rsidRPr="005C6752">
        <w:rPr>
          <w:rFonts w:ascii="Times New Roman" w:hAnsi="Times New Roman"/>
          <w:sz w:val="24"/>
          <w:szCs w:val="24"/>
          <w:lang w:val="en-GB"/>
        </w:rPr>
        <w:t xml:space="preserve"> Regina Elena 299, 00161, Rome, Italy. </w:t>
      </w: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Corresponding author: </w:t>
      </w:r>
      <w:hyperlink r:id="rId5" w:history="1">
        <w:r w:rsidRPr="00DA61D4">
          <w:rPr>
            <w:rStyle w:val="Hyperlink"/>
            <w:rFonts w:ascii="Times New Roman" w:hAnsi="Times New Roman"/>
            <w:iCs/>
            <w:sz w:val="24"/>
            <w:szCs w:val="24"/>
            <w:lang w:val="en-GB"/>
          </w:rPr>
          <w:t>a.mollica@unich.it</w:t>
        </w:r>
      </w:hyperlink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140CA4" w:rsidRDefault="00140CA4" w:rsidP="00140CA4">
      <w:pPr>
        <w:spacing w:line="48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</w:p>
    <w:p w:rsidR="004700E9" w:rsidRDefault="004700E9" w:rsidP="004700E9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700E9" w:rsidRPr="001D4C6B" w:rsidRDefault="004700E9" w:rsidP="004700E9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Assays for T</w:t>
      </w:r>
      <w:r w:rsidRPr="001D4C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o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tal Phenolic and Flavonoid C</w:t>
      </w:r>
      <w:r w:rsidRPr="001D4C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ontents</w:t>
      </w:r>
    </w:p>
    <w:p w:rsidR="004700E9" w:rsidRPr="00541001" w:rsidRDefault="004700E9" w:rsidP="004700E9">
      <w:pPr>
        <w:spacing w:line="48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sz w:val="24"/>
          <w:szCs w:val="24"/>
          <w:lang w:val="en-US"/>
        </w:rPr>
        <w:tab/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The total phenolic content was determined by employing the methods given in the literature with some modiﬁcation. Sample solution (0.25 mL) was mixed with diluted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Folin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–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Ciocalteu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reagent (1 mL, 1:9, v/v) and shaken vigorously. After 3 min, Na</w:t>
      </w:r>
      <w:r w:rsidRPr="00DE497E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2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CO</w:t>
      </w:r>
      <w:r w:rsidRPr="00DE497E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3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solution (0.75 mL, 1%) was added and the sample absorbance was read at 760 nm after a 2 h incubation at room temperature. The total phenolic content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gallic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acid equivalents (mg GAE/g extract)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begin"/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instrText xml:space="preserve"> ADDIN EN.CITE &lt;EndNote&gt;&lt;Cite&gt;&lt;Author&gt;Uysal&lt;/Author&gt;&lt;Year&gt;2017&lt;/Year&gt;&lt;RecNum&gt;65&lt;/RecNum&gt;&lt;DisplayText&gt;(Uysal et al., 2017)&lt;/DisplayText&gt;&lt;record&gt;&lt;rec-number&gt;65&lt;/rec-number&gt;&lt;foreign-keys&gt;&lt;key app="EN" db-id="az2x9twr6tr9w6e0e5epptewvtr9rdp5rrrr" timestamp="1586892175"&gt;65&lt;/key&gt;&lt;/foreign-keys&gt;&lt;ref-type name="Journal Article"&gt;17&lt;/ref-type&gt;&lt;contributors&gt;&lt;authors&gt;&lt;author&gt;Uysal, Sengul&lt;/author&gt;&lt;author&gt;Zengin, Gokhan&lt;/author&gt;&lt;author&gt;Locatelli, Marcello&lt;/author&gt;&lt;author&gt;Bahadori, Mir B&lt;/author&gt;&lt;author&gt;Mocan, Andrei&lt;/author&gt;&lt;author&gt;Bellagamba, Giuseppe&lt;/author&gt;&lt;author&gt;De Luca, Elisa&lt;/author&gt;&lt;author&gt;Mollica, Adriano&lt;/author&gt;&lt;author&gt;Aktumsek, Abdurrahman&lt;/author&gt;&lt;/authors&gt;&lt;/contributors&gt;&lt;titles&gt;&lt;title&gt;Cytotoxic and enzyme inhibitory potential of two Potentilla species (P. speciosa L. and P. reptans Willd.) and their chemical composition&lt;/title&gt;&lt;secondary-title&gt;Frontiers in pharmacology&lt;/secondary-title&gt;&lt;/titles&gt;&lt;periodical&gt;&lt;full-title&gt;Frontiers in pharmacology&lt;/full-title&gt;&lt;/periodical&gt;&lt;pages&gt;290&lt;/pages&gt;&lt;volume&gt;8&lt;/volume&gt;&lt;dates&gt;&lt;year&gt;2017&lt;/year&gt;&lt;/dates&gt;&lt;isbn&gt;1663-9812&lt;/isbn&gt;&lt;urls&gt;&lt;/urls&gt;&lt;/record&gt;&lt;/Cite&gt;&lt;/EndNote&gt;</w:instrTex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separate"/>
      </w:r>
      <w:r w:rsidR="00297021">
        <w:rPr>
          <w:rFonts w:ascii="Cambria" w:eastAsia="Calibri" w:hAnsi="Cambria" w:cs="Times New Roman"/>
          <w:noProof/>
          <w:sz w:val="24"/>
          <w:szCs w:val="24"/>
          <w:lang w:val="en-US"/>
        </w:rPr>
        <w:t>(Uysal et al., 2017)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end"/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4700E9" w:rsidRDefault="004700E9" w:rsidP="004700E9">
      <w:pPr>
        <w:spacing w:line="48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sz w:val="24"/>
          <w:szCs w:val="24"/>
          <w:lang w:val="en-US"/>
        </w:rPr>
        <w:tab/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The total ﬂavonoid content was determined using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the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AlCl</w:t>
      </w:r>
      <w:r w:rsidRPr="00DE497E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3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method. Brieﬂy, sample solution </w:t>
      </w:r>
      <w:r>
        <w:rPr>
          <w:rFonts w:ascii="Cambria" w:eastAsia="Calibri" w:hAnsi="Cambria" w:cs="Times New Roman"/>
          <w:sz w:val="24"/>
          <w:szCs w:val="24"/>
          <w:lang w:val="en-US"/>
        </w:rPr>
        <w:t>(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1 mL) was mixed with the same volume of aluminum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trichloride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(2%) in methanol. Similarly, a blank was prepared by adding sample solution (1 mL) to methanol (1 mL) without AlCl</w:t>
      </w:r>
      <w:r w:rsidRPr="00DE497E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3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.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415 nm after a 10 min incubation at room temperature. The absorbance of the blank was subtracted from that of the sample.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Rutin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was used as a reference standard and the total ﬂavonoid content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rutin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(mg RE/g extract)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begin"/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instrText xml:space="preserve"> ADDIN EN.CITE &lt;EndNote&gt;&lt;Cite&gt;&lt;Author&gt;Uysal&lt;/Author&gt;&lt;Year&gt;2017&lt;/Year&gt;&lt;RecNum&gt;65&lt;/RecNum&gt;&lt;DisplayText&gt;(Uysal et al., 2017)&lt;/DisplayText&gt;&lt;record&gt;&lt;rec-number&gt;65&lt;/rec-number&gt;&lt;foreign-keys&gt;&lt;key app="EN" db-id="az2x9twr6tr9w6e0e5epptewvtr9rdp5rrrr" timestamp="1586892175"&gt;65&lt;/key&gt;&lt;/foreign-keys&gt;&lt;ref-type name="Journal Article"&gt;17&lt;/ref-type&gt;&lt;contributors&gt;&lt;authors&gt;&lt;author&gt;Uysal, Sengul&lt;/author&gt;&lt;author&gt;Zengin, Gokhan&lt;/author&gt;&lt;author&gt;Locatelli, Marcello&lt;/author&gt;&lt;author&gt;Bahadori, Mir B&lt;/author&gt;&lt;author&gt;Mocan, Andrei&lt;/author&gt;&lt;author&gt;Bellagamba, Giuseppe&lt;/author&gt;&lt;author&gt;De Luca, Elisa&lt;/author&gt;&lt;author&gt;Mollica, Adriano&lt;/author&gt;&lt;author&gt;Aktumsek, Abdurrahman&lt;/author&gt;&lt;/authors&gt;&lt;/contributors&gt;&lt;titles&gt;&lt;title&gt;Cytotoxic and enzyme inhibitory potential of two Potentilla species (P. speciosa L. and P. reptans Willd.) and their chemical composition&lt;/title&gt;&lt;secondary-title&gt;Frontiers in pharmacology&lt;/secondary-title&gt;&lt;/titles&gt;&lt;periodical&gt;&lt;full-title&gt;Frontiers in pharmacology&lt;/full-title&gt;&lt;/periodical&gt;&lt;pages&gt;290&lt;/pages&gt;&lt;volume&gt;8&lt;/volume&gt;&lt;dates&gt;&lt;year&gt;2017&lt;/year&gt;&lt;/dates&gt;&lt;isbn&gt;1663-9812&lt;/isbn&gt;&lt;urls&gt;&lt;/urls&gt;&lt;/record&gt;&lt;/Cite&gt;&lt;/EndNote&gt;</w:instrTex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separate"/>
      </w:r>
      <w:r w:rsidR="00297021">
        <w:rPr>
          <w:rFonts w:ascii="Cambria" w:eastAsia="Calibri" w:hAnsi="Cambria" w:cs="Times New Roman"/>
          <w:noProof/>
          <w:sz w:val="24"/>
          <w:szCs w:val="24"/>
          <w:lang w:val="en-US"/>
        </w:rPr>
        <w:t>(Uysal et al., 2017)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end"/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4700E9" w:rsidRPr="001D4C6B" w:rsidRDefault="002804D9" w:rsidP="004700E9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="004700E9" w:rsidRPr="001D4C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etermi</w:t>
      </w:r>
      <w:r w:rsidR="004700E9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nation of Antioxidant and Enzyme Inhibitory E</w:t>
      </w:r>
      <w:r w:rsidR="004700E9" w:rsidRPr="001D4C6B">
        <w:rPr>
          <w:rFonts w:ascii="Times New Roman" w:eastAsia="Calibri" w:hAnsi="Times New Roman" w:cs="Times New Roman"/>
          <w:i/>
          <w:sz w:val="24"/>
          <w:szCs w:val="24"/>
          <w:lang w:val="en-US"/>
        </w:rPr>
        <w:t>ffects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libri" w:eastAsia="Calibri" w:hAnsi="Calibri" w:cs="Times New Roman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>Antioxidant (DPPH and ABTS radical scavenging, reducing power (CUPRAC and FRAP), phosphomolybdenum and metal chelating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ferrozine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method)) and  enzyme inhibitory activities (cholinesterase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Elmann’s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method),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tyrosinase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dopachrome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method), α-amylase (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iodine/potassium iodide method), 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α-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gluco</w:t>
      </w:r>
      <w:r>
        <w:rPr>
          <w:rFonts w:ascii="Cambria" w:eastAsia="Calibri" w:hAnsi="Cambria" w:cs="Times New Roman"/>
          <w:sz w:val="24"/>
          <w:szCs w:val="24"/>
          <w:lang w:val="en-US"/>
        </w:rPr>
        <w:t>sidase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(chromogenic PNPG method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)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and pancreatic lipase (</w:t>
      </w:r>
      <w:r>
        <w:rPr>
          <w:rFonts w:ascii="Cambria" w:eastAsia="Calibri" w:hAnsi="Cambria" w:cs="Times New Roman"/>
          <w:i/>
          <w:sz w:val="24"/>
          <w:szCs w:val="24"/>
          <w:lang w:val="en-US"/>
        </w:rPr>
        <w:t>p</w:t>
      </w:r>
      <w:r w:rsidRPr="00784B46">
        <w:rPr>
          <w:rFonts w:ascii="Cambria" w:eastAsia="Calibri" w:hAnsi="Cambria" w:cs="Times New Roman"/>
          <w:sz w:val="24"/>
          <w:szCs w:val="24"/>
          <w:lang w:val="en-GB"/>
        </w:rPr>
        <w:t>-</w:t>
      </w:r>
      <w:proofErr w:type="spellStart"/>
      <w:r w:rsidRPr="00784B46">
        <w:rPr>
          <w:rFonts w:ascii="Cambria" w:eastAsia="Calibri" w:hAnsi="Cambria" w:cs="Times New Roman"/>
          <w:sz w:val="24"/>
          <w:szCs w:val="24"/>
          <w:lang w:val="en-GB"/>
        </w:rPr>
        <w:t>nitrophenyl</w:t>
      </w:r>
      <w:proofErr w:type="spellEnd"/>
      <w:r w:rsidRPr="00784B46">
        <w:rPr>
          <w:rFonts w:ascii="Cambria" w:eastAsia="Calibri" w:hAnsi="Cambria" w:cs="Times New Roman"/>
          <w:sz w:val="24"/>
          <w:szCs w:val="24"/>
          <w:lang w:val="en-GB"/>
        </w:rPr>
        <w:t xml:space="preserve"> butyrate (p-NPB)</w:t>
      </w:r>
      <w:r>
        <w:rPr>
          <w:rFonts w:ascii="Cambria" w:eastAsia="Calibri" w:hAnsi="Cambria" w:cs="Times New Roman"/>
          <w:sz w:val="24"/>
          <w:szCs w:val="24"/>
          <w:lang w:val="en-GB"/>
        </w:rPr>
        <w:t xml:space="preserve"> method)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were determined using the methods previously d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escribed by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Uysal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et al. 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begin"/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instrText xml:space="preserve"> ADDIN EN.CITE &lt;EndNote&gt;&lt;Cite&gt;&lt;Author&gt;Uysal&lt;/Author&gt;&lt;Year&gt;2017&lt;/Year&gt;&lt;RecNum&gt;65&lt;/RecNum&gt;&lt;DisplayText&gt;(Uysal et al., 2017)&lt;/DisplayText&gt;&lt;record&gt;&lt;rec-number&gt;65&lt;/rec-number&gt;&lt;foreign-keys&gt;&lt;key app="EN" db-id="az2x9twr6tr9w6e0e5epptewvtr9rdp5rrrr" timestamp="1586892175"&gt;65&lt;/key&gt;&lt;/foreign-keys&gt;&lt;ref-type name="Journal Article"&gt;17&lt;/ref-type&gt;&lt;contributors&gt;&lt;authors&gt;&lt;author&gt;Uysal, Sengul&lt;/author&gt;&lt;author&gt;Zengin, Gokhan&lt;/author&gt;&lt;author&gt;Locatelli, Marcello&lt;/author&gt;&lt;author&gt;Bahadori, Mir B&lt;/author&gt;&lt;author&gt;Mocan, Andrei&lt;/author&gt;&lt;author&gt;Bellagamba, Giuseppe&lt;/author&gt;&lt;author&gt;De Luca, Elisa&lt;/author&gt;&lt;author&gt;Mollica, Adriano&lt;/author&gt;&lt;author&gt;Aktumsek, Abdurrahman&lt;/author&gt;&lt;/authors&gt;&lt;/contributors&gt;&lt;titles&gt;&lt;title&gt;Cytotoxic and enzyme inhibitory potential of two Potentilla species (P. speciosa L. and P. reptans Willd.) and their chemical composition&lt;/title&gt;&lt;secondary-title&gt;Frontiers in pharmacology&lt;/secondary-title&gt;&lt;/titles&gt;&lt;periodical&gt;&lt;full-title&gt;Frontiers in pharmacology&lt;/full-title&gt;&lt;/periodical&gt;&lt;pages&gt;290&lt;/pages&gt;&lt;volume&gt;8&lt;/volume&gt;&lt;dates&gt;&lt;year&gt;2017&lt;/year&gt;&lt;/dates&gt;&lt;isbn&gt;1663-9812&lt;/isbn&gt;&lt;urls&gt;&lt;/urls&gt;&lt;/record&gt;&lt;/Cite&gt;&lt;/EndNote&gt;</w:instrTex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separate"/>
      </w:r>
      <w:r w:rsidR="00297021">
        <w:rPr>
          <w:rFonts w:ascii="Cambria" w:eastAsia="Calibri" w:hAnsi="Cambria" w:cs="Times New Roman"/>
          <w:noProof/>
          <w:sz w:val="24"/>
          <w:szCs w:val="24"/>
          <w:lang w:val="en-US"/>
        </w:rPr>
        <w:t>(Uysal et al., 2017)</w:t>
      </w:r>
      <w:r w:rsidR="00CE6324">
        <w:rPr>
          <w:rFonts w:ascii="Cambria" w:eastAsia="Calibri" w:hAnsi="Cambria" w:cs="Times New Roman"/>
          <w:sz w:val="24"/>
          <w:szCs w:val="24"/>
          <w:lang w:val="en-US"/>
        </w:rPr>
        <w:fldChar w:fldCharType="end"/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and </w:t>
      </w:r>
      <w:proofErr w:type="spellStart"/>
      <w:r w:rsidRPr="000C4F3D">
        <w:rPr>
          <w:rFonts w:ascii="Cambria" w:eastAsia="Calibri" w:hAnsi="Cambria" w:cs="Times New Roman"/>
          <w:sz w:val="24"/>
          <w:szCs w:val="24"/>
          <w:lang w:val="en-GB"/>
        </w:rPr>
        <w:t>Grochowski</w:t>
      </w:r>
      <w:proofErr w:type="spellEnd"/>
      <w:r>
        <w:rPr>
          <w:rFonts w:ascii="Cambria" w:eastAsia="Calibri" w:hAnsi="Cambria" w:cs="Times New Roman"/>
          <w:sz w:val="24"/>
          <w:szCs w:val="24"/>
          <w:lang w:val="en-GB"/>
        </w:rPr>
        <w:t xml:space="preserve"> et al.</w:t>
      </w:r>
      <w:r w:rsidRPr="00784B46">
        <w:rPr>
          <w:rFonts w:ascii="Cambria" w:eastAsia="Calibri" w:hAnsi="Cambria" w:cs="Times New Roman"/>
          <w:sz w:val="24"/>
          <w:szCs w:val="24"/>
          <w:lang w:val="en-GB"/>
        </w:rPr>
        <w:t xml:space="preserve"> </w:t>
      </w:r>
      <w:r w:rsidR="00CE6324">
        <w:rPr>
          <w:rFonts w:ascii="Cambria" w:eastAsia="Calibri" w:hAnsi="Cambria" w:cs="Times New Roman"/>
          <w:sz w:val="24"/>
          <w:szCs w:val="24"/>
          <w:lang w:val="en-GB"/>
        </w:rPr>
        <w:fldChar w:fldCharType="begin"/>
      </w:r>
      <w:r w:rsidR="00297021">
        <w:rPr>
          <w:rFonts w:ascii="Cambria" w:eastAsia="Calibri" w:hAnsi="Cambria" w:cs="Times New Roman"/>
          <w:sz w:val="24"/>
          <w:szCs w:val="24"/>
          <w:lang w:val="en-GB"/>
        </w:rPr>
        <w:instrText xml:space="preserve"> ADDIN EN.CITE &lt;EndNote&gt;&lt;Cite&gt;&lt;Author&gt;Grochowski&lt;/Author&gt;&lt;Year&gt;2017&lt;/Year&gt;&lt;RecNum&gt;66&lt;/RecNum&gt;&lt;DisplayText&gt;(Grochowski et al., 2017)&lt;/DisplayText&gt;&lt;record&gt;&lt;rec-number&gt;66&lt;/rec-number&gt;&lt;foreign-keys&gt;&lt;key app="EN" db-id="az2x9twr6tr9w6e0e5epptewvtr9rdp5rrrr" timestamp="1586892183"&gt;66&lt;/key&gt;&lt;/foreign-keys&gt;&lt;ref-type name="Journal Article"&gt;17&lt;/ref-type&gt;&lt;contributors&gt;&lt;authors&gt;&lt;author&gt;Grochowski, Daniel M&lt;/author&gt;&lt;author&gt;Uysal, Sengul&lt;/author&gt;&lt;author&gt;Aktumsek, Abdurrahman&lt;/author&gt;&lt;author&gt;Granica, Sebastian&lt;/author&gt;&lt;author&gt;Zengin, Gokhan&lt;/author&gt;&lt;author&gt;Ceylan, Ramazan&lt;/author&gt;&lt;author&gt;Locatelli, Marcello&lt;/author&gt;&lt;author&gt;Tomczyk, Michał&lt;/author&gt;&lt;/authors&gt;&lt;/contributors&gt;&lt;titles&gt;&lt;title&gt;In vitro enzyme inhibitory properties, antioxidant activities, and phytochemical profile of Potentilla thuringiaca&lt;/title&gt;&lt;secondary-title&gt;Phytochemistry Letters&lt;/secondary-title&gt;&lt;/titles&gt;&lt;periodical&gt;&lt;full-title&gt;Phytochemistry Letters&lt;/full-title&gt;&lt;/periodical&gt;&lt;pages&gt;365-372&lt;/pages&gt;&lt;volume&gt;20&lt;/volume&gt;&lt;dates&gt;&lt;year&gt;2017&lt;/year&gt;&lt;/dates&gt;&lt;isbn&gt;1874-3900&lt;/isbn&gt;&lt;urls&gt;&lt;/urls&gt;&lt;/record&gt;&lt;/Cite&gt;&lt;/EndNote&gt;</w:instrText>
      </w:r>
      <w:r w:rsidR="00CE6324">
        <w:rPr>
          <w:rFonts w:ascii="Cambria" w:eastAsia="Calibri" w:hAnsi="Cambria" w:cs="Times New Roman"/>
          <w:sz w:val="24"/>
          <w:szCs w:val="24"/>
          <w:lang w:val="en-GB"/>
        </w:rPr>
        <w:fldChar w:fldCharType="separate"/>
      </w:r>
      <w:r w:rsidR="00297021">
        <w:rPr>
          <w:rFonts w:ascii="Cambria" w:eastAsia="Calibri" w:hAnsi="Cambria" w:cs="Times New Roman"/>
          <w:noProof/>
          <w:sz w:val="24"/>
          <w:szCs w:val="24"/>
          <w:lang w:val="en-GB"/>
        </w:rPr>
        <w:t>(Grochowski et al., 2017)</w:t>
      </w:r>
      <w:r w:rsidR="00CE6324">
        <w:rPr>
          <w:rFonts w:ascii="Cambria" w:eastAsia="Calibri" w:hAnsi="Cambria" w:cs="Times New Roman"/>
          <w:sz w:val="24"/>
          <w:szCs w:val="24"/>
          <w:lang w:val="en-GB"/>
        </w:rPr>
        <w:fldChar w:fldCharType="end"/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For the DPPH (1,1-diphenyl-2-picrylhydrazyl) radical scavenging assay: Sample solution was added to 4 mL of a 0.004% methanol solution of DPPH. The sample 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lastRenderedPageBreak/>
        <w:t xml:space="preserve">absorbance was read at 517 nm after a 30 min incubation at room temperature in the dark. DPPH radical scavenging activity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trolox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(mg TE/g extract).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For ABTS (2,2′-azino-bis(3-ethylbenzothiazoline) 6-sulfonic acid) radical scavenging assay: Brieﬂy, ABTS+ was produced directly by reacting 7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ABTS solution with 2.45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potassium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persulfate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and allowing the mixture to stand for 12–16 in the dark at room temperature. Prior to beginning the assay, ABTS solution was diluted with methanol to an absorbance of 0.700 ± 0.02 at 734 nm. Sample solution was added to ABTS solution (2 mL) and mixed. The sample absorbance was read at 734 nm after a 30 min incubation at room temperature. The ABTS radical scavenging activity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trolox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(m</w:t>
      </w:r>
      <w:r>
        <w:rPr>
          <w:rFonts w:ascii="Cambria" w:eastAsia="Calibri" w:hAnsi="Cambria" w:cs="Times New Roman"/>
          <w:sz w:val="24"/>
          <w:szCs w:val="24"/>
          <w:lang w:val="en-US"/>
        </w:rPr>
        <w:t>g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TE/g extract).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>For CUPRAC (cupric ion reducing activity) activity assay: Sample solution was added to premixed reaction mixture containing CuCl</w:t>
      </w:r>
      <w:r w:rsidRPr="0054100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2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(1 mL, 10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),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neocuproine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(1 mL, 7.5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) and NH</w:t>
      </w:r>
      <w:r w:rsidRPr="0054100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4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Ac buffer (1 mL, 1 M, pH 7.0). Similarly, a blank was prepared by adding sample solution (0.5 mL) to premixed reaction mixture (3 mL) without </w:t>
      </w:r>
      <w:proofErr w:type="gram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CuCl</w:t>
      </w:r>
      <w:r w:rsidRPr="0054100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2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.</w:t>
      </w:r>
      <w:proofErr w:type="gram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Then,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450 nm after a 30 min incubation at room temperature. The absorbance of the blank was subtracted from that of the sample. CUPRAC activity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trolox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(mg TE/g extract).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>For FRAP (ferric reducing antioxidant power) activity assay: Sample solution was added to premixed FRAP reagent (2 mL) containing acetate buffer (0.3 M, pH 3.6), 2,4,6-tris(2-pyridyl)-S-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triazine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(TPTZ) (10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in 40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HCl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and ferric chloride (20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in a ratio of 10:1:1 (v/v/v). Then, the sample absorbance was read at 593 nm after a 30 min incubation at room temperature. FRAP activity was expressed as milligrams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trolox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(mg TE/g extract).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lastRenderedPageBreak/>
        <w:t xml:space="preserve">For phosphomolybdenum method: Sample solution  was combined with 3 mL of reagent solution (0.6 M sulfuric acid, 28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sodium phosphate and 4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ammonium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molybdate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). The sample absorbance was read at 695 nm after a 90 min incubation at 95 °C. The total antioxidant capacity was expressed as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millimoles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trolox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mmol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TE/g extract).</w:t>
      </w:r>
    </w:p>
    <w:p w:rsidR="004700E9" w:rsidRPr="0054100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>For metal chelating activity assay: Brieﬂy, sample solution was added to FeCl</w:t>
      </w:r>
      <w:r w:rsidRPr="0054100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2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solution (0.05 mL, 2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). The reaction was initiated by the addition of 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ferrozine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(0.2 mL). Similarly, a blank was prepared by adding sample solution (2 mL) to FeCl</w:t>
      </w:r>
      <w:r w:rsidRPr="0054100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>2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solution (0.05 mL, 2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and water (0.2 mL) without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ferrozine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. Then,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562 nm after 10 min incubation at room temperature. The absorbance of the blank was sub-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tracted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from that of the sample. The metal chelating activity was expressed as milligrams of EDTA (disodium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edetate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) equivalents (mg EDTAE/g extract).</w:t>
      </w:r>
    </w:p>
    <w:p w:rsidR="004700E9" w:rsidRPr="00297021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>For Cholinesterase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ChE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inhibitory activity assay: Sample solution (was mixed with DTNB (5,5-dithio-bis(2-nitrobenzoic) acid, Sigma, St. Louis, MO, USA) (125 µL) and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AChE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acetylcholines-terase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(Electric ell acetylcholinesterase, Type-VI-S, EC 3.1.1.7,Sigma)), or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BChE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butyrylcholinesterase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(horse serum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butyrylcholinesterase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EC 3.1.1.8, Sigma)) solution (25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in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Tris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–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HCl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buffer (pH 8.0) in a 96-well microplate and incubated for 15 min at 25 °C. The reaction was then initiated with the addition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acetylthiocholine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iodide (ATCI, Sigma) or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butyrylthiocholine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chloride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BTCl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Sigma) (25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). Similarly, a blank was prepared by adding sample solution to all reaction reagents without enzyme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AChE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or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BChE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solution.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405 nm after 10 min incubation at 25 °C. The absorbance of the blank was subtracted from that of the sample and the cholinesterase inhibitory activity was expressed as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lastRenderedPageBreak/>
        <w:t>galanthamine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mgGALAE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/g extract).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 xml:space="preserve"> Also, IC</w:t>
      </w:r>
      <w:r w:rsidR="0029702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 xml:space="preserve">50 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values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 xml:space="preserve">were calculated for the extracts and standard. </w:t>
      </w:r>
    </w:p>
    <w:p w:rsidR="00297021" w:rsidRPr="00297021" w:rsidRDefault="004700E9" w:rsidP="00297021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For Tyrosinase inhibitory activity assay: Sample solution was mixed with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tyrosinase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solution (40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Sigma) and phosphate buffer (100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pH 6.8) in a 96-well microplate and incubated for 15 min at 25 °C. The reaction was then initiated with the addition of L-DOPA (40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Sigma). Similarly, a blank was prepared by adding sample solution to all reaction reagents without enzyme (tyrosinase) solution.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492 nm after a 10 min incubation at 25 °C. The absorbance of the blank was subtracted from that of the sample and the tyrosinase inhibitory activity was expressed as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kojic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acid equivalents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mgKAE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>/g extract).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>Also, IC</w:t>
      </w:r>
      <w:r w:rsidR="0029702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 xml:space="preserve">50 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values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 xml:space="preserve">were calculated for the extracts and standard. </w:t>
      </w:r>
    </w:p>
    <w:p w:rsidR="004700E9" w:rsidRDefault="004700E9" w:rsidP="004700E9">
      <w:pPr>
        <w:spacing w:after="200" w:line="480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For α-amylase inhibitory activity assay: Sample solution was mixed with α-amylase solution (ex-porcine pancreas, EC 3.2.1.1, Sigma) (50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 in phosphate buffer (pH 6.9 with 6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sodium chloride) in a 96-well microplate and incubated for 10 min at 37 °C. After pre-incubation, the reaction was initiated with the addition of starch solution (50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0.05%). Similarly, a blank was prepared by adding sample solution to all reaction reagents without enzyme (α-amylase) solution. The reaction mixture was incubated 10 min at 37 °C. The reaction was then stopped with the addition of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HCl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(25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1 M). This was followed by addition of the iodine-potassium iodide solution (100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μL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).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630 nm. The absorbance of the blank was subtracted from that of the sample and the α-amylase inhibitory activity was expressed as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acarbose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mmol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ACE/g extract).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>Also, IC</w:t>
      </w:r>
      <w:r w:rsidR="0029702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 xml:space="preserve">50 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values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 xml:space="preserve">were calculated for the extracts and standard. 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t>For α-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glucosidase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inhibitory activity assay: Sample solution was mixed with glutathione (50 µL), α-glucosidase solution (from Saccharomyces cerevisiae, EC 3.2.1.20, </w:t>
      </w:r>
      <w:r w:rsidRPr="00541001">
        <w:rPr>
          <w:rFonts w:ascii="Cambria" w:eastAsia="Calibri" w:hAnsi="Cambria" w:cs="Times New Roman"/>
          <w:sz w:val="24"/>
          <w:szCs w:val="24"/>
          <w:lang w:val="en-US"/>
        </w:rPr>
        <w:lastRenderedPageBreak/>
        <w:t>Sigma) (50 µL) in phosphate buffer (pH 6.8) and PNPG (4-N-trophenyl-α-D-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glucopyranoside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, Sigma) (50 µL) in a 96-well microplate and incubated for 15 min at 37 °C. Similarly, a blank was prepared by adding sample solution to all reaction reagents without enzyme (α-glucosidase) solution. The reaction was then stopped with the addition of sodium carbonate (50 µL, 0.2 M). The sample and blank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absorbances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were read at 400 nm. The absorbance of the blank was subtracted from that of the sample and the α-glucosidase inhibitory activity was expressed as 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acarbose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equivalents (</w:t>
      </w:r>
      <w:proofErr w:type="spellStart"/>
      <w:r w:rsidRPr="00541001">
        <w:rPr>
          <w:rFonts w:ascii="Cambria" w:eastAsia="Calibri" w:hAnsi="Cambria" w:cs="Times New Roman"/>
          <w:sz w:val="24"/>
          <w:szCs w:val="24"/>
          <w:lang w:val="en-US"/>
        </w:rPr>
        <w:t>mmol</w:t>
      </w:r>
      <w:proofErr w:type="spellEnd"/>
      <w:r w:rsidRPr="00541001">
        <w:rPr>
          <w:rFonts w:ascii="Cambria" w:eastAsia="Calibri" w:hAnsi="Cambria" w:cs="Times New Roman"/>
          <w:sz w:val="24"/>
          <w:szCs w:val="24"/>
          <w:lang w:val="en-US"/>
        </w:rPr>
        <w:t xml:space="preserve"> ACE/g extract).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>Also, IC</w:t>
      </w:r>
      <w:r w:rsidR="00297021">
        <w:rPr>
          <w:rFonts w:ascii="Cambria" w:eastAsia="Calibri" w:hAnsi="Cambria" w:cs="Times New Roman"/>
          <w:sz w:val="24"/>
          <w:szCs w:val="24"/>
          <w:vertAlign w:val="subscript"/>
          <w:lang w:val="en-US"/>
        </w:rPr>
        <w:t xml:space="preserve">50 </w:t>
      </w:r>
      <w:r w:rsidR="00297021" w:rsidRPr="00297021">
        <w:rPr>
          <w:rFonts w:ascii="Cambria" w:eastAsia="Calibri" w:hAnsi="Cambria" w:cs="Times New Roman"/>
          <w:sz w:val="24"/>
          <w:szCs w:val="24"/>
          <w:lang w:val="en-US"/>
        </w:rPr>
        <w:t xml:space="preserve">values </w:t>
      </w:r>
      <w:r w:rsidR="00297021">
        <w:rPr>
          <w:rFonts w:ascii="Cambria" w:eastAsia="Calibri" w:hAnsi="Cambria" w:cs="Times New Roman"/>
          <w:sz w:val="24"/>
          <w:szCs w:val="24"/>
          <w:lang w:val="en-US"/>
        </w:rPr>
        <w:t xml:space="preserve">were calculated for the extracts and standard. </w:t>
      </w:r>
    </w:p>
    <w:p w:rsidR="002804D9" w:rsidRDefault="002804D9" w:rsidP="00297021">
      <w:pPr>
        <w:pStyle w:val="EndNoteBibliography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97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E0977" w:rsidRPr="00EE0977" w:rsidRDefault="00EE0977" w:rsidP="00297021">
      <w:pPr>
        <w:pStyle w:val="EndNoteBibliography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04D9" w:rsidRPr="002804D9" w:rsidRDefault="005C21CB" w:rsidP="00EE0977">
      <w:pPr>
        <w:pStyle w:val="EndNoteBibliograph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D9">
        <w:rPr>
          <w:rFonts w:ascii="Times New Roman" w:hAnsi="Times New Roman" w:cs="Times New Roman"/>
          <w:sz w:val="24"/>
          <w:szCs w:val="24"/>
        </w:rPr>
        <w:fldChar w:fldCharType="begin"/>
      </w:r>
      <w:r w:rsidRPr="002804D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2804D9">
        <w:rPr>
          <w:rFonts w:ascii="Times New Roman" w:hAnsi="Times New Roman" w:cs="Times New Roman"/>
          <w:sz w:val="24"/>
          <w:szCs w:val="24"/>
        </w:rPr>
        <w:fldChar w:fldCharType="separate"/>
      </w:r>
      <w:r w:rsidR="00297021" w:rsidRPr="002804D9">
        <w:rPr>
          <w:rFonts w:ascii="Times New Roman" w:hAnsi="Times New Roman" w:cs="Times New Roman"/>
          <w:sz w:val="24"/>
          <w:szCs w:val="24"/>
        </w:rPr>
        <w:t>Grochowski, D.M., Uysal, S., Aktumsek, A., Granica, S., Zengin, G., Ceylan, R., Locatelli, M., Tomczyk, M., 2017. In vitro enzyme inhibitory properties, antioxidant activities, and phytochemical profile of Potentilla thuringiaca. Phytochemistry Letters 20, 365-372.</w:t>
      </w:r>
      <w:r w:rsidR="002804D9" w:rsidRPr="00280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21" w:rsidRPr="002804D9" w:rsidRDefault="00297021" w:rsidP="00EE0977">
      <w:pPr>
        <w:pStyle w:val="EndNoteBibliography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4D9">
        <w:rPr>
          <w:rFonts w:ascii="Times New Roman" w:hAnsi="Times New Roman" w:cs="Times New Roman"/>
          <w:sz w:val="24"/>
          <w:szCs w:val="24"/>
          <w:lang w:val="it-IT"/>
        </w:rPr>
        <w:t xml:space="preserve">Uysal, S., Zengin, G., Locatelli, M., Bahadori, M.B., Mocan, A., Bellagamba, G., De Luca, E., Mollica, A., Aktumsek, A., 2017. </w:t>
      </w:r>
      <w:r w:rsidRPr="002804D9">
        <w:rPr>
          <w:rFonts w:ascii="Times New Roman" w:hAnsi="Times New Roman" w:cs="Times New Roman"/>
          <w:sz w:val="24"/>
          <w:szCs w:val="24"/>
        </w:rPr>
        <w:t>Cytotoxic and enzyme inhibitory potential of two Potentilla species (P. speciosa L. and P. reptans Willd.) and their chemical composition. Frontiers in pharmacology 8, 290.</w:t>
      </w:r>
    </w:p>
    <w:p w:rsidR="00A31FCC" w:rsidRDefault="005C21CB" w:rsidP="00EE0977">
      <w:pPr>
        <w:pStyle w:val="MDPI41tablecaption"/>
        <w:spacing w:line="276" w:lineRule="auto"/>
      </w:pPr>
      <w:r w:rsidRPr="002804D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31FCC" w:rsidSect="002804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22BC"/>
    <w:multiLevelType w:val="hybridMultilevel"/>
    <w:tmpl w:val="45A2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dustrial Crops Products Cop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617E2"/>
    <w:rsid w:val="00140CA4"/>
    <w:rsid w:val="002804D9"/>
    <w:rsid w:val="00297021"/>
    <w:rsid w:val="003F7917"/>
    <w:rsid w:val="004679F2"/>
    <w:rsid w:val="004700E9"/>
    <w:rsid w:val="005225D7"/>
    <w:rsid w:val="005C21CB"/>
    <w:rsid w:val="00667EF8"/>
    <w:rsid w:val="00683276"/>
    <w:rsid w:val="00A31FCC"/>
    <w:rsid w:val="00B815CB"/>
    <w:rsid w:val="00CE6324"/>
    <w:rsid w:val="00E617E2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9046-9B35-41FA-973B-7EBA244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17"/>
    <w:rPr>
      <w:rFonts w:eastAsia="SimSu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3F7917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character" w:styleId="Hyperlink">
    <w:name w:val="Hyperlink"/>
    <w:basedOn w:val="DefaultParagraphFont"/>
    <w:uiPriority w:val="99"/>
    <w:unhideWhenUsed/>
    <w:rsid w:val="00B815CB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B815C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B815C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B815CB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CE632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6324"/>
    <w:rPr>
      <w:rFonts w:ascii="Calibri" w:eastAsia="SimSun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E632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E6324"/>
    <w:rPr>
      <w:rFonts w:ascii="Calibri" w:eastAsia="SimSun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A4"/>
    <w:rPr>
      <w:rFonts w:ascii="Segoe UI" w:eastAsia="SimSu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mollica@unic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2020-05-01T14:44:00Z</dcterms:created>
  <dcterms:modified xsi:type="dcterms:W3CDTF">2020-07-21T09:12:00Z</dcterms:modified>
</cp:coreProperties>
</file>