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3DD8E" w14:textId="1DF6EBB2" w:rsidR="00210EF7" w:rsidRPr="00BD1C03" w:rsidRDefault="001E2A2B" w:rsidP="00210EF7">
      <w:pPr>
        <w:widowControl w:val="0"/>
        <w:autoSpaceDE w:val="0"/>
        <w:autoSpaceDN w:val="0"/>
        <w:adjustRightInd w:val="0"/>
        <w:spacing w:before="100" w:line="360" w:lineRule="auto"/>
        <w:ind w:left="480" w:hanging="480"/>
        <w:jc w:val="center"/>
        <w:rPr>
          <w:rFonts w:asciiTheme="majorBidi" w:hAnsiTheme="majorBidi" w:cstheme="majorBidi"/>
          <w:b/>
          <w:bCs/>
          <w:sz w:val="28"/>
          <w:szCs w:val="28"/>
        </w:rPr>
      </w:pPr>
      <w:r w:rsidRPr="00BD1C03">
        <w:rPr>
          <w:rFonts w:asciiTheme="majorBidi" w:hAnsiTheme="majorBidi" w:cstheme="majorBidi"/>
          <w:b/>
          <w:bCs/>
          <w:sz w:val="28"/>
          <w:szCs w:val="28"/>
        </w:rPr>
        <w:t>(</w:t>
      </w:r>
      <w:r w:rsidR="00210EF7" w:rsidRPr="00BD1C03">
        <w:rPr>
          <w:rFonts w:asciiTheme="majorBidi" w:hAnsiTheme="majorBidi" w:cstheme="majorBidi"/>
          <w:b/>
          <w:bCs/>
          <w:sz w:val="28"/>
          <w:szCs w:val="28"/>
        </w:rPr>
        <w:t>Supporting Information</w:t>
      </w:r>
      <w:r w:rsidRPr="00BD1C03">
        <w:rPr>
          <w:rFonts w:asciiTheme="majorBidi" w:hAnsiTheme="majorBidi" w:cstheme="majorBidi"/>
          <w:b/>
          <w:bCs/>
          <w:sz w:val="28"/>
          <w:szCs w:val="28"/>
        </w:rPr>
        <w:t>)</w:t>
      </w:r>
    </w:p>
    <w:p w14:paraId="24BCBF37" w14:textId="77777777" w:rsidR="008B560B" w:rsidRPr="00BD1C03" w:rsidRDefault="008B560B" w:rsidP="00210EF7">
      <w:pPr>
        <w:widowControl w:val="0"/>
        <w:autoSpaceDE w:val="0"/>
        <w:autoSpaceDN w:val="0"/>
        <w:adjustRightInd w:val="0"/>
        <w:spacing w:before="100" w:line="360" w:lineRule="auto"/>
        <w:ind w:left="480" w:hanging="480"/>
        <w:jc w:val="center"/>
        <w:rPr>
          <w:rFonts w:asciiTheme="majorBidi" w:hAnsiTheme="majorBidi" w:cstheme="majorBidi"/>
          <w:b/>
          <w:bCs/>
          <w:sz w:val="28"/>
          <w:szCs w:val="28"/>
        </w:rPr>
      </w:pPr>
    </w:p>
    <w:p w14:paraId="58AFC09F" w14:textId="77777777" w:rsidR="00E51022" w:rsidRPr="00BD1C03" w:rsidRDefault="00E51022" w:rsidP="00E51022">
      <w:pPr>
        <w:pStyle w:val="Default"/>
        <w:spacing w:line="360" w:lineRule="auto"/>
        <w:jc w:val="center"/>
        <w:rPr>
          <w:rFonts w:asciiTheme="majorBidi" w:hAnsiTheme="majorBidi" w:cstheme="majorBidi"/>
          <w:b/>
          <w:color w:val="auto"/>
          <w:sz w:val="28"/>
          <w:szCs w:val="28"/>
        </w:rPr>
      </w:pPr>
      <w:r w:rsidRPr="00BD1C03">
        <w:rPr>
          <w:rFonts w:asciiTheme="majorBidi" w:hAnsiTheme="majorBidi" w:cstheme="majorBidi"/>
          <w:b/>
          <w:color w:val="auto"/>
          <w:sz w:val="28"/>
          <w:szCs w:val="28"/>
        </w:rPr>
        <w:t>Tailoring crystal size distributions for product performance, compaction of Paracetamol</w:t>
      </w:r>
    </w:p>
    <w:p w14:paraId="697D6B20" w14:textId="77777777" w:rsidR="00E51022" w:rsidRPr="00BD1C03" w:rsidRDefault="00E51022" w:rsidP="00E51022">
      <w:pPr>
        <w:pStyle w:val="Default"/>
        <w:spacing w:line="360" w:lineRule="auto"/>
        <w:jc w:val="center"/>
        <w:rPr>
          <w:rFonts w:asciiTheme="majorBidi" w:hAnsiTheme="majorBidi" w:cstheme="majorBidi"/>
          <w:b/>
          <w:color w:val="auto"/>
          <w:sz w:val="28"/>
          <w:szCs w:val="28"/>
        </w:rPr>
      </w:pPr>
    </w:p>
    <w:p w14:paraId="0B83A2E3" w14:textId="77777777" w:rsidR="00E51022" w:rsidRPr="00BD1C03" w:rsidRDefault="00E51022" w:rsidP="00E51022">
      <w:pPr>
        <w:pStyle w:val="Default"/>
        <w:spacing w:line="360" w:lineRule="auto"/>
        <w:jc w:val="center"/>
        <w:rPr>
          <w:rFonts w:ascii="Times New Roman" w:hAnsi="Times New Roman" w:cs="Times New Roman"/>
          <w:sz w:val="22"/>
          <w:szCs w:val="22"/>
        </w:rPr>
      </w:pPr>
      <w:r w:rsidRPr="00BD1C03">
        <w:rPr>
          <w:rFonts w:asciiTheme="majorBidi" w:hAnsiTheme="majorBidi" w:cstheme="majorBidi"/>
          <w:sz w:val="22"/>
          <w:szCs w:val="22"/>
        </w:rPr>
        <w:t>Leila Keshavarz</w:t>
      </w:r>
      <w:r w:rsidRPr="00BD1C03">
        <w:rPr>
          <w:rFonts w:asciiTheme="majorBidi" w:hAnsiTheme="majorBidi" w:cstheme="majorBidi"/>
          <w:sz w:val="22"/>
          <w:szCs w:val="22"/>
          <w:vertAlign w:val="superscript"/>
        </w:rPr>
        <w:t>1,†</w:t>
      </w:r>
      <w:r w:rsidRPr="00BD1C03">
        <w:rPr>
          <w:rFonts w:asciiTheme="majorBidi" w:hAnsiTheme="majorBidi" w:cstheme="majorBidi"/>
          <w:sz w:val="22"/>
          <w:szCs w:val="22"/>
        </w:rPr>
        <w:t>, Mahboubeh Pishnamazi</w:t>
      </w:r>
      <w:r w:rsidRPr="00BD1C03">
        <w:rPr>
          <w:rFonts w:asciiTheme="majorBidi" w:hAnsiTheme="majorBidi" w:cstheme="majorBidi"/>
          <w:sz w:val="22"/>
          <w:szCs w:val="22"/>
          <w:vertAlign w:val="superscript"/>
        </w:rPr>
        <w:t>1,†,*</w:t>
      </w:r>
      <w:r w:rsidRPr="00BD1C03">
        <w:rPr>
          <w:rFonts w:asciiTheme="majorBidi" w:hAnsiTheme="majorBidi" w:cstheme="majorBidi"/>
          <w:sz w:val="22"/>
          <w:szCs w:val="22"/>
        </w:rPr>
        <w:t xml:space="preserve">,  U. B. Rao </w:t>
      </w:r>
      <w:r w:rsidRPr="00BD1C03">
        <w:rPr>
          <w:rFonts w:ascii="Times New Roman" w:hAnsi="Times New Roman" w:cs="Times New Roman"/>
          <w:sz w:val="22"/>
          <w:szCs w:val="22"/>
        </w:rPr>
        <w:t>Khandavilli</w:t>
      </w:r>
      <w:r w:rsidRPr="00BD1C03">
        <w:rPr>
          <w:rFonts w:ascii="Times New Roman" w:hAnsi="Times New Roman" w:cs="Times New Roman"/>
          <w:sz w:val="22"/>
          <w:szCs w:val="22"/>
          <w:vertAlign w:val="superscript"/>
        </w:rPr>
        <w:t>1</w:t>
      </w:r>
      <w:r w:rsidRPr="00BD1C03">
        <w:rPr>
          <w:rFonts w:ascii="Times New Roman" w:hAnsi="Times New Roman" w:cs="Times New Roman"/>
          <w:sz w:val="22"/>
          <w:szCs w:val="22"/>
        </w:rPr>
        <w:t>, Saeed Shirazian</w:t>
      </w:r>
      <w:r w:rsidRPr="00BD1C03">
        <w:rPr>
          <w:rFonts w:ascii="Times New Roman" w:hAnsi="Times New Roman" w:cs="Times New Roman"/>
          <w:sz w:val="22"/>
          <w:szCs w:val="22"/>
          <w:vertAlign w:val="superscript"/>
        </w:rPr>
        <w:t>1,2</w:t>
      </w:r>
      <w:r w:rsidRPr="00BD1C03">
        <w:rPr>
          <w:rFonts w:ascii="Times New Roman" w:hAnsi="Times New Roman" w:cs="Times New Roman"/>
          <w:sz w:val="22"/>
          <w:szCs w:val="22"/>
        </w:rPr>
        <w:t>, Maurice N. Collins</w:t>
      </w:r>
      <w:r w:rsidRPr="00BD1C03">
        <w:rPr>
          <w:rFonts w:ascii="Times New Roman" w:hAnsi="Times New Roman" w:cs="Times New Roman"/>
          <w:sz w:val="22"/>
          <w:szCs w:val="22"/>
          <w:vertAlign w:val="superscript"/>
        </w:rPr>
        <w:t>3,4</w:t>
      </w:r>
      <w:r w:rsidRPr="00BD1C03">
        <w:rPr>
          <w:rFonts w:ascii="Times New Roman" w:hAnsi="Times New Roman" w:cs="Times New Roman"/>
          <w:sz w:val="22"/>
          <w:szCs w:val="22"/>
        </w:rPr>
        <w:t>, Gavin M. Walker</w:t>
      </w:r>
      <w:r w:rsidRPr="00BD1C03">
        <w:rPr>
          <w:rFonts w:ascii="Times New Roman" w:hAnsi="Times New Roman" w:cs="Times New Roman"/>
          <w:sz w:val="22"/>
          <w:szCs w:val="22"/>
          <w:vertAlign w:val="superscript"/>
        </w:rPr>
        <w:t>1</w:t>
      </w:r>
      <w:r w:rsidRPr="00BD1C03">
        <w:rPr>
          <w:rFonts w:ascii="Times New Roman" w:hAnsi="Times New Roman" w:cs="Times New Roman"/>
          <w:sz w:val="22"/>
          <w:szCs w:val="22"/>
        </w:rPr>
        <w:t>, and Patrick J. Frawley</w:t>
      </w:r>
      <w:r w:rsidRPr="00BD1C03">
        <w:rPr>
          <w:rFonts w:ascii="Times New Roman" w:hAnsi="Times New Roman" w:cs="Times New Roman"/>
          <w:sz w:val="22"/>
          <w:szCs w:val="22"/>
          <w:vertAlign w:val="superscript"/>
        </w:rPr>
        <w:t>1</w:t>
      </w:r>
    </w:p>
    <w:p w14:paraId="540CA665" w14:textId="77777777" w:rsidR="00E51022" w:rsidRPr="00BD1C03" w:rsidRDefault="00E51022" w:rsidP="00E51022">
      <w:pPr>
        <w:pStyle w:val="Default"/>
        <w:jc w:val="center"/>
        <w:rPr>
          <w:rFonts w:ascii="Times New Roman" w:hAnsi="Times New Roman" w:cs="Times New Roman"/>
          <w:sz w:val="22"/>
          <w:szCs w:val="22"/>
        </w:rPr>
      </w:pPr>
    </w:p>
    <w:p w14:paraId="045858EC" w14:textId="77777777" w:rsidR="00E51022" w:rsidRPr="00BD1C03" w:rsidRDefault="00E51022" w:rsidP="00E51022">
      <w:pPr>
        <w:autoSpaceDE w:val="0"/>
        <w:autoSpaceDN w:val="0"/>
        <w:adjustRightInd w:val="0"/>
        <w:spacing w:before="100" w:line="360" w:lineRule="auto"/>
        <w:jc w:val="center"/>
        <w:rPr>
          <w:rFonts w:asciiTheme="majorBidi" w:hAnsiTheme="majorBidi" w:cstheme="majorBidi"/>
        </w:rPr>
      </w:pPr>
      <w:r w:rsidRPr="00BD1C03">
        <w:rPr>
          <w:rFonts w:asciiTheme="majorBidi" w:hAnsiTheme="majorBidi" w:cstheme="majorBidi"/>
          <w:vertAlign w:val="superscript"/>
        </w:rPr>
        <w:t xml:space="preserve">1 </w:t>
      </w:r>
      <w:r w:rsidRPr="00BD1C03">
        <w:rPr>
          <w:rFonts w:asciiTheme="majorBidi" w:hAnsiTheme="majorBidi" w:cstheme="majorBidi"/>
        </w:rPr>
        <w:t>Synthesis and Solid State Pharmaceutical Centre (SSPC),</w:t>
      </w:r>
      <w:r w:rsidRPr="00BD1C03">
        <w:rPr>
          <w:rFonts w:asciiTheme="majorBidi" w:hAnsiTheme="majorBidi" w:cstheme="majorBidi"/>
          <w:vertAlign w:val="superscript"/>
        </w:rPr>
        <w:t xml:space="preserve"> </w:t>
      </w:r>
      <w:r w:rsidRPr="00BD1C03">
        <w:rPr>
          <w:rFonts w:asciiTheme="majorBidi" w:hAnsiTheme="majorBidi" w:cstheme="majorBidi"/>
        </w:rPr>
        <w:t>Bernal Institute, University of Limerick, Limerick, Ireland</w:t>
      </w:r>
    </w:p>
    <w:p w14:paraId="4C57FC3F" w14:textId="77777777" w:rsidR="00E51022" w:rsidRPr="00BD1C03" w:rsidRDefault="00E51022" w:rsidP="00E51022">
      <w:pPr>
        <w:autoSpaceDE w:val="0"/>
        <w:autoSpaceDN w:val="0"/>
        <w:adjustRightInd w:val="0"/>
        <w:spacing w:before="100" w:line="360" w:lineRule="auto"/>
        <w:jc w:val="center"/>
        <w:rPr>
          <w:rFonts w:asciiTheme="majorBidi" w:hAnsiTheme="majorBidi" w:cstheme="majorBidi"/>
        </w:rPr>
      </w:pPr>
      <w:r w:rsidRPr="00BD1C03">
        <w:rPr>
          <w:rFonts w:asciiTheme="majorBidi" w:hAnsiTheme="majorBidi" w:cstheme="majorBidi"/>
          <w:vertAlign w:val="superscript"/>
        </w:rPr>
        <w:t>2</w:t>
      </w:r>
      <w:r w:rsidRPr="00BD1C03">
        <w:rPr>
          <w:rFonts w:asciiTheme="majorBidi" w:hAnsiTheme="majorBidi" w:cstheme="majorBidi"/>
        </w:rPr>
        <w:t xml:space="preserve"> Laboratory of Computational Modeling of Drugs, South Ural State University, 76 Lenin </w:t>
      </w:r>
      <w:proofErr w:type="spellStart"/>
      <w:r w:rsidRPr="00BD1C03">
        <w:rPr>
          <w:rFonts w:asciiTheme="majorBidi" w:hAnsiTheme="majorBidi" w:cstheme="majorBidi"/>
        </w:rPr>
        <w:t>prospekt</w:t>
      </w:r>
      <w:proofErr w:type="spellEnd"/>
      <w:r w:rsidRPr="00BD1C03">
        <w:rPr>
          <w:rFonts w:asciiTheme="majorBidi" w:hAnsiTheme="majorBidi" w:cstheme="majorBidi"/>
        </w:rPr>
        <w:t>, 454080 Chelyabinsk, Russia</w:t>
      </w:r>
    </w:p>
    <w:p w14:paraId="6674E4A9" w14:textId="77777777" w:rsidR="00E51022" w:rsidRPr="00BD1C03" w:rsidRDefault="00E51022" w:rsidP="00E51022">
      <w:pPr>
        <w:autoSpaceDE w:val="0"/>
        <w:autoSpaceDN w:val="0"/>
        <w:adjustRightInd w:val="0"/>
        <w:spacing w:before="100" w:line="360" w:lineRule="auto"/>
        <w:jc w:val="center"/>
        <w:rPr>
          <w:rFonts w:asciiTheme="majorBidi" w:hAnsiTheme="majorBidi" w:cstheme="majorBidi"/>
        </w:rPr>
      </w:pPr>
      <w:r w:rsidRPr="00BD1C03">
        <w:rPr>
          <w:rFonts w:asciiTheme="majorBidi" w:hAnsiTheme="majorBidi" w:cstheme="majorBidi"/>
          <w:vertAlign w:val="superscript"/>
        </w:rPr>
        <w:t>3</w:t>
      </w:r>
      <w:r w:rsidRPr="00BD1C03">
        <w:rPr>
          <w:rFonts w:asciiTheme="majorBidi" w:hAnsiTheme="majorBidi" w:cstheme="majorBidi"/>
        </w:rPr>
        <w:t xml:space="preserve"> Stokes Laboratories, Bernal Institute, University of Limerick, Limerick, Ireland</w:t>
      </w:r>
    </w:p>
    <w:p w14:paraId="2D751730" w14:textId="77777777" w:rsidR="00E51022" w:rsidRPr="00BD1C03" w:rsidRDefault="00E51022" w:rsidP="00E51022">
      <w:pPr>
        <w:autoSpaceDE w:val="0"/>
        <w:autoSpaceDN w:val="0"/>
        <w:adjustRightInd w:val="0"/>
        <w:spacing w:before="100" w:line="360" w:lineRule="auto"/>
        <w:jc w:val="center"/>
        <w:rPr>
          <w:rFonts w:asciiTheme="majorBidi" w:hAnsiTheme="majorBidi" w:cstheme="majorBidi"/>
          <w:sz w:val="18"/>
          <w:szCs w:val="18"/>
        </w:rPr>
      </w:pPr>
      <w:r w:rsidRPr="00BD1C03">
        <w:rPr>
          <w:rFonts w:asciiTheme="majorBidi" w:hAnsiTheme="majorBidi" w:cstheme="majorBidi"/>
          <w:vertAlign w:val="superscript"/>
        </w:rPr>
        <w:t>4</w:t>
      </w:r>
      <w:r w:rsidRPr="00BD1C03">
        <w:rPr>
          <w:rFonts w:asciiTheme="majorBidi" w:hAnsiTheme="majorBidi" w:cstheme="majorBidi"/>
        </w:rPr>
        <w:t xml:space="preserve"> Health Research Institute, University of Limerick, Limerick, Ireland</w:t>
      </w:r>
      <w:r w:rsidRPr="00BD1C03">
        <w:rPr>
          <w:rFonts w:asciiTheme="majorBidi" w:hAnsiTheme="majorBidi" w:cstheme="majorBidi"/>
          <w:sz w:val="18"/>
          <w:szCs w:val="18"/>
        </w:rPr>
        <w:t>.</w:t>
      </w:r>
    </w:p>
    <w:p w14:paraId="00076695" w14:textId="77777777" w:rsidR="00E51022" w:rsidRPr="00BD1C03" w:rsidRDefault="00E51022" w:rsidP="00E51022">
      <w:pPr>
        <w:autoSpaceDE w:val="0"/>
        <w:autoSpaceDN w:val="0"/>
        <w:adjustRightInd w:val="0"/>
        <w:spacing w:before="100" w:line="360" w:lineRule="auto"/>
        <w:rPr>
          <w:rFonts w:asciiTheme="majorBidi" w:hAnsiTheme="majorBidi" w:cstheme="majorBidi"/>
        </w:rPr>
      </w:pPr>
      <w:r w:rsidRPr="00BD1C03">
        <w:rPr>
          <w:rFonts w:asciiTheme="majorBidi" w:hAnsiTheme="majorBidi" w:cstheme="majorBidi"/>
          <w:vertAlign w:val="superscript"/>
        </w:rPr>
        <w:t>†</w:t>
      </w:r>
      <w:r w:rsidRPr="00BD1C03">
        <w:rPr>
          <w:rFonts w:asciiTheme="majorBidi" w:hAnsiTheme="majorBidi" w:cstheme="majorBidi"/>
        </w:rPr>
        <w:t>LK and MP contributed equally.</w:t>
      </w:r>
    </w:p>
    <w:p w14:paraId="36F702F3" w14:textId="77777777" w:rsidR="00E51022" w:rsidRPr="00BD1C03" w:rsidRDefault="00E51022" w:rsidP="00E51022">
      <w:pPr>
        <w:autoSpaceDE w:val="0"/>
        <w:autoSpaceDN w:val="0"/>
        <w:adjustRightInd w:val="0"/>
        <w:spacing w:before="100" w:line="360" w:lineRule="auto"/>
        <w:rPr>
          <w:rFonts w:asciiTheme="majorBidi" w:hAnsiTheme="majorBidi" w:cstheme="majorBidi"/>
          <w:sz w:val="18"/>
          <w:szCs w:val="18"/>
        </w:rPr>
      </w:pPr>
      <w:r w:rsidRPr="00BD1C03">
        <w:rPr>
          <w:rFonts w:asciiTheme="majorBidi" w:hAnsiTheme="majorBidi" w:cstheme="majorBidi"/>
          <w:vertAlign w:val="superscript"/>
        </w:rPr>
        <w:t>*</w:t>
      </w:r>
      <w:r w:rsidRPr="00BD1C03">
        <w:rPr>
          <w:rFonts w:asciiTheme="majorBidi" w:hAnsiTheme="majorBidi" w:cstheme="majorBidi"/>
        </w:rPr>
        <w:t xml:space="preserve"> Corresponding author; E-mail: seyedeh.pishnamazi@ul.ie</w:t>
      </w:r>
    </w:p>
    <w:p w14:paraId="3C081110" w14:textId="3C5D0C5B" w:rsidR="002E54CC" w:rsidRPr="00BD1C03" w:rsidRDefault="002E54CC" w:rsidP="002E54CC">
      <w:pPr>
        <w:autoSpaceDE w:val="0"/>
        <w:autoSpaceDN w:val="0"/>
        <w:adjustRightInd w:val="0"/>
        <w:spacing w:before="100" w:line="360" w:lineRule="auto"/>
        <w:rPr>
          <w:rFonts w:asciiTheme="majorBidi" w:hAnsiTheme="majorBidi" w:cstheme="majorBidi"/>
          <w:sz w:val="18"/>
          <w:szCs w:val="18"/>
        </w:rPr>
      </w:pPr>
    </w:p>
    <w:p w14:paraId="09770530" w14:textId="77777777" w:rsidR="001E2A2B" w:rsidRPr="00BD1C03" w:rsidRDefault="001E2A2B" w:rsidP="00210EF7">
      <w:pPr>
        <w:widowControl w:val="0"/>
        <w:autoSpaceDE w:val="0"/>
        <w:autoSpaceDN w:val="0"/>
        <w:adjustRightInd w:val="0"/>
        <w:spacing w:before="100" w:line="360" w:lineRule="auto"/>
        <w:ind w:left="480" w:hanging="480"/>
        <w:jc w:val="center"/>
        <w:rPr>
          <w:rFonts w:asciiTheme="majorBidi" w:hAnsiTheme="majorBidi" w:cstheme="majorBidi"/>
          <w:b/>
          <w:bCs/>
          <w:sz w:val="28"/>
          <w:szCs w:val="28"/>
        </w:rPr>
      </w:pPr>
    </w:p>
    <w:p w14:paraId="223777EA" w14:textId="77777777" w:rsidR="00210EF7" w:rsidRPr="00BD1C03" w:rsidRDefault="00210EF7" w:rsidP="00210EF7">
      <w:pPr>
        <w:pStyle w:val="Caption-Top"/>
        <w:rPr>
          <w:rFonts w:asciiTheme="majorBidi" w:hAnsiTheme="majorBidi" w:cstheme="majorBidi"/>
        </w:rPr>
      </w:pPr>
    </w:p>
    <w:p w14:paraId="450011FE" w14:textId="77777777" w:rsidR="00210EF7" w:rsidRPr="00BD1C03" w:rsidRDefault="00210EF7" w:rsidP="00210EF7">
      <w:pPr>
        <w:autoSpaceDE w:val="0"/>
        <w:autoSpaceDN w:val="0"/>
        <w:adjustRightInd w:val="0"/>
        <w:spacing w:before="100" w:line="240" w:lineRule="auto"/>
        <w:rPr>
          <w:rFonts w:asciiTheme="majorBidi" w:hAnsiTheme="majorBidi" w:cstheme="majorBidi"/>
          <w:b/>
          <w:bCs/>
          <w:sz w:val="24"/>
          <w:szCs w:val="24"/>
        </w:rPr>
      </w:pPr>
      <w:r w:rsidRPr="00BD1C03">
        <w:rPr>
          <w:rFonts w:asciiTheme="majorBidi" w:hAnsiTheme="majorBidi" w:cstheme="majorBidi"/>
          <w:b/>
          <w:bCs/>
          <w:sz w:val="24"/>
          <w:szCs w:val="24"/>
        </w:rPr>
        <w:t>Solubility Measurement</w:t>
      </w:r>
    </w:p>
    <w:p w14:paraId="2EBF09C7" w14:textId="7B383D71" w:rsidR="00210EF7" w:rsidRPr="00BD1C03" w:rsidRDefault="00210EF7" w:rsidP="00210EF7">
      <w:pPr>
        <w:spacing w:before="100" w:line="360" w:lineRule="auto"/>
        <w:jc w:val="both"/>
        <w:rPr>
          <w:rFonts w:asciiTheme="majorBidi" w:hAnsiTheme="majorBidi" w:cstheme="majorBidi"/>
          <w:sz w:val="24"/>
          <w:szCs w:val="24"/>
        </w:rPr>
      </w:pPr>
      <w:r w:rsidRPr="00BD1C03">
        <w:rPr>
          <w:rFonts w:asciiTheme="majorBidi" w:hAnsiTheme="majorBidi" w:cstheme="majorBidi"/>
          <w:sz w:val="24"/>
          <w:szCs w:val="24"/>
        </w:rPr>
        <w:t xml:space="preserve">The pressurized synthetic method was applied for measuring the solubility of phenacetin in the presence of two different solvents (2-propanol and methanol). This method was used and validated in our previous work and the same protocol and procedure was used in the current work </w:t>
      </w:r>
      <w:r w:rsidRPr="00BD1C03">
        <w:rPr>
          <w:rFonts w:asciiTheme="majorBidi" w:hAnsiTheme="majorBidi" w:cstheme="majorBidi"/>
          <w:sz w:val="24"/>
          <w:szCs w:val="24"/>
        </w:rPr>
        <w:fldChar w:fldCharType="begin" w:fldLock="1"/>
      </w:r>
      <w:r w:rsidR="00B262B4" w:rsidRPr="00BD1C03">
        <w:rPr>
          <w:rFonts w:asciiTheme="majorBidi" w:hAnsiTheme="majorBidi" w:cstheme="majorBidi"/>
          <w:sz w:val="24"/>
          <w:szCs w:val="24"/>
        </w:rPr>
        <w:instrText>ADDIN CSL_CITATION {"citationItems":[{"id":"ITEM-1","itemData":{"DOI":"10.1021/acs.jced.7b00118","ISBN":"9781510858121","ISSN":"15205134","abstract":"This paper describes a new nonintrusive method for the determination of high-temperature solubility data. Accurate high-temperature solubility data is vital to many industrial manufacturing processes such as cooling crystallization with direct implications for yield, throughput, and solvent usage. However, the provision of such data is notably absent from published literature for many active pharmaceutical ingredients. Pressurized-synthetic methodology is presented as a new technique for determining high-temperature solubility data. Paracetamol (acetaminophen) is used as a reference active pharmaceutical ingredient to validate the methodology. Solubility data determined using the pressurized-synthetic approach is reported for several pure solvents across a significantly extended temperature range. In the case of methanol, solubility data is obtained up to 354.15 K, above the atmospheric boiling point of the solvent, 337.65 K, and far in excess of the temperature range for which data exists in the literature, 268.15-303.15 K. The data obtained using the pressurized-synthetic method is validated against an extended gravimetric data set at temperatures up to the atmospheric boiling point for each solvent. Sensitivity studies were conducted to determine the influence of factors such as temperature gradient on the ultimate solubility determination. A temperature-based standard deviation of 0.1 K was established for paracetamol in 2-propanol at 303.15 K, comparing favorably with the temperature-based equivalent standard deviation of 0.2 K for the gravimetric approach. Binary interaction parameters for the pressurized-synthetic solubility data are derived and estimated for four different activity coefficient models, namely Margules, Van-Laar, Wilson, and non-random two-liquid (NRTL), along with the empirical solubility equation of Apelblat. For each solvent, the quality of fit of each of the activity coefficient models is analyzed. The NRTL model was found to best fit the experimental data for methanol, ethanol, 2-propanol, and acetone with mean square errors of 5.73 × 10-5, 3.00 × 10-4, 1.70 × 10-4, and 7.35 × 10-5, respectively. The pressurized-synthetic approach provides a nonintrusive, validated, and readily automated approach for the provision of valuable high-temperature solubility data that can be readily extended to binary and ternary systems.","author":[{"dropping-particle":"","family":"Souza","given":"Brian","non-dropping-particle":"De","parse-names":false,"suffix":""},{"dropping-particle":"","family":"Keshavarz","given":"Leila","non-dropping-particle":"","parse-names":false,"suffix":""},{"dropping-particle":"","family":"Cogoni","given":"Giuseppe","non-dropping-particle":"","parse-names":false,"suffix":""},{"dropping-particle":"","family":"Frawley","given":"Patrick J.","non-dropping-particle":"","parse-names":false,"suffix":""}],"container-title":"Pharmaceutical Discovery, Development and Manufacturing Forum 2017 - Core Programming Area at the 2017 AIChE Annual Meeting","id":"ITEM-1","issued":{"date-parts":[["2017"]]},"page":"72-83","title":"Pressurized-synthetic methodology for solubility determination at elevated temperatures with application to paracetamol in pure solvents","type":"article-journal","volume":"2017-Octob"},"uris":["http://www.mendeley.com/documents/?uuid=f0d3df97-4527-4701-af71-59aa3b36d9c3","http://www.mendeley.com/documents/?uuid=3a1e7cc0-b7fb-4bf0-9b89-dc4d926f761a","http://www.mendeley.com/documents/?uuid=d55206de-4af3-40d8-80db-655f3512285a"]}],"mendeley":{"formattedCitation":"[1]","plainTextFormattedCitation":"[1]","previouslyFormattedCitation":"[1]"},"properties":{"noteIndex":0},"schema":"https://github.com/citation-style-language/schema/raw/master/csl-citation.json"}</w:instrText>
      </w:r>
      <w:r w:rsidRPr="00BD1C03">
        <w:rPr>
          <w:rFonts w:asciiTheme="majorBidi" w:hAnsiTheme="majorBidi" w:cstheme="majorBidi"/>
          <w:sz w:val="24"/>
          <w:szCs w:val="24"/>
        </w:rPr>
        <w:fldChar w:fldCharType="separate"/>
      </w:r>
      <w:r w:rsidR="00B262B4" w:rsidRPr="00BD1C03">
        <w:rPr>
          <w:rFonts w:asciiTheme="majorBidi" w:hAnsiTheme="majorBidi" w:cstheme="majorBidi"/>
          <w:noProof/>
          <w:sz w:val="24"/>
          <w:szCs w:val="24"/>
        </w:rPr>
        <w:t>[1]</w:t>
      </w:r>
      <w:r w:rsidRPr="00BD1C03">
        <w:rPr>
          <w:rFonts w:asciiTheme="majorBidi" w:hAnsiTheme="majorBidi" w:cstheme="majorBidi"/>
          <w:sz w:val="24"/>
          <w:szCs w:val="24"/>
        </w:rPr>
        <w:fldChar w:fldCharType="end"/>
      </w:r>
      <w:r w:rsidRPr="00BD1C03">
        <w:rPr>
          <w:rFonts w:asciiTheme="majorBidi" w:hAnsiTheme="majorBidi" w:cstheme="majorBidi"/>
          <w:sz w:val="24"/>
          <w:szCs w:val="24"/>
        </w:rPr>
        <w:t xml:space="preserve">. The rate of temperature change was 0.05 K/min and stirring rate of 450 rpm was adopted in the experiments. The results of the pressurized-synthetic data for phenacetin (measured in different alcohols) are shown in </w:t>
      </w:r>
      <w:r w:rsidR="00907FF0" w:rsidRPr="00BD1C03">
        <w:rPr>
          <w:rFonts w:asciiTheme="majorBidi" w:hAnsiTheme="majorBidi" w:cstheme="majorBidi"/>
          <w:sz w:val="24"/>
          <w:szCs w:val="24"/>
        </w:rPr>
        <w:t>F</w:t>
      </w:r>
      <w:r w:rsidRPr="00BD1C03">
        <w:rPr>
          <w:rFonts w:asciiTheme="majorBidi" w:hAnsiTheme="majorBidi" w:cstheme="majorBidi"/>
          <w:sz w:val="24"/>
          <w:szCs w:val="24"/>
        </w:rPr>
        <w:t xml:space="preserve">ig. S1. Table S1 shows the data set of pressurized-synthetic results in g solute/kg solvent at the measured saturation temperature </w:t>
      </w:r>
      <w:r w:rsidRPr="00BD1C03">
        <w:rPr>
          <w:rFonts w:asciiTheme="majorBidi" w:hAnsiTheme="majorBidi" w:cstheme="majorBidi"/>
          <w:sz w:val="24"/>
          <w:szCs w:val="24"/>
        </w:rPr>
        <w:lastRenderedPageBreak/>
        <w:t xml:space="preserve">under a pressure of 2 bar (g) and the values of the </w:t>
      </w:r>
      <w:proofErr w:type="spellStart"/>
      <w:r w:rsidRPr="00BD1C03">
        <w:rPr>
          <w:rFonts w:asciiTheme="majorBidi" w:hAnsiTheme="majorBidi" w:cstheme="majorBidi"/>
          <w:sz w:val="24"/>
          <w:szCs w:val="24"/>
        </w:rPr>
        <w:t>Apelblat</w:t>
      </w:r>
      <w:proofErr w:type="spellEnd"/>
      <w:r w:rsidRPr="00BD1C03">
        <w:rPr>
          <w:rFonts w:asciiTheme="majorBidi" w:hAnsiTheme="majorBidi" w:cstheme="majorBidi"/>
          <w:sz w:val="24"/>
          <w:szCs w:val="24"/>
        </w:rPr>
        <w:t xml:space="preserve"> parameters for each solvent summarized in Table S2. </w:t>
      </w:r>
    </w:p>
    <w:p w14:paraId="71E6DC39" w14:textId="4CCE550D" w:rsidR="00210EF7" w:rsidRPr="00BD1C03" w:rsidRDefault="00210EF7" w:rsidP="00210EF7">
      <w:pPr>
        <w:autoSpaceDE w:val="0"/>
        <w:autoSpaceDN w:val="0"/>
        <w:adjustRightInd w:val="0"/>
        <w:spacing w:before="100" w:line="360" w:lineRule="auto"/>
        <w:jc w:val="both"/>
        <w:rPr>
          <w:rFonts w:asciiTheme="majorBidi" w:hAnsiTheme="majorBidi" w:cstheme="majorBidi"/>
          <w:sz w:val="24"/>
          <w:szCs w:val="24"/>
        </w:rPr>
      </w:pPr>
      <w:r w:rsidRPr="00BD1C03">
        <w:rPr>
          <w:rFonts w:asciiTheme="majorBidi" w:hAnsiTheme="majorBidi" w:cstheme="majorBidi"/>
          <w:sz w:val="24"/>
          <w:szCs w:val="24"/>
        </w:rPr>
        <w:t xml:space="preserve">The solubility of PA was compared with the solubility of CA and </w:t>
      </w:r>
      <w:proofErr w:type="spellStart"/>
      <w:r w:rsidRPr="00BD1C03">
        <w:rPr>
          <w:rFonts w:asciiTheme="majorBidi" w:hAnsiTheme="majorBidi" w:cstheme="majorBidi"/>
          <w:sz w:val="24"/>
          <w:szCs w:val="24"/>
        </w:rPr>
        <w:t>Phen</w:t>
      </w:r>
      <w:proofErr w:type="spellEnd"/>
      <w:r w:rsidRPr="00BD1C03">
        <w:rPr>
          <w:rFonts w:asciiTheme="majorBidi" w:hAnsiTheme="majorBidi" w:cstheme="majorBidi"/>
          <w:sz w:val="24"/>
          <w:szCs w:val="24"/>
        </w:rPr>
        <w:t xml:space="preserve"> and the result is shown in </w:t>
      </w:r>
      <w:r w:rsidR="001E6A0D" w:rsidRPr="00BD1C03">
        <w:rPr>
          <w:rFonts w:asciiTheme="majorBidi" w:hAnsiTheme="majorBidi" w:cstheme="majorBidi"/>
          <w:sz w:val="24"/>
          <w:szCs w:val="24"/>
        </w:rPr>
        <w:t>F</w:t>
      </w:r>
      <w:r w:rsidRPr="00BD1C03">
        <w:rPr>
          <w:rFonts w:asciiTheme="majorBidi" w:hAnsiTheme="majorBidi" w:cstheme="majorBidi"/>
          <w:sz w:val="24"/>
          <w:szCs w:val="24"/>
        </w:rPr>
        <w:t xml:space="preserve">ig. S2. It shows the solubility of CA and </w:t>
      </w:r>
      <w:proofErr w:type="spellStart"/>
      <w:r w:rsidRPr="00BD1C03">
        <w:rPr>
          <w:rFonts w:asciiTheme="majorBidi" w:hAnsiTheme="majorBidi" w:cstheme="majorBidi"/>
          <w:sz w:val="24"/>
          <w:szCs w:val="24"/>
        </w:rPr>
        <w:t>Phen</w:t>
      </w:r>
      <w:proofErr w:type="spellEnd"/>
      <w:r w:rsidRPr="00BD1C03">
        <w:rPr>
          <w:rFonts w:asciiTheme="majorBidi" w:hAnsiTheme="majorBidi" w:cstheme="majorBidi"/>
          <w:sz w:val="24"/>
          <w:szCs w:val="24"/>
        </w:rPr>
        <w:t xml:space="preserve"> are almost similar in the temperature range of 290-330K, after which the solubility of </w:t>
      </w:r>
      <w:proofErr w:type="spellStart"/>
      <w:r w:rsidRPr="00BD1C03">
        <w:rPr>
          <w:rFonts w:asciiTheme="majorBidi" w:hAnsiTheme="majorBidi" w:cstheme="majorBidi"/>
          <w:sz w:val="24"/>
          <w:szCs w:val="24"/>
        </w:rPr>
        <w:t>Phen</w:t>
      </w:r>
      <w:proofErr w:type="spellEnd"/>
      <w:r w:rsidRPr="00BD1C03">
        <w:rPr>
          <w:rFonts w:asciiTheme="majorBidi" w:hAnsiTheme="majorBidi" w:cstheme="majorBidi"/>
          <w:sz w:val="24"/>
          <w:szCs w:val="24"/>
        </w:rPr>
        <w:t xml:space="preserve"> rapidly increased and exceeded the solubility of PA. Therefore, it is assumed that </w:t>
      </w:r>
      <w:proofErr w:type="spellStart"/>
      <w:r w:rsidRPr="00BD1C03">
        <w:rPr>
          <w:rFonts w:asciiTheme="majorBidi" w:hAnsiTheme="majorBidi" w:cstheme="majorBidi"/>
          <w:sz w:val="24"/>
          <w:szCs w:val="24"/>
        </w:rPr>
        <w:t>Phen</w:t>
      </w:r>
      <w:proofErr w:type="spellEnd"/>
      <w:r w:rsidRPr="00BD1C03">
        <w:rPr>
          <w:rFonts w:asciiTheme="majorBidi" w:hAnsiTheme="majorBidi" w:cstheme="majorBidi"/>
          <w:sz w:val="24"/>
          <w:szCs w:val="24"/>
        </w:rPr>
        <w:t xml:space="preserve"> does not have a considerable effect on the solubility of PA in the same way that CA has no significant effect on the solubility of PA </w:t>
      </w:r>
      <w:r w:rsidRPr="00BD1C03">
        <w:rPr>
          <w:rFonts w:asciiTheme="majorBidi" w:hAnsiTheme="majorBidi" w:cstheme="majorBidi"/>
          <w:sz w:val="24"/>
          <w:szCs w:val="24"/>
        </w:rPr>
        <w:fldChar w:fldCharType="begin" w:fldLock="1"/>
      </w:r>
      <w:r w:rsidR="00B262B4" w:rsidRPr="00BD1C03">
        <w:rPr>
          <w:rFonts w:asciiTheme="majorBidi" w:hAnsiTheme="majorBidi" w:cstheme="majorBidi"/>
          <w:sz w:val="24"/>
          <w:szCs w:val="24"/>
        </w:rPr>
        <w:instrText>ADDIN CSL_CITATION {"citationItems":[{"id":"ITEM-1","itemData":{"DOI":"10.1021/acs.cgd.9b00490","ISSN":"1528-7483","abstract":"The striking ability of impurities to significantly influence crystallization processes is a topic of paramount interest in the pharmaceutical industry. Despite being present in small quantities, impurities tend to considerably change a crystallization process as well as the final crystalline product. In the present work, the effect of two markedly different impurities 4-nitrophenol and 4′-chloroacetanilide on the solubility, nucleation, and crystallization of paracetamol is described. In the first part of this work, the fundamentals are outlined and show that, although each impurity led to a small increase in solubility of paracetamol, their effect as a nucleation inhibitor was much more pronounced. Induction time experiments were used in conjunction with the classical nucleation theory to show that the impurities did not affect the solid–liquid interfacial energy but instead significantly reduced the kinetic factor, overall resulting in reduced nucleation rates. Intriguingly, both impurities influenced ...","author":[{"dropping-particle":"","family":"Keshavarz","given":"Leila","non-dropping-particle":"","parse-names":false,"suffix":""},{"dropping-particle":"","family":"Steendam","given":"René R. E.","non-dropping-particle":"","parse-names":false,"suffix":""},{"dropping-particle":"","family":"Blijlevens","given":"Melian A. R.","non-dropping-particle":"","parse-names":false,"suffix":""},{"dropping-particle":"","family":"Pishnamazi","given":"Mahboubeh","non-dropping-particle":"","parse-names":false,"suffix":""},{"dropping-particle":"","family":"Frawley","given":"Patrick J.","non-dropping-particle":"","parse-names":false,"suffix":""}],"container-title":"Crystal Growth &amp; Design","id":"ITEM-1","issue":"7","issued":{"date-parts":[["2019"]]},"page":"4193-4201","title":"Influence of Impurities on the Solubility, Nucleation, Crystallization, and Compressibility of Paracetamol","type":"article-journal","volume":"19"},"uris":["http://www.mendeley.com/documents/?uuid=433b3994-f09b-4026-8271-843336426b07"]}],"mendeley":{"formattedCitation":"[2]","plainTextFormattedCitation":"[2]","previouslyFormattedCitation":"[2]"},"properties":{"noteIndex":0},"schema":"https://github.com/citation-style-language/schema/raw/master/csl-citation.json"}</w:instrText>
      </w:r>
      <w:r w:rsidRPr="00BD1C03">
        <w:rPr>
          <w:rFonts w:asciiTheme="majorBidi" w:hAnsiTheme="majorBidi" w:cstheme="majorBidi"/>
          <w:sz w:val="24"/>
          <w:szCs w:val="24"/>
        </w:rPr>
        <w:fldChar w:fldCharType="separate"/>
      </w:r>
      <w:r w:rsidR="00B262B4" w:rsidRPr="00BD1C03">
        <w:rPr>
          <w:rFonts w:asciiTheme="majorBidi" w:hAnsiTheme="majorBidi" w:cstheme="majorBidi"/>
          <w:noProof/>
          <w:sz w:val="24"/>
          <w:szCs w:val="24"/>
        </w:rPr>
        <w:t>[2]</w:t>
      </w:r>
      <w:r w:rsidRPr="00BD1C03">
        <w:rPr>
          <w:rFonts w:asciiTheme="majorBidi" w:hAnsiTheme="majorBidi" w:cstheme="majorBidi"/>
          <w:sz w:val="24"/>
          <w:szCs w:val="24"/>
        </w:rPr>
        <w:fldChar w:fldCharType="end"/>
      </w:r>
      <w:r w:rsidRPr="00BD1C03">
        <w:rPr>
          <w:rFonts w:asciiTheme="majorBidi" w:hAnsiTheme="majorBidi" w:cstheme="majorBidi"/>
          <w:sz w:val="24"/>
          <w:szCs w:val="24"/>
        </w:rPr>
        <w:t xml:space="preserve">. </w:t>
      </w:r>
    </w:p>
    <w:p w14:paraId="409B7B1B" w14:textId="356605A7" w:rsidR="00210EF7" w:rsidRPr="00BD1C03" w:rsidRDefault="00210EF7" w:rsidP="00210EF7">
      <w:pPr>
        <w:spacing w:line="360" w:lineRule="auto"/>
        <w:jc w:val="both"/>
        <w:rPr>
          <w:rFonts w:asciiTheme="majorBidi" w:hAnsiTheme="majorBidi" w:cstheme="majorBidi"/>
          <w:sz w:val="24"/>
          <w:szCs w:val="24"/>
        </w:rPr>
      </w:pPr>
      <w:r w:rsidRPr="00BD1C03">
        <w:rPr>
          <w:rFonts w:asciiTheme="majorBidi" w:hAnsiTheme="majorBidi" w:cstheme="majorBidi"/>
          <w:sz w:val="24"/>
          <w:szCs w:val="24"/>
        </w:rPr>
        <w:t xml:space="preserve">Fig. S3 clearly indicates that the crystallizing solvent influences the crystal habit. This might be due to the solute-solvent interactions at various crystal–solution interfaces, which leads to altered roundness of the interfaces, changes in crystal growth kinetics and enhancement or inhibition of growth at certain crystal faces. The polarity of the solvent and the interaction that leads to its preferential adsorption at selected faces of the solute are critical factors for shape of crystal </w:t>
      </w:r>
      <w:r w:rsidRPr="00BD1C03">
        <w:rPr>
          <w:rFonts w:asciiTheme="majorBidi" w:hAnsiTheme="majorBidi" w:cstheme="majorBidi"/>
          <w:sz w:val="24"/>
          <w:szCs w:val="24"/>
        </w:rPr>
        <w:fldChar w:fldCharType="begin" w:fldLock="1"/>
      </w:r>
      <w:r w:rsidR="00B262B4" w:rsidRPr="00BD1C03">
        <w:rPr>
          <w:rFonts w:asciiTheme="majorBidi" w:hAnsiTheme="majorBidi" w:cstheme="majorBidi"/>
          <w:sz w:val="24"/>
          <w:szCs w:val="24"/>
        </w:rPr>
        <w:instrText>ADDIN CSL_CITATION {"citationItems":[{"id":"ITEM-1","itemData":{"DOI":"10.1021/op500308x","ISSN":"1520586X","abstract":"Phenacetin was used as a model pharmaceutical compound to investigate the impact of solvent choice and crystallization conditions on the crystal habit and size distribution of the final crystallized product. The crystal habit of phenacetin was explored using crash-cooling crystallization (kinetically controlled) and slow evaporative crystallization (thermodynamically controlled) in a wide range of organic solvents. In general, a variety of needle-type shapes (needles, rods, or blades) were recovered from fast-cooling crystallizations, in contrast to hexagonal blocks obtained from slow evaporative crystallizations. The solubility of phenacetin was measured in five solvents from 10-70°C to allow for the design of larger-scale crystallization experiments. Supersaturation and the nucleation temperature were independently controlled in isothermal desupersaturation experiments to investigate the impact of each on crystal habit and size. The crystal size (needle cross-sectional area) decreased with increasing supersaturation because of higher nucleation rates at higher supersaturation, and elongated needles were recovered. Increasing the nucleation temperature resulted in the production of larger crystals with decreased needle aspect ratios. Antisolvent phenacetin crystallizations were developed for three solvent/antisolvent systems using four different antisolvent addition rates to simultaneously probe the crystal habit and size of the final product. In general, increasing the antisolvent addition rate, associated with increased rate of generation of supersaturation, resulted in the production of shorter needle crystals.","author":[{"dropping-particle":"","family":"Croker","given":"Denise M.","non-dropping-particle":"","parse-names":false,"suffix":""},{"dropping-particle":"","family":"Kelly","given":"Dawn M.","non-dropping-particle":"","parse-names":false,"suffix":""},{"dropping-particle":"","family":"Horgan","given":"Danielle E.","non-dropping-particle":"","parse-names":false,"suffix":""},{"dropping-particle":"","family":"Hodnett","given":"B. Kieran","non-dropping-particle":"","parse-names":false,"suffix":""},{"dropping-particle":"","family":"Lawrence","given":"Simon E.","non-dropping-particle":"","parse-names":false,"suffix":""},{"dropping-particle":"","family":"Moynihan","given":"Humphrey A.","non-dropping-particle":"","parse-names":false,"suffix":""},{"dropping-particle":"","family":"Rasmuson","given":"Åke C.","non-dropping-particle":"","parse-names":false,"suffix":""}],"container-title":"Organic Process Research and Development","id":"ITEM-1","issue":"12","issued":{"date-parts":[["2015"]]},"page":"1826-1836","title":"Demonstrating the Influence of Solvent Choice and Crystallization Conditions on Phenacetin Crystal Habit and Particle Size Distribution","type":"article-journal","volume":"19"},"uris":["http://www.mendeley.com/documents/?uuid=cff7c493-053a-42b9-87ad-798996f75a42"]}],"mendeley":{"formattedCitation":"[3]","plainTextFormattedCitation":"[3]","previouslyFormattedCitation":"[3]"},"properties":{"noteIndex":0},"schema":"https://github.com/citation-style-language/schema/raw/master/csl-citation.json"}</w:instrText>
      </w:r>
      <w:r w:rsidRPr="00BD1C03">
        <w:rPr>
          <w:rFonts w:asciiTheme="majorBidi" w:hAnsiTheme="majorBidi" w:cstheme="majorBidi"/>
          <w:sz w:val="24"/>
          <w:szCs w:val="24"/>
        </w:rPr>
        <w:fldChar w:fldCharType="separate"/>
      </w:r>
      <w:r w:rsidR="00B262B4" w:rsidRPr="00BD1C03">
        <w:rPr>
          <w:rFonts w:asciiTheme="majorBidi" w:hAnsiTheme="majorBidi" w:cstheme="majorBidi"/>
          <w:noProof/>
          <w:sz w:val="24"/>
          <w:szCs w:val="24"/>
        </w:rPr>
        <w:t>[3]</w:t>
      </w:r>
      <w:r w:rsidRPr="00BD1C03">
        <w:rPr>
          <w:rFonts w:asciiTheme="majorBidi" w:hAnsiTheme="majorBidi" w:cstheme="majorBidi"/>
          <w:sz w:val="24"/>
          <w:szCs w:val="24"/>
        </w:rPr>
        <w:fldChar w:fldCharType="end"/>
      </w:r>
      <w:r w:rsidRPr="00BD1C03">
        <w:rPr>
          <w:rFonts w:asciiTheme="majorBidi" w:hAnsiTheme="majorBidi" w:cstheme="majorBidi"/>
          <w:sz w:val="24"/>
          <w:szCs w:val="24"/>
        </w:rPr>
        <w:t xml:space="preserve">. </w:t>
      </w:r>
    </w:p>
    <w:p w14:paraId="27CE9327" w14:textId="77777777" w:rsidR="00210EF7" w:rsidRPr="00BD1C03" w:rsidRDefault="00210EF7" w:rsidP="00210EF7">
      <w:pPr>
        <w:pStyle w:val="Caption-Top"/>
        <w:spacing w:line="276" w:lineRule="auto"/>
        <w:rPr>
          <w:rFonts w:asciiTheme="majorBidi" w:hAnsiTheme="majorBidi" w:cstheme="majorBidi"/>
          <w:sz w:val="24"/>
          <w:szCs w:val="24"/>
        </w:rPr>
      </w:pPr>
      <w:r w:rsidRPr="00BD1C03">
        <w:rPr>
          <w:rFonts w:asciiTheme="majorBidi" w:hAnsiTheme="majorBidi" w:cstheme="majorBidi"/>
          <w:noProof/>
          <w:sz w:val="24"/>
          <w:szCs w:val="24"/>
          <w:lang w:eastAsia="en-GB"/>
        </w:rPr>
        <w:lastRenderedPageBreak/>
        <w:drawing>
          <wp:inline distT="0" distB="0" distL="0" distR="0" wp14:anchorId="1E994D60" wp14:editId="7A3A2F6B">
            <wp:extent cx="3111807" cy="2335862"/>
            <wp:effectExtent l="0" t="0" r="0" b="7620"/>
            <wp:docPr id="14" name="Picture 14" descr="C:\Users\leila.keshavarz\Documents\compressibility of phenacetin\solubility p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a.keshavarz\Documents\compressibility of phenacetin\solubility ph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3483" cy="2344626"/>
                    </a:xfrm>
                    <a:prstGeom prst="rect">
                      <a:avLst/>
                    </a:prstGeom>
                    <a:noFill/>
                    <a:ln>
                      <a:noFill/>
                    </a:ln>
                  </pic:spPr>
                </pic:pic>
              </a:graphicData>
            </a:graphic>
          </wp:inline>
        </w:drawing>
      </w:r>
      <w:r w:rsidRPr="00BD1C03">
        <w:rPr>
          <w:rFonts w:asciiTheme="majorBidi" w:hAnsiTheme="majorBidi" w:cstheme="majorBidi"/>
          <w:sz w:val="24"/>
          <w:szCs w:val="24"/>
        </w:rPr>
        <w:t xml:space="preserve"> </w:t>
      </w:r>
    </w:p>
    <w:p w14:paraId="3AEFF890" w14:textId="77777777" w:rsidR="00210EF7" w:rsidRPr="00BD1C03" w:rsidRDefault="00210EF7" w:rsidP="00210EF7">
      <w:pPr>
        <w:pStyle w:val="Caption-Top"/>
        <w:rPr>
          <w:rFonts w:asciiTheme="majorBidi" w:hAnsiTheme="majorBidi" w:cstheme="majorBidi"/>
        </w:rPr>
      </w:pPr>
      <w:r w:rsidRPr="00BD1C03">
        <w:rPr>
          <w:rFonts w:asciiTheme="majorBidi" w:hAnsiTheme="majorBidi" w:cstheme="majorBidi"/>
        </w:rPr>
        <w:t xml:space="preserve">Figure S1. Solubility of phenacetin versus temperature T for IPA (■) and MeOH (▲). Data was fitted using the </w:t>
      </w:r>
      <w:proofErr w:type="spellStart"/>
      <w:r w:rsidRPr="00BD1C03">
        <w:rPr>
          <w:rFonts w:asciiTheme="majorBidi" w:hAnsiTheme="majorBidi" w:cstheme="majorBidi"/>
        </w:rPr>
        <w:t>Apelblat</w:t>
      </w:r>
      <w:proofErr w:type="spellEnd"/>
      <w:r w:rsidRPr="00BD1C03">
        <w:rPr>
          <w:rFonts w:asciiTheme="majorBidi" w:hAnsiTheme="majorBidi" w:cstheme="majorBidi"/>
        </w:rPr>
        <w:t xml:space="preserve"> model. </w:t>
      </w:r>
    </w:p>
    <w:p w14:paraId="231F8B66" w14:textId="77777777" w:rsidR="00210EF7" w:rsidRPr="00BD1C03" w:rsidRDefault="00210EF7" w:rsidP="00210EF7">
      <w:pPr>
        <w:jc w:val="center"/>
        <w:rPr>
          <w:lang w:val="en-GB"/>
        </w:rPr>
      </w:pPr>
      <w:r w:rsidRPr="00BD1C03">
        <w:rPr>
          <w:noProof/>
          <w:lang w:val="en-GB" w:eastAsia="en-GB"/>
        </w:rPr>
        <w:drawing>
          <wp:inline distT="0" distB="0" distL="0" distR="0" wp14:anchorId="253A0A05" wp14:editId="3E9F15E4">
            <wp:extent cx="3194685" cy="2468880"/>
            <wp:effectExtent l="0" t="0" r="571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2468880"/>
                    </a:xfrm>
                    <a:prstGeom prst="rect">
                      <a:avLst/>
                    </a:prstGeom>
                    <a:noFill/>
                  </pic:spPr>
                </pic:pic>
              </a:graphicData>
            </a:graphic>
          </wp:inline>
        </w:drawing>
      </w:r>
    </w:p>
    <w:p w14:paraId="0C338ECA" w14:textId="1B4D0D7C" w:rsidR="00210EF7" w:rsidRPr="00BD1C03" w:rsidRDefault="00210EF7" w:rsidP="00210EF7">
      <w:pPr>
        <w:pStyle w:val="Caption-Top"/>
        <w:rPr>
          <w:rFonts w:asciiTheme="majorBidi" w:hAnsiTheme="majorBidi" w:cstheme="majorBidi"/>
          <w:sz w:val="24"/>
          <w:szCs w:val="24"/>
        </w:rPr>
      </w:pPr>
      <w:r w:rsidRPr="00BD1C03">
        <w:rPr>
          <w:rFonts w:asciiTheme="majorBidi" w:hAnsiTheme="majorBidi" w:cstheme="majorBidi"/>
        </w:rPr>
        <w:t xml:space="preserve"> Figure S2. Comparison of solubility of PA (■) </w:t>
      </w:r>
      <w:r w:rsidRPr="00BD1C03">
        <w:rPr>
          <w:rFonts w:asciiTheme="majorBidi" w:hAnsiTheme="majorBidi" w:cstheme="majorBidi"/>
        </w:rPr>
        <w:fldChar w:fldCharType="begin" w:fldLock="1"/>
      </w:r>
      <w:r w:rsidR="00B262B4" w:rsidRPr="00BD1C03">
        <w:rPr>
          <w:rFonts w:asciiTheme="majorBidi" w:hAnsiTheme="majorBidi" w:cstheme="majorBidi"/>
        </w:rPr>
        <w:instrText>ADDIN CSL_CITATION {"citationItems":[{"id":"ITEM-1","itemData":{"DOI":"10.1021/acs.jced.7b00118","ISBN":"9781510858121","ISSN":"15205134","abstract":"This paper describes a new nonintrusive method for the determination of high-temperature solubility data. Accurate high-temperature solubility data is vital to many industrial manufacturing processes such as cooling crystallization with direct implications for yield, throughput, and solvent usage. However, the provision of such data is notably absent from published literature for many active pharmaceutical ingredients. Pressurized-synthetic methodology is presented as a new technique for determining high-temperature solubility data. Paracetamol (acetaminophen) is used as a reference active pharmaceutical ingredient to validate the methodology. Solubility data determined using the pressurized-synthetic approach is reported for several pure solvents across a significantly extended temperature range. In the case of methanol, solubility data is obtained up to 354.15 K, above the atmospheric boiling point of the solvent, 337.65 K, and far in excess of the temperature range for which data exists in the literature, 268.15-303.15 K. The data obtained using the pressurized-synthetic method is validated against an extended gravimetric data set at temperatures up to the atmospheric boiling point for each solvent. Sensitivity studies were conducted to determine the influence of factors such as temperature gradient on the ultimate solubility determination. A temperature-based standard deviation of 0.1 K was established for paracetamol in 2-propanol at 303.15 K, comparing favorably with the temperature-based equivalent standard deviation of 0.2 K for the gravimetric approach. Binary interaction parameters for the pressurized-synthetic solubility data are derived and estimated for four different activity coefficient models, namely Margules, Van-Laar, Wilson, and non-random two-liquid (NRTL), along with the empirical solubility equation of Apelblat. For each solvent, the quality of fit of each of the activity coefficient models is analyzed. The NRTL model was found to best fit the experimental data for methanol, ethanol, 2-propanol, and acetone with mean square errors of 5.73 × 10-5, 3.00 × 10-4, 1.70 × 10-4, and 7.35 × 10-5, respectively. The pressurized-synthetic approach provides a nonintrusive, validated, and readily automated approach for the provision of valuable high-temperature solubility data that can be readily extended to binary and ternary systems.","author":[{"dropping-particle":"","family":"Souza","given":"Brian","non-dropping-particle":"De","parse-names":false,"suffix":""},{"dropping-particle":"","family":"Keshavarz","given":"Leila","non-dropping-particle":"","parse-names":false,"suffix":""},{"dropping-particle":"","family":"Cogoni","given":"Giuseppe","non-dropping-particle":"","parse-names":false,"suffix":""},{"dropping-particle":"","family":"Frawley","given":"Patrick J.","non-dropping-particle":"","parse-names":false,"suffix":""}],"container-title":"Pharmaceutical Discovery, Development and Manufacturing Forum 2017 - Core Programming Area at the 2017 AIChE Annual Meeting","id":"ITEM-1","issued":{"date-parts":[["2017"]]},"page":"72-83","title":"Pressurized-synthetic methodology for solubility determination at elevated temperatures with application to paracetamol in pure solvents","type":"article-journal","volume":"2017-Octob"},"uris":["http://www.mendeley.com/documents/?uuid=d55206de-4af3-40d8-80db-655f3512285a","http://www.mendeley.com/documents/?uuid=3a1e7cc0-b7fb-4bf0-9b89-dc4d926f761a","http://www.mendeley.com/documents/?uuid=f0d3df97-4527-4701-af71-59aa3b36d9c3"]}],"mendeley":{"formattedCitation":"[1]","plainTextFormattedCitation":"[1]","previouslyFormattedCitation":"[1]"},"properties":{"noteIndex":0},"schema":"https://github.com/citation-style-language/schema/raw/master/csl-citation.json"}</w:instrText>
      </w:r>
      <w:r w:rsidRPr="00BD1C03">
        <w:rPr>
          <w:rFonts w:asciiTheme="majorBidi" w:hAnsiTheme="majorBidi" w:cstheme="majorBidi"/>
        </w:rPr>
        <w:fldChar w:fldCharType="separate"/>
      </w:r>
      <w:r w:rsidR="00B262B4" w:rsidRPr="00BD1C03">
        <w:rPr>
          <w:rFonts w:asciiTheme="majorBidi" w:hAnsiTheme="majorBidi" w:cstheme="majorBidi"/>
          <w:noProof/>
        </w:rPr>
        <w:t>[1]</w:t>
      </w:r>
      <w:r w:rsidRPr="00BD1C03">
        <w:rPr>
          <w:rFonts w:asciiTheme="majorBidi" w:hAnsiTheme="majorBidi" w:cstheme="majorBidi"/>
        </w:rPr>
        <w:fldChar w:fldCharType="end"/>
      </w:r>
      <w:r w:rsidRPr="00BD1C03">
        <w:rPr>
          <w:rFonts w:asciiTheme="majorBidi" w:hAnsiTheme="majorBidi" w:cstheme="majorBidi"/>
        </w:rPr>
        <w:t xml:space="preserve">, CA </w:t>
      </w:r>
      <w:r w:rsidRPr="00BD1C03">
        <w:rPr>
          <w:rFonts w:asciiTheme="majorBidi" w:hAnsiTheme="majorBidi" w:cstheme="majorBidi"/>
        </w:rPr>
        <w:fldChar w:fldCharType="begin" w:fldLock="1"/>
      </w:r>
      <w:r w:rsidR="00B262B4" w:rsidRPr="00BD1C03">
        <w:rPr>
          <w:rFonts w:asciiTheme="majorBidi" w:hAnsiTheme="majorBidi" w:cstheme="majorBidi"/>
        </w:rPr>
        <w:instrText>ADDIN CSL_CITATION {"citationItems":[{"id":"ITEM-1","itemData":{"DOI":"10.1021/acs.cgd.9b00490","ISSN":"1528-7483","abstract":"The striking ability of impurities to significantly influence crystallization processes is a topic of paramount interest in the pharmaceutical industry. Despite being present in small quantities, impurities tend to considerably change a crystallization process as well as the final crystalline product. In the present work, the effect of two markedly different impurities 4-nitrophenol and 4′-chloroacetanilide on the solubility, nucleation, and crystallization of paracetamol is described. In the first part of this work, the fundamentals are outlined and show that, although each impurity led to a small increase in solubility of paracetamol, their effect as a nucleation inhibitor was much more pronounced. Induction time experiments were used in conjunction with the classical nucleation theory to show that the impurities did not affect the solid–liquid interfacial energy but instead significantly reduced the kinetic factor, overall resulting in reduced nucleation rates. Intriguingly, both impurities influenced ...","author":[{"dropping-particle":"","family":"Keshavarz","given":"Leila","non-dropping-particle":"","parse-names":false,"suffix":""},{"dropping-particle":"","family":"Steendam","given":"René R. E.","non-dropping-particle":"","parse-names":false,"suffix":""},{"dropping-particle":"","family":"Blijlevens","given":"Melian A. R.","non-dropping-particle":"","parse-names":false,"suffix":""},{"dropping-particle":"","family":"Pishnamazi","given":"Mahboubeh","non-dropping-particle":"","parse-names":false,"suffix":""},{"dropping-particle":"","family":"Frawley","given":"Patrick J.","non-dropping-particle":"","parse-names":false,"suffix":""}],"container-title":"Crystal Growth &amp; Design","id":"ITEM-1","issue":"7","issued":{"date-parts":[["2019"]]},"page":"4193-4201","title":"Influence of Impurities on the Solubility, Nucleation, Crystallization, and Compressibility of Paracetamol","type":"article-journal","volume":"19"},"uris":["http://www.mendeley.com/documents/?uuid=433b3994-f09b-4026-8271-843336426b07"]}],"mendeley":{"formattedCitation":"[2]","plainTextFormattedCitation":"[2]","previouslyFormattedCitation":"[2]"},"properties":{"noteIndex":0},"schema":"https://github.com/citation-style-language/schema/raw/master/csl-citation.json"}</w:instrText>
      </w:r>
      <w:r w:rsidRPr="00BD1C03">
        <w:rPr>
          <w:rFonts w:asciiTheme="majorBidi" w:hAnsiTheme="majorBidi" w:cstheme="majorBidi"/>
        </w:rPr>
        <w:fldChar w:fldCharType="separate"/>
      </w:r>
      <w:r w:rsidR="00B262B4" w:rsidRPr="00BD1C03">
        <w:rPr>
          <w:rFonts w:asciiTheme="majorBidi" w:hAnsiTheme="majorBidi" w:cstheme="majorBidi"/>
          <w:noProof/>
        </w:rPr>
        <w:t>[2]</w:t>
      </w:r>
      <w:r w:rsidRPr="00BD1C03">
        <w:rPr>
          <w:rFonts w:asciiTheme="majorBidi" w:hAnsiTheme="majorBidi" w:cstheme="majorBidi"/>
        </w:rPr>
        <w:fldChar w:fldCharType="end"/>
      </w:r>
      <w:r w:rsidRPr="00BD1C03">
        <w:rPr>
          <w:rFonts w:asciiTheme="majorBidi" w:hAnsiTheme="majorBidi" w:cstheme="majorBidi"/>
        </w:rPr>
        <w:t xml:space="preserve"> (</w:t>
      </w:r>
      <w:r w:rsidRPr="00BD1C03">
        <w:rPr>
          <w:rFonts w:asciiTheme="majorBidi" w:hAnsiTheme="majorBidi" w:cstheme="majorBidi"/>
          <w:sz w:val="32"/>
          <w:szCs w:val="32"/>
        </w:rPr>
        <w:t>♦</w:t>
      </w:r>
      <w:r w:rsidRPr="00BD1C03">
        <w:rPr>
          <w:rFonts w:asciiTheme="majorBidi" w:hAnsiTheme="majorBidi" w:cstheme="majorBidi"/>
        </w:rPr>
        <w:t xml:space="preserve">) and </w:t>
      </w:r>
      <w:proofErr w:type="spellStart"/>
      <w:r w:rsidRPr="00BD1C03">
        <w:rPr>
          <w:rFonts w:asciiTheme="majorBidi" w:hAnsiTheme="majorBidi" w:cstheme="majorBidi"/>
        </w:rPr>
        <w:t>Phen</w:t>
      </w:r>
      <w:proofErr w:type="spellEnd"/>
      <w:r w:rsidRPr="00BD1C03">
        <w:rPr>
          <w:rFonts w:asciiTheme="majorBidi" w:hAnsiTheme="majorBidi" w:cstheme="majorBidi"/>
        </w:rPr>
        <w:t xml:space="preserve"> (▲) versus temperature T in 2-propanol.</w:t>
      </w:r>
      <w:r w:rsidRPr="00BD1C03">
        <w:rPr>
          <w:rFonts w:asciiTheme="majorBidi" w:hAnsiTheme="majorBidi" w:cstheme="majorBid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210EF7" w:rsidRPr="00BD1C03" w14:paraId="4C65695E" w14:textId="77777777" w:rsidTr="005579CC">
        <w:tc>
          <w:tcPr>
            <w:tcW w:w="4512" w:type="dxa"/>
          </w:tcPr>
          <w:p w14:paraId="30F9A0D8" w14:textId="77777777" w:rsidR="00210EF7" w:rsidRPr="00BD1C03" w:rsidRDefault="00210EF7" w:rsidP="005579CC">
            <w:pPr>
              <w:spacing w:before="100"/>
              <w:jc w:val="right"/>
              <w:rPr>
                <w:szCs w:val="24"/>
              </w:rPr>
            </w:pPr>
            <w:r w:rsidRPr="00BD1C03">
              <w:rPr>
                <w:noProof/>
                <w:szCs w:val="24"/>
                <w:lang w:eastAsia="en-GB"/>
              </w:rPr>
              <w:drawing>
                <wp:inline distT="0" distB="0" distL="0" distR="0" wp14:anchorId="7817AEE1" wp14:editId="3F9CF2E3">
                  <wp:extent cx="1848678" cy="1386600"/>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515" cy="1390978"/>
                          </a:xfrm>
                          <a:prstGeom prst="rect">
                            <a:avLst/>
                          </a:prstGeom>
                          <a:noFill/>
                          <a:ln>
                            <a:noFill/>
                          </a:ln>
                        </pic:spPr>
                      </pic:pic>
                    </a:graphicData>
                  </a:graphic>
                </wp:inline>
              </w:drawing>
            </w:r>
          </w:p>
        </w:tc>
        <w:tc>
          <w:tcPr>
            <w:tcW w:w="4514" w:type="dxa"/>
          </w:tcPr>
          <w:p w14:paraId="739C408D" w14:textId="77777777" w:rsidR="00210EF7" w:rsidRPr="00BD1C03" w:rsidRDefault="00210EF7" w:rsidP="005579CC">
            <w:pPr>
              <w:spacing w:before="100"/>
              <w:rPr>
                <w:szCs w:val="24"/>
              </w:rPr>
            </w:pPr>
            <w:r w:rsidRPr="00BD1C03">
              <w:rPr>
                <w:noProof/>
                <w:szCs w:val="24"/>
                <w:lang w:eastAsia="en-GB"/>
              </w:rPr>
              <w:drawing>
                <wp:inline distT="0" distB="0" distL="0" distR="0" wp14:anchorId="031EBFC4" wp14:editId="4DAF78C0">
                  <wp:extent cx="1857707" cy="1393371"/>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248" cy="1399777"/>
                          </a:xfrm>
                          <a:prstGeom prst="rect">
                            <a:avLst/>
                          </a:prstGeom>
                          <a:noFill/>
                          <a:ln>
                            <a:noFill/>
                          </a:ln>
                        </pic:spPr>
                      </pic:pic>
                    </a:graphicData>
                  </a:graphic>
                </wp:inline>
              </w:drawing>
            </w:r>
          </w:p>
        </w:tc>
      </w:tr>
    </w:tbl>
    <w:p w14:paraId="698816A2" w14:textId="77777777" w:rsidR="00210EF7" w:rsidRPr="00BD1C03" w:rsidRDefault="00210EF7" w:rsidP="00210EF7">
      <w:pPr>
        <w:pStyle w:val="Caption-Top"/>
        <w:rPr>
          <w:sz w:val="24"/>
          <w:szCs w:val="24"/>
        </w:rPr>
      </w:pPr>
      <w:r w:rsidRPr="00BD1C03">
        <w:t>Figure S3. SEM images of recrystallized phenacetin with 2-propanol (a) and methanol (b).</w:t>
      </w:r>
    </w:p>
    <w:p w14:paraId="24D93CBD" w14:textId="77777777" w:rsidR="00210EF7" w:rsidRPr="00BD1C03" w:rsidRDefault="00210EF7" w:rsidP="00210EF7">
      <w:pPr>
        <w:rPr>
          <w:lang w:val="en-GB"/>
        </w:rPr>
      </w:pPr>
    </w:p>
    <w:p w14:paraId="3CFBEA1D" w14:textId="77777777" w:rsidR="00210EF7" w:rsidRPr="00BD1C03" w:rsidRDefault="00210EF7" w:rsidP="00210EF7">
      <w:pPr>
        <w:pStyle w:val="Caption-Top"/>
        <w:rPr>
          <w:rFonts w:asciiTheme="majorBidi" w:hAnsiTheme="majorBidi" w:cstheme="majorBidi"/>
        </w:rPr>
      </w:pPr>
      <w:r w:rsidRPr="00BD1C03">
        <w:rPr>
          <w:rFonts w:asciiTheme="majorBidi" w:hAnsiTheme="majorBidi" w:cstheme="majorBidi"/>
        </w:rPr>
        <w:lastRenderedPageBreak/>
        <w:t xml:space="preserve">Table S1. Pressurized-Synthetic Solubility and Calculated Solubility of Phenacetin as Calculated Using </w:t>
      </w:r>
      <w:proofErr w:type="spellStart"/>
      <w:r w:rsidRPr="00BD1C03">
        <w:rPr>
          <w:rFonts w:asciiTheme="majorBidi" w:hAnsiTheme="majorBidi" w:cstheme="majorBidi"/>
        </w:rPr>
        <w:t>Apelblat</w:t>
      </w:r>
      <w:proofErr w:type="spellEnd"/>
    </w:p>
    <w:tbl>
      <w:tblPr>
        <w:tblStyle w:val="TableGrid"/>
        <w:tblW w:w="35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9"/>
        <w:gridCol w:w="1142"/>
        <w:gridCol w:w="39"/>
        <w:gridCol w:w="1122"/>
        <w:gridCol w:w="58"/>
      </w:tblGrid>
      <w:tr w:rsidR="00210EF7" w:rsidRPr="00BD1C03" w14:paraId="2264285A" w14:textId="77777777" w:rsidTr="005579CC">
        <w:trPr>
          <w:trHeight w:val="426"/>
          <w:jc w:val="center"/>
        </w:trPr>
        <w:tc>
          <w:tcPr>
            <w:tcW w:w="1180" w:type="dxa"/>
            <w:gridSpan w:val="2"/>
            <w:tcBorders>
              <w:top w:val="single" w:sz="4" w:space="0" w:color="auto"/>
              <w:bottom w:val="single" w:sz="4" w:space="0" w:color="auto"/>
            </w:tcBorders>
            <w:vAlign w:val="center"/>
            <w:hideMark/>
          </w:tcPr>
          <w:p w14:paraId="27513101"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i/>
                <w:iCs/>
                <w:szCs w:val="24"/>
              </w:rPr>
              <w:t>T</w:t>
            </w:r>
            <w:r w:rsidRPr="00BD1C03">
              <w:rPr>
                <w:rFonts w:asciiTheme="majorBidi" w:hAnsiTheme="majorBidi" w:cstheme="majorBidi"/>
                <w:szCs w:val="24"/>
              </w:rPr>
              <w:t xml:space="preserve"> (K)</w:t>
            </w:r>
          </w:p>
        </w:tc>
        <w:tc>
          <w:tcPr>
            <w:tcW w:w="1181" w:type="dxa"/>
            <w:gridSpan w:val="2"/>
            <w:tcBorders>
              <w:top w:val="single" w:sz="4" w:space="0" w:color="auto"/>
              <w:bottom w:val="single" w:sz="4" w:space="0" w:color="auto"/>
            </w:tcBorders>
            <w:vAlign w:val="center"/>
            <w:hideMark/>
          </w:tcPr>
          <w:p w14:paraId="70D1BE5D" w14:textId="77777777" w:rsidR="00210EF7" w:rsidRPr="00BD1C03" w:rsidRDefault="00210EF7" w:rsidP="005579CC">
            <w:pPr>
              <w:jc w:val="center"/>
              <w:rPr>
                <w:rFonts w:asciiTheme="majorBidi" w:hAnsiTheme="majorBidi" w:cstheme="majorBidi"/>
                <w:szCs w:val="24"/>
                <w:lang w:val="en-US" w:eastAsia="ja-JP"/>
              </w:rPr>
            </w:pPr>
            <w:proofErr w:type="spellStart"/>
            <w:r w:rsidRPr="00BD1C03">
              <w:rPr>
                <w:rFonts w:asciiTheme="majorBidi" w:hAnsiTheme="majorBidi" w:cstheme="majorBidi"/>
                <w:i/>
                <w:iCs/>
                <w:szCs w:val="24"/>
              </w:rPr>
              <w:t>C</w:t>
            </w:r>
            <w:r w:rsidRPr="00BD1C03">
              <w:rPr>
                <w:rFonts w:asciiTheme="majorBidi" w:hAnsiTheme="majorBidi" w:cstheme="majorBidi"/>
                <w:szCs w:val="24"/>
                <w:vertAlign w:val="superscript"/>
              </w:rPr>
              <w:t>exp</w:t>
            </w:r>
            <w:proofErr w:type="spellEnd"/>
            <w:r w:rsidRPr="00BD1C03">
              <w:rPr>
                <w:rFonts w:asciiTheme="majorBidi" w:hAnsiTheme="majorBidi" w:cstheme="majorBidi"/>
                <w:szCs w:val="24"/>
              </w:rPr>
              <w:t xml:space="preserve"> (g/kg)</w:t>
            </w:r>
          </w:p>
        </w:tc>
        <w:tc>
          <w:tcPr>
            <w:tcW w:w="1180" w:type="dxa"/>
            <w:gridSpan w:val="2"/>
            <w:tcBorders>
              <w:top w:val="single" w:sz="4" w:space="0" w:color="auto"/>
              <w:bottom w:val="single" w:sz="4" w:space="0" w:color="auto"/>
            </w:tcBorders>
            <w:vAlign w:val="center"/>
            <w:hideMark/>
          </w:tcPr>
          <w:p w14:paraId="3980EF2B" w14:textId="77777777" w:rsidR="00210EF7" w:rsidRPr="00BD1C03" w:rsidRDefault="00210EF7" w:rsidP="005579CC">
            <w:pPr>
              <w:jc w:val="center"/>
              <w:rPr>
                <w:rFonts w:asciiTheme="majorBidi" w:hAnsiTheme="majorBidi" w:cstheme="majorBidi"/>
                <w:szCs w:val="24"/>
                <w:lang w:val="en-US" w:eastAsia="ja-JP"/>
              </w:rPr>
            </w:pPr>
            <w:proofErr w:type="spellStart"/>
            <w:r w:rsidRPr="00BD1C03">
              <w:rPr>
                <w:rFonts w:asciiTheme="majorBidi" w:hAnsiTheme="majorBidi" w:cstheme="majorBidi"/>
                <w:i/>
                <w:iCs/>
                <w:szCs w:val="24"/>
              </w:rPr>
              <w:t>C</w:t>
            </w:r>
            <w:r w:rsidRPr="00BD1C03">
              <w:rPr>
                <w:rFonts w:asciiTheme="majorBidi" w:hAnsiTheme="majorBidi" w:cstheme="majorBidi"/>
                <w:szCs w:val="24"/>
                <w:vertAlign w:val="superscript"/>
              </w:rPr>
              <w:t>cal</w:t>
            </w:r>
            <w:proofErr w:type="spellEnd"/>
            <w:r w:rsidRPr="00BD1C03">
              <w:rPr>
                <w:rFonts w:asciiTheme="majorBidi" w:hAnsiTheme="majorBidi" w:cstheme="majorBidi"/>
                <w:szCs w:val="24"/>
              </w:rPr>
              <w:t xml:space="preserve"> (g/kg)</w:t>
            </w:r>
          </w:p>
        </w:tc>
      </w:tr>
      <w:tr w:rsidR="00210EF7" w:rsidRPr="00BD1C03" w14:paraId="0104939E" w14:textId="77777777" w:rsidTr="005579CC">
        <w:trPr>
          <w:trHeight w:val="216"/>
          <w:jc w:val="center"/>
        </w:trPr>
        <w:tc>
          <w:tcPr>
            <w:tcW w:w="1180" w:type="dxa"/>
            <w:gridSpan w:val="2"/>
            <w:tcBorders>
              <w:top w:val="single" w:sz="4" w:space="0" w:color="auto"/>
            </w:tcBorders>
            <w:vAlign w:val="center"/>
          </w:tcPr>
          <w:p w14:paraId="776CD577" w14:textId="77777777" w:rsidR="00210EF7" w:rsidRPr="00BD1C03" w:rsidRDefault="00210EF7" w:rsidP="005579CC">
            <w:pPr>
              <w:jc w:val="center"/>
              <w:rPr>
                <w:rFonts w:asciiTheme="majorBidi" w:hAnsiTheme="majorBidi" w:cstheme="majorBidi"/>
                <w:szCs w:val="24"/>
              </w:rPr>
            </w:pPr>
          </w:p>
        </w:tc>
        <w:tc>
          <w:tcPr>
            <w:tcW w:w="1181" w:type="dxa"/>
            <w:gridSpan w:val="2"/>
            <w:tcBorders>
              <w:top w:val="single" w:sz="4" w:space="0" w:color="auto"/>
            </w:tcBorders>
            <w:vAlign w:val="center"/>
          </w:tcPr>
          <w:p w14:paraId="25462F17"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IPA</w:t>
            </w:r>
          </w:p>
        </w:tc>
        <w:tc>
          <w:tcPr>
            <w:tcW w:w="1180" w:type="dxa"/>
            <w:gridSpan w:val="2"/>
            <w:tcBorders>
              <w:top w:val="single" w:sz="4" w:space="0" w:color="auto"/>
            </w:tcBorders>
            <w:vAlign w:val="center"/>
          </w:tcPr>
          <w:p w14:paraId="10895EC0" w14:textId="77777777" w:rsidR="00210EF7" w:rsidRPr="00BD1C03" w:rsidRDefault="00210EF7" w:rsidP="005579CC">
            <w:pPr>
              <w:jc w:val="center"/>
              <w:rPr>
                <w:rFonts w:asciiTheme="majorBidi" w:hAnsiTheme="majorBidi" w:cstheme="majorBidi"/>
                <w:szCs w:val="24"/>
              </w:rPr>
            </w:pPr>
          </w:p>
        </w:tc>
      </w:tr>
      <w:tr w:rsidR="00210EF7" w:rsidRPr="00BD1C03" w14:paraId="43C1790B" w14:textId="77777777" w:rsidTr="005579CC">
        <w:trPr>
          <w:trHeight w:val="216"/>
          <w:jc w:val="center"/>
        </w:trPr>
        <w:tc>
          <w:tcPr>
            <w:tcW w:w="1180" w:type="dxa"/>
            <w:gridSpan w:val="2"/>
            <w:tcBorders>
              <w:top w:val="single" w:sz="4" w:space="0" w:color="auto"/>
            </w:tcBorders>
            <w:vAlign w:val="center"/>
            <w:hideMark/>
          </w:tcPr>
          <w:p w14:paraId="279FB9CA" w14:textId="77777777" w:rsidR="00210EF7" w:rsidRPr="00BD1C03" w:rsidRDefault="00210EF7" w:rsidP="005579CC">
            <w:pPr>
              <w:jc w:val="center"/>
              <w:rPr>
                <w:rFonts w:asciiTheme="majorBidi" w:hAnsiTheme="majorBidi" w:cstheme="majorBidi"/>
                <w:szCs w:val="24"/>
              </w:rPr>
            </w:pPr>
            <w:bookmarkStart w:id="0" w:name="_Hlk12873776"/>
            <w:r w:rsidRPr="00BD1C03">
              <w:rPr>
                <w:rFonts w:asciiTheme="majorBidi" w:hAnsiTheme="majorBidi" w:cstheme="majorBidi"/>
                <w:szCs w:val="24"/>
              </w:rPr>
              <w:t>295.92</w:t>
            </w:r>
          </w:p>
        </w:tc>
        <w:tc>
          <w:tcPr>
            <w:tcW w:w="1181" w:type="dxa"/>
            <w:gridSpan w:val="2"/>
            <w:tcBorders>
              <w:top w:val="single" w:sz="4" w:space="0" w:color="auto"/>
            </w:tcBorders>
            <w:vAlign w:val="center"/>
            <w:hideMark/>
          </w:tcPr>
          <w:p w14:paraId="35A7465D"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29.43</w:t>
            </w:r>
          </w:p>
        </w:tc>
        <w:tc>
          <w:tcPr>
            <w:tcW w:w="1180" w:type="dxa"/>
            <w:gridSpan w:val="2"/>
            <w:tcBorders>
              <w:top w:val="single" w:sz="4" w:space="0" w:color="auto"/>
            </w:tcBorders>
            <w:vAlign w:val="center"/>
            <w:hideMark/>
          </w:tcPr>
          <w:p w14:paraId="6D4323CE"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23.14</w:t>
            </w:r>
          </w:p>
        </w:tc>
      </w:tr>
      <w:tr w:rsidR="00210EF7" w:rsidRPr="00BD1C03" w14:paraId="05DDFECE" w14:textId="77777777" w:rsidTr="005579CC">
        <w:trPr>
          <w:trHeight w:val="216"/>
          <w:jc w:val="center"/>
        </w:trPr>
        <w:tc>
          <w:tcPr>
            <w:tcW w:w="1180" w:type="dxa"/>
            <w:gridSpan w:val="2"/>
            <w:vAlign w:val="center"/>
            <w:hideMark/>
          </w:tcPr>
          <w:p w14:paraId="704D615A"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303.19</w:t>
            </w:r>
          </w:p>
        </w:tc>
        <w:tc>
          <w:tcPr>
            <w:tcW w:w="1181" w:type="dxa"/>
            <w:gridSpan w:val="2"/>
            <w:vAlign w:val="center"/>
            <w:hideMark/>
          </w:tcPr>
          <w:p w14:paraId="639CA909"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44.12</w:t>
            </w:r>
          </w:p>
        </w:tc>
        <w:tc>
          <w:tcPr>
            <w:tcW w:w="1180" w:type="dxa"/>
            <w:gridSpan w:val="2"/>
            <w:vAlign w:val="center"/>
            <w:hideMark/>
          </w:tcPr>
          <w:p w14:paraId="0C0DBB7A"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35.57</w:t>
            </w:r>
          </w:p>
        </w:tc>
      </w:tr>
      <w:tr w:rsidR="00210EF7" w:rsidRPr="00BD1C03" w14:paraId="7D39B2D7" w14:textId="77777777" w:rsidTr="005579CC">
        <w:trPr>
          <w:trHeight w:val="206"/>
          <w:jc w:val="center"/>
        </w:trPr>
        <w:tc>
          <w:tcPr>
            <w:tcW w:w="1180" w:type="dxa"/>
            <w:gridSpan w:val="2"/>
            <w:vAlign w:val="center"/>
            <w:hideMark/>
          </w:tcPr>
          <w:p w14:paraId="3084E341"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313.81</w:t>
            </w:r>
          </w:p>
        </w:tc>
        <w:tc>
          <w:tcPr>
            <w:tcW w:w="1181" w:type="dxa"/>
            <w:gridSpan w:val="2"/>
            <w:vAlign w:val="center"/>
            <w:hideMark/>
          </w:tcPr>
          <w:p w14:paraId="750EF3DA"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73.53</w:t>
            </w:r>
          </w:p>
        </w:tc>
        <w:tc>
          <w:tcPr>
            <w:tcW w:w="1180" w:type="dxa"/>
            <w:gridSpan w:val="2"/>
            <w:vAlign w:val="center"/>
            <w:hideMark/>
          </w:tcPr>
          <w:p w14:paraId="59ADD7B9"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65.97</w:t>
            </w:r>
          </w:p>
        </w:tc>
      </w:tr>
      <w:tr w:rsidR="00210EF7" w:rsidRPr="00BD1C03" w14:paraId="7DB4E5E3" w14:textId="77777777" w:rsidTr="005579CC">
        <w:trPr>
          <w:trHeight w:val="216"/>
          <w:jc w:val="center"/>
        </w:trPr>
        <w:tc>
          <w:tcPr>
            <w:tcW w:w="1180" w:type="dxa"/>
            <w:gridSpan w:val="2"/>
            <w:vAlign w:val="center"/>
            <w:hideMark/>
          </w:tcPr>
          <w:p w14:paraId="298ECBC2"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317.29</w:t>
            </w:r>
          </w:p>
        </w:tc>
        <w:tc>
          <w:tcPr>
            <w:tcW w:w="1181" w:type="dxa"/>
            <w:gridSpan w:val="2"/>
            <w:vAlign w:val="center"/>
            <w:hideMark/>
          </w:tcPr>
          <w:p w14:paraId="662B8972"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88.23</w:t>
            </w:r>
          </w:p>
        </w:tc>
        <w:tc>
          <w:tcPr>
            <w:tcW w:w="1180" w:type="dxa"/>
            <w:gridSpan w:val="2"/>
            <w:vAlign w:val="center"/>
            <w:hideMark/>
          </w:tcPr>
          <w:p w14:paraId="2F44CE8E"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80.56</w:t>
            </w:r>
          </w:p>
        </w:tc>
      </w:tr>
      <w:tr w:rsidR="00210EF7" w:rsidRPr="00BD1C03" w14:paraId="5DBA4D57" w14:textId="77777777" w:rsidTr="005579CC">
        <w:trPr>
          <w:trHeight w:val="206"/>
          <w:jc w:val="center"/>
        </w:trPr>
        <w:tc>
          <w:tcPr>
            <w:tcW w:w="1180" w:type="dxa"/>
            <w:gridSpan w:val="2"/>
            <w:vAlign w:val="center"/>
            <w:hideMark/>
          </w:tcPr>
          <w:p w14:paraId="1FE44089"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320.98</w:t>
            </w:r>
          </w:p>
        </w:tc>
        <w:tc>
          <w:tcPr>
            <w:tcW w:w="1181" w:type="dxa"/>
            <w:gridSpan w:val="2"/>
            <w:vAlign w:val="center"/>
            <w:hideMark/>
          </w:tcPr>
          <w:p w14:paraId="128C800B"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102.94</w:t>
            </w:r>
          </w:p>
        </w:tc>
        <w:tc>
          <w:tcPr>
            <w:tcW w:w="1180" w:type="dxa"/>
            <w:gridSpan w:val="2"/>
            <w:vAlign w:val="center"/>
            <w:hideMark/>
          </w:tcPr>
          <w:p w14:paraId="3318E948"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99.42</w:t>
            </w:r>
          </w:p>
        </w:tc>
      </w:tr>
      <w:tr w:rsidR="00210EF7" w:rsidRPr="00BD1C03" w14:paraId="20994B49" w14:textId="77777777" w:rsidTr="005579CC">
        <w:trPr>
          <w:trHeight w:val="216"/>
          <w:jc w:val="center"/>
        </w:trPr>
        <w:tc>
          <w:tcPr>
            <w:tcW w:w="1180" w:type="dxa"/>
            <w:gridSpan w:val="2"/>
            <w:vAlign w:val="center"/>
            <w:hideMark/>
          </w:tcPr>
          <w:p w14:paraId="4F35E8CF"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330.72</w:t>
            </w:r>
          </w:p>
        </w:tc>
        <w:tc>
          <w:tcPr>
            <w:tcW w:w="1181" w:type="dxa"/>
            <w:gridSpan w:val="2"/>
            <w:vAlign w:val="center"/>
            <w:hideMark/>
          </w:tcPr>
          <w:p w14:paraId="62311DBF"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161.76</w:t>
            </w:r>
          </w:p>
        </w:tc>
        <w:tc>
          <w:tcPr>
            <w:tcW w:w="1180" w:type="dxa"/>
            <w:gridSpan w:val="2"/>
            <w:vAlign w:val="center"/>
            <w:hideMark/>
          </w:tcPr>
          <w:p w14:paraId="114F0C58"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172.05</w:t>
            </w:r>
          </w:p>
        </w:tc>
      </w:tr>
      <w:tr w:rsidR="00210EF7" w:rsidRPr="00BD1C03" w14:paraId="547CE512" w14:textId="77777777" w:rsidTr="005579CC">
        <w:trPr>
          <w:trHeight w:val="206"/>
          <w:jc w:val="center"/>
        </w:trPr>
        <w:tc>
          <w:tcPr>
            <w:tcW w:w="1180" w:type="dxa"/>
            <w:gridSpan w:val="2"/>
            <w:vAlign w:val="center"/>
            <w:hideMark/>
          </w:tcPr>
          <w:p w14:paraId="33E9F5A7"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336.37</w:t>
            </w:r>
          </w:p>
        </w:tc>
        <w:tc>
          <w:tcPr>
            <w:tcW w:w="1181" w:type="dxa"/>
            <w:gridSpan w:val="2"/>
            <w:vAlign w:val="center"/>
            <w:hideMark/>
          </w:tcPr>
          <w:p w14:paraId="3181E21C"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220.59</w:t>
            </w:r>
          </w:p>
        </w:tc>
        <w:tc>
          <w:tcPr>
            <w:tcW w:w="1180" w:type="dxa"/>
            <w:gridSpan w:val="2"/>
            <w:vAlign w:val="center"/>
            <w:hideMark/>
          </w:tcPr>
          <w:p w14:paraId="5ECC08DD"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235.42</w:t>
            </w:r>
          </w:p>
        </w:tc>
      </w:tr>
      <w:tr w:rsidR="00210EF7" w:rsidRPr="00BD1C03" w14:paraId="21EBAF2E" w14:textId="77777777" w:rsidTr="005579CC">
        <w:trPr>
          <w:trHeight w:val="216"/>
          <w:jc w:val="center"/>
        </w:trPr>
        <w:tc>
          <w:tcPr>
            <w:tcW w:w="1180" w:type="dxa"/>
            <w:gridSpan w:val="2"/>
            <w:vAlign w:val="center"/>
            <w:hideMark/>
          </w:tcPr>
          <w:p w14:paraId="566CB4C3"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349.54</w:t>
            </w:r>
          </w:p>
        </w:tc>
        <w:tc>
          <w:tcPr>
            <w:tcW w:w="1181" w:type="dxa"/>
            <w:gridSpan w:val="2"/>
            <w:vAlign w:val="center"/>
            <w:hideMark/>
          </w:tcPr>
          <w:p w14:paraId="235F72C9"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516.67</w:t>
            </w:r>
          </w:p>
        </w:tc>
        <w:tc>
          <w:tcPr>
            <w:tcW w:w="1180" w:type="dxa"/>
            <w:gridSpan w:val="2"/>
            <w:vAlign w:val="center"/>
            <w:hideMark/>
          </w:tcPr>
          <w:p w14:paraId="1FC3499C"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482.83</w:t>
            </w:r>
          </w:p>
        </w:tc>
      </w:tr>
      <w:tr w:rsidR="00210EF7" w:rsidRPr="00BD1C03" w14:paraId="00C1F736" w14:textId="77777777" w:rsidTr="005579CC">
        <w:trPr>
          <w:trHeight w:val="216"/>
          <w:jc w:val="center"/>
        </w:trPr>
        <w:tc>
          <w:tcPr>
            <w:tcW w:w="1180" w:type="dxa"/>
            <w:gridSpan w:val="2"/>
            <w:vAlign w:val="center"/>
            <w:hideMark/>
          </w:tcPr>
          <w:p w14:paraId="69AC3274"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354.11</w:t>
            </w:r>
          </w:p>
        </w:tc>
        <w:tc>
          <w:tcPr>
            <w:tcW w:w="1181" w:type="dxa"/>
            <w:gridSpan w:val="2"/>
            <w:vAlign w:val="center"/>
            <w:hideMark/>
          </w:tcPr>
          <w:p w14:paraId="0E187591"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641.67</w:t>
            </w:r>
          </w:p>
        </w:tc>
        <w:tc>
          <w:tcPr>
            <w:tcW w:w="1180" w:type="dxa"/>
            <w:gridSpan w:val="2"/>
            <w:vAlign w:val="center"/>
            <w:hideMark/>
          </w:tcPr>
          <w:p w14:paraId="5B6304F4"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617.41</w:t>
            </w:r>
          </w:p>
        </w:tc>
      </w:tr>
      <w:tr w:rsidR="00210EF7" w:rsidRPr="00BD1C03" w14:paraId="610D4A08" w14:textId="77777777" w:rsidTr="005579CC">
        <w:trPr>
          <w:trHeight w:val="206"/>
          <w:jc w:val="center"/>
        </w:trPr>
        <w:tc>
          <w:tcPr>
            <w:tcW w:w="1180" w:type="dxa"/>
            <w:gridSpan w:val="2"/>
            <w:tcBorders>
              <w:bottom w:val="single" w:sz="4" w:space="0" w:color="auto"/>
            </w:tcBorders>
            <w:vAlign w:val="center"/>
            <w:hideMark/>
          </w:tcPr>
          <w:p w14:paraId="2C357BAE"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357.68</w:t>
            </w:r>
          </w:p>
        </w:tc>
        <w:tc>
          <w:tcPr>
            <w:tcW w:w="1181" w:type="dxa"/>
            <w:gridSpan w:val="2"/>
            <w:tcBorders>
              <w:bottom w:val="single" w:sz="4" w:space="0" w:color="auto"/>
            </w:tcBorders>
            <w:vAlign w:val="center"/>
            <w:hideMark/>
          </w:tcPr>
          <w:p w14:paraId="1AD68A5F"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750.23</w:t>
            </w:r>
          </w:p>
        </w:tc>
        <w:tc>
          <w:tcPr>
            <w:tcW w:w="1180" w:type="dxa"/>
            <w:gridSpan w:val="2"/>
            <w:tcBorders>
              <w:bottom w:val="single" w:sz="4" w:space="0" w:color="auto"/>
            </w:tcBorders>
            <w:vAlign w:val="center"/>
            <w:hideMark/>
          </w:tcPr>
          <w:p w14:paraId="33871A6B"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746.18</w:t>
            </w:r>
          </w:p>
        </w:tc>
      </w:tr>
      <w:bookmarkEnd w:id="0"/>
      <w:tr w:rsidR="00210EF7" w:rsidRPr="00BD1C03" w14:paraId="53609A41" w14:textId="77777777" w:rsidTr="005579CC">
        <w:trPr>
          <w:gridAfter w:val="1"/>
          <w:wAfter w:w="58" w:type="dxa"/>
          <w:trHeight w:val="155"/>
          <w:jc w:val="center"/>
        </w:trPr>
        <w:tc>
          <w:tcPr>
            <w:tcW w:w="1161" w:type="dxa"/>
            <w:tcBorders>
              <w:top w:val="single" w:sz="4" w:space="0" w:color="auto"/>
              <w:bottom w:val="single" w:sz="4" w:space="0" w:color="auto"/>
            </w:tcBorders>
            <w:vAlign w:val="center"/>
            <w:hideMark/>
          </w:tcPr>
          <w:p w14:paraId="55DDFE38"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i/>
                <w:iCs/>
                <w:szCs w:val="24"/>
              </w:rPr>
              <w:t>T</w:t>
            </w:r>
            <w:r w:rsidRPr="00BD1C03">
              <w:rPr>
                <w:rFonts w:asciiTheme="majorBidi" w:hAnsiTheme="majorBidi" w:cstheme="majorBidi"/>
                <w:szCs w:val="24"/>
              </w:rPr>
              <w:t xml:space="preserve"> (K)</w:t>
            </w:r>
          </w:p>
        </w:tc>
        <w:tc>
          <w:tcPr>
            <w:tcW w:w="1161" w:type="dxa"/>
            <w:gridSpan w:val="2"/>
            <w:tcBorders>
              <w:top w:val="single" w:sz="4" w:space="0" w:color="auto"/>
              <w:bottom w:val="single" w:sz="4" w:space="0" w:color="auto"/>
            </w:tcBorders>
            <w:vAlign w:val="center"/>
            <w:hideMark/>
          </w:tcPr>
          <w:p w14:paraId="406E7C51" w14:textId="77777777" w:rsidR="00210EF7" w:rsidRPr="00BD1C03" w:rsidRDefault="00210EF7" w:rsidP="005579CC">
            <w:pPr>
              <w:jc w:val="center"/>
              <w:rPr>
                <w:rFonts w:asciiTheme="majorBidi" w:hAnsiTheme="majorBidi" w:cstheme="majorBidi"/>
                <w:szCs w:val="24"/>
                <w:lang w:val="en-US" w:eastAsia="ja-JP"/>
              </w:rPr>
            </w:pPr>
            <w:proofErr w:type="spellStart"/>
            <w:r w:rsidRPr="00BD1C03">
              <w:rPr>
                <w:rFonts w:asciiTheme="majorBidi" w:hAnsiTheme="majorBidi" w:cstheme="majorBidi"/>
                <w:i/>
                <w:iCs/>
                <w:szCs w:val="24"/>
              </w:rPr>
              <w:t>C</w:t>
            </w:r>
            <w:r w:rsidRPr="00BD1C03">
              <w:rPr>
                <w:rFonts w:asciiTheme="majorBidi" w:hAnsiTheme="majorBidi" w:cstheme="majorBidi"/>
                <w:szCs w:val="24"/>
                <w:vertAlign w:val="superscript"/>
              </w:rPr>
              <w:t>exp</w:t>
            </w:r>
            <w:proofErr w:type="spellEnd"/>
            <w:r w:rsidRPr="00BD1C03">
              <w:rPr>
                <w:rFonts w:asciiTheme="majorBidi" w:hAnsiTheme="majorBidi" w:cstheme="majorBidi"/>
                <w:szCs w:val="24"/>
              </w:rPr>
              <w:t xml:space="preserve"> (g/kg)</w:t>
            </w:r>
          </w:p>
        </w:tc>
        <w:tc>
          <w:tcPr>
            <w:tcW w:w="1161" w:type="dxa"/>
            <w:gridSpan w:val="2"/>
            <w:tcBorders>
              <w:top w:val="single" w:sz="4" w:space="0" w:color="auto"/>
              <w:bottom w:val="single" w:sz="4" w:space="0" w:color="auto"/>
            </w:tcBorders>
            <w:vAlign w:val="center"/>
            <w:hideMark/>
          </w:tcPr>
          <w:p w14:paraId="69A3FE53" w14:textId="77777777" w:rsidR="00210EF7" w:rsidRPr="00BD1C03" w:rsidRDefault="00210EF7" w:rsidP="005579CC">
            <w:pPr>
              <w:jc w:val="center"/>
              <w:rPr>
                <w:rFonts w:asciiTheme="majorBidi" w:hAnsiTheme="majorBidi" w:cstheme="majorBidi"/>
                <w:szCs w:val="24"/>
                <w:lang w:val="en-US" w:eastAsia="ja-JP"/>
              </w:rPr>
            </w:pPr>
            <w:proofErr w:type="spellStart"/>
            <w:r w:rsidRPr="00BD1C03">
              <w:rPr>
                <w:rFonts w:asciiTheme="majorBidi" w:hAnsiTheme="majorBidi" w:cstheme="majorBidi"/>
                <w:i/>
                <w:iCs/>
                <w:szCs w:val="24"/>
              </w:rPr>
              <w:t>C</w:t>
            </w:r>
            <w:r w:rsidRPr="00BD1C03">
              <w:rPr>
                <w:rFonts w:asciiTheme="majorBidi" w:hAnsiTheme="majorBidi" w:cstheme="majorBidi"/>
                <w:szCs w:val="24"/>
                <w:vertAlign w:val="superscript"/>
              </w:rPr>
              <w:t>cal</w:t>
            </w:r>
            <w:proofErr w:type="spellEnd"/>
            <w:r w:rsidRPr="00BD1C03">
              <w:rPr>
                <w:rFonts w:asciiTheme="majorBidi" w:hAnsiTheme="majorBidi" w:cstheme="majorBidi"/>
                <w:szCs w:val="24"/>
              </w:rPr>
              <w:t xml:space="preserve"> (g/kg)</w:t>
            </w:r>
          </w:p>
        </w:tc>
      </w:tr>
      <w:tr w:rsidR="00210EF7" w:rsidRPr="00BD1C03" w14:paraId="66EC50B1" w14:textId="77777777" w:rsidTr="005579CC">
        <w:trPr>
          <w:gridAfter w:val="1"/>
          <w:wAfter w:w="58" w:type="dxa"/>
          <w:trHeight w:val="297"/>
          <w:jc w:val="center"/>
        </w:trPr>
        <w:tc>
          <w:tcPr>
            <w:tcW w:w="1161" w:type="dxa"/>
            <w:tcBorders>
              <w:top w:val="single" w:sz="4" w:space="0" w:color="auto"/>
              <w:bottom w:val="single" w:sz="4" w:space="0" w:color="auto"/>
            </w:tcBorders>
            <w:vAlign w:val="bottom"/>
          </w:tcPr>
          <w:p w14:paraId="3C0AA33A" w14:textId="77777777" w:rsidR="00210EF7" w:rsidRPr="00BD1C03" w:rsidRDefault="00210EF7" w:rsidP="005579CC">
            <w:pPr>
              <w:jc w:val="center"/>
              <w:rPr>
                <w:rFonts w:asciiTheme="majorBidi" w:hAnsiTheme="majorBidi" w:cstheme="majorBidi"/>
                <w:color w:val="000000"/>
                <w:szCs w:val="24"/>
              </w:rPr>
            </w:pPr>
          </w:p>
        </w:tc>
        <w:tc>
          <w:tcPr>
            <w:tcW w:w="1161" w:type="dxa"/>
            <w:gridSpan w:val="2"/>
            <w:tcBorders>
              <w:top w:val="single" w:sz="4" w:space="0" w:color="auto"/>
              <w:bottom w:val="single" w:sz="4" w:space="0" w:color="auto"/>
            </w:tcBorders>
            <w:vAlign w:val="center"/>
          </w:tcPr>
          <w:p w14:paraId="7F24CC52" w14:textId="77777777" w:rsidR="00210EF7" w:rsidRPr="00BD1C03" w:rsidRDefault="00210EF7" w:rsidP="005579CC">
            <w:pPr>
              <w:jc w:val="center"/>
              <w:rPr>
                <w:rFonts w:asciiTheme="majorBidi" w:hAnsiTheme="majorBidi" w:cstheme="majorBidi"/>
                <w:szCs w:val="24"/>
              </w:rPr>
            </w:pPr>
            <w:r w:rsidRPr="00BD1C03">
              <w:rPr>
                <w:rFonts w:asciiTheme="majorBidi" w:hAnsiTheme="majorBidi" w:cstheme="majorBidi"/>
                <w:szCs w:val="24"/>
              </w:rPr>
              <w:t>MeOH</w:t>
            </w:r>
          </w:p>
        </w:tc>
        <w:tc>
          <w:tcPr>
            <w:tcW w:w="1161" w:type="dxa"/>
            <w:gridSpan w:val="2"/>
            <w:tcBorders>
              <w:top w:val="single" w:sz="4" w:space="0" w:color="auto"/>
              <w:bottom w:val="single" w:sz="4" w:space="0" w:color="auto"/>
            </w:tcBorders>
            <w:vAlign w:val="center"/>
          </w:tcPr>
          <w:p w14:paraId="41BF6757" w14:textId="77777777" w:rsidR="00210EF7" w:rsidRPr="00BD1C03" w:rsidRDefault="00210EF7" w:rsidP="005579CC">
            <w:pPr>
              <w:jc w:val="center"/>
              <w:rPr>
                <w:rFonts w:asciiTheme="majorBidi" w:hAnsiTheme="majorBidi" w:cstheme="majorBidi"/>
                <w:szCs w:val="24"/>
              </w:rPr>
            </w:pPr>
          </w:p>
        </w:tc>
      </w:tr>
      <w:tr w:rsidR="00210EF7" w:rsidRPr="00BD1C03" w14:paraId="38E974D7" w14:textId="77777777" w:rsidTr="005579CC">
        <w:trPr>
          <w:gridAfter w:val="1"/>
          <w:wAfter w:w="58" w:type="dxa"/>
          <w:trHeight w:val="297"/>
          <w:jc w:val="center"/>
        </w:trPr>
        <w:tc>
          <w:tcPr>
            <w:tcW w:w="1161" w:type="dxa"/>
            <w:tcBorders>
              <w:top w:val="single" w:sz="4" w:space="0" w:color="auto"/>
            </w:tcBorders>
            <w:vAlign w:val="bottom"/>
            <w:hideMark/>
          </w:tcPr>
          <w:p w14:paraId="12E07936" w14:textId="77777777" w:rsidR="00210EF7" w:rsidRPr="00BD1C03" w:rsidRDefault="00210EF7" w:rsidP="005579CC">
            <w:pPr>
              <w:jc w:val="center"/>
              <w:rPr>
                <w:rFonts w:asciiTheme="majorBidi" w:hAnsiTheme="majorBidi" w:cstheme="majorBidi"/>
                <w:color w:val="000000"/>
                <w:szCs w:val="24"/>
              </w:rPr>
            </w:pPr>
            <w:bookmarkStart w:id="1" w:name="_Hlk12874150"/>
            <w:r w:rsidRPr="00BD1C03">
              <w:rPr>
                <w:rFonts w:asciiTheme="majorBidi" w:hAnsiTheme="majorBidi" w:cstheme="majorBidi"/>
                <w:color w:val="000000"/>
                <w:szCs w:val="24"/>
              </w:rPr>
              <w:t>282.38</w:t>
            </w:r>
          </w:p>
        </w:tc>
        <w:tc>
          <w:tcPr>
            <w:tcW w:w="1161" w:type="dxa"/>
            <w:gridSpan w:val="2"/>
            <w:tcBorders>
              <w:top w:val="single" w:sz="4" w:space="0" w:color="auto"/>
            </w:tcBorders>
            <w:vAlign w:val="center"/>
            <w:hideMark/>
          </w:tcPr>
          <w:p w14:paraId="4896B71A"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50.32</w:t>
            </w:r>
          </w:p>
        </w:tc>
        <w:tc>
          <w:tcPr>
            <w:tcW w:w="1161" w:type="dxa"/>
            <w:gridSpan w:val="2"/>
            <w:tcBorders>
              <w:top w:val="single" w:sz="4" w:space="0" w:color="auto"/>
            </w:tcBorders>
            <w:vAlign w:val="center"/>
            <w:hideMark/>
          </w:tcPr>
          <w:p w14:paraId="58FB39E9"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51.86</w:t>
            </w:r>
          </w:p>
        </w:tc>
      </w:tr>
      <w:tr w:rsidR="00210EF7" w:rsidRPr="00BD1C03" w14:paraId="796017EC" w14:textId="77777777" w:rsidTr="005579CC">
        <w:trPr>
          <w:gridAfter w:val="1"/>
          <w:wAfter w:w="58" w:type="dxa"/>
          <w:trHeight w:val="157"/>
          <w:jc w:val="center"/>
        </w:trPr>
        <w:tc>
          <w:tcPr>
            <w:tcW w:w="1161" w:type="dxa"/>
            <w:vAlign w:val="bottom"/>
            <w:hideMark/>
          </w:tcPr>
          <w:p w14:paraId="6F3423BC" w14:textId="77777777" w:rsidR="00210EF7" w:rsidRPr="00BD1C03" w:rsidRDefault="00210EF7" w:rsidP="005579CC">
            <w:pPr>
              <w:jc w:val="center"/>
              <w:rPr>
                <w:rFonts w:asciiTheme="majorBidi" w:hAnsiTheme="majorBidi" w:cstheme="majorBidi"/>
                <w:color w:val="000000"/>
                <w:szCs w:val="24"/>
              </w:rPr>
            </w:pPr>
            <w:r w:rsidRPr="00BD1C03">
              <w:rPr>
                <w:rFonts w:asciiTheme="majorBidi" w:hAnsiTheme="majorBidi" w:cstheme="majorBidi"/>
                <w:color w:val="000000"/>
                <w:szCs w:val="24"/>
              </w:rPr>
              <w:t>296.50</w:t>
            </w:r>
          </w:p>
        </w:tc>
        <w:tc>
          <w:tcPr>
            <w:tcW w:w="1161" w:type="dxa"/>
            <w:gridSpan w:val="2"/>
            <w:vAlign w:val="center"/>
            <w:hideMark/>
          </w:tcPr>
          <w:p w14:paraId="3E4BD603"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93.75</w:t>
            </w:r>
          </w:p>
        </w:tc>
        <w:tc>
          <w:tcPr>
            <w:tcW w:w="1161" w:type="dxa"/>
            <w:gridSpan w:val="2"/>
            <w:vAlign w:val="center"/>
            <w:hideMark/>
          </w:tcPr>
          <w:p w14:paraId="7E5E0E86"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92.63</w:t>
            </w:r>
          </w:p>
        </w:tc>
      </w:tr>
      <w:tr w:rsidR="00210EF7" w:rsidRPr="00BD1C03" w14:paraId="4E455104" w14:textId="77777777" w:rsidTr="005579CC">
        <w:trPr>
          <w:gridAfter w:val="1"/>
          <w:wAfter w:w="58" w:type="dxa"/>
          <w:trHeight w:val="209"/>
          <w:jc w:val="center"/>
        </w:trPr>
        <w:tc>
          <w:tcPr>
            <w:tcW w:w="1161" w:type="dxa"/>
            <w:vAlign w:val="bottom"/>
            <w:hideMark/>
          </w:tcPr>
          <w:p w14:paraId="7682B2A4" w14:textId="77777777" w:rsidR="00210EF7" w:rsidRPr="00BD1C03" w:rsidRDefault="00210EF7" w:rsidP="005579CC">
            <w:pPr>
              <w:jc w:val="center"/>
              <w:rPr>
                <w:rFonts w:asciiTheme="majorBidi" w:hAnsiTheme="majorBidi" w:cstheme="majorBidi"/>
                <w:color w:val="000000"/>
                <w:szCs w:val="24"/>
              </w:rPr>
            </w:pPr>
            <w:r w:rsidRPr="00BD1C03">
              <w:rPr>
                <w:rFonts w:asciiTheme="majorBidi" w:hAnsiTheme="majorBidi" w:cstheme="majorBidi"/>
                <w:color w:val="000000"/>
                <w:szCs w:val="24"/>
              </w:rPr>
              <w:t>315.34</w:t>
            </w:r>
          </w:p>
        </w:tc>
        <w:tc>
          <w:tcPr>
            <w:tcW w:w="1161" w:type="dxa"/>
            <w:gridSpan w:val="2"/>
            <w:vAlign w:val="center"/>
            <w:hideMark/>
          </w:tcPr>
          <w:p w14:paraId="0F0C2BCD"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229.01</w:t>
            </w:r>
          </w:p>
        </w:tc>
        <w:tc>
          <w:tcPr>
            <w:tcW w:w="1161" w:type="dxa"/>
            <w:gridSpan w:val="2"/>
            <w:vAlign w:val="center"/>
            <w:hideMark/>
          </w:tcPr>
          <w:p w14:paraId="60F91271"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231.13</w:t>
            </w:r>
          </w:p>
        </w:tc>
      </w:tr>
      <w:tr w:rsidR="00210EF7" w:rsidRPr="00BD1C03" w14:paraId="7411AEB0" w14:textId="77777777" w:rsidTr="005579CC">
        <w:trPr>
          <w:gridAfter w:val="1"/>
          <w:wAfter w:w="58" w:type="dxa"/>
          <w:trHeight w:val="175"/>
          <w:jc w:val="center"/>
        </w:trPr>
        <w:tc>
          <w:tcPr>
            <w:tcW w:w="1161" w:type="dxa"/>
            <w:vAlign w:val="bottom"/>
            <w:hideMark/>
          </w:tcPr>
          <w:p w14:paraId="5441E9BB" w14:textId="77777777" w:rsidR="00210EF7" w:rsidRPr="00BD1C03" w:rsidRDefault="00210EF7" w:rsidP="005579CC">
            <w:pPr>
              <w:jc w:val="center"/>
              <w:rPr>
                <w:rFonts w:asciiTheme="majorBidi" w:hAnsiTheme="majorBidi" w:cstheme="majorBidi"/>
                <w:color w:val="000000"/>
                <w:szCs w:val="24"/>
              </w:rPr>
            </w:pPr>
            <w:r w:rsidRPr="00BD1C03">
              <w:rPr>
                <w:rFonts w:asciiTheme="majorBidi" w:hAnsiTheme="majorBidi" w:cstheme="majorBidi"/>
                <w:color w:val="000000"/>
                <w:szCs w:val="24"/>
              </w:rPr>
              <w:t>325.68</w:t>
            </w:r>
          </w:p>
        </w:tc>
        <w:tc>
          <w:tcPr>
            <w:tcW w:w="1161" w:type="dxa"/>
            <w:gridSpan w:val="2"/>
            <w:vAlign w:val="center"/>
            <w:hideMark/>
          </w:tcPr>
          <w:p w14:paraId="7FB09E9F"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400.11</w:t>
            </w:r>
          </w:p>
        </w:tc>
        <w:tc>
          <w:tcPr>
            <w:tcW w:w="1161" w:type="dxa"/>
            <w:gridSpan w:val="2"/>
            <w:vAlign w:val="center"/>
            <w:hideMark/>
          </w:tcPr>
          <w:p w14:paraId="35C224FC"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403.16</w:t>
            </w:r>
          </w:p>
        </w:tc>
      </w:tr>
      <w:tr w:rsidR="00210EF7" w:rsidRPr="00BD1C03" w14:paraId="14F38006" w14:textId="77777777" w:rsidTr="005579CC">
        <w:trPr>
          <w:gridAfter w:val="1"/>
          <w:wAfter w:w="58" w:type="dxa"/>
          <w:trHeight w:val="155"/>
          <w:jc w:val="center"/>
        </w:trPr>
        <w:tc>
          <w:tcPr>
            <w:tcW w:w="1161" w:type="dxa"/>
            <w:tcBorders>
              <w:bottom w:val="single" w:sz="4" w:space="0" w:color="auto"/>
            </w:tcBorders>
            <w:vAlign w:val="bottom"/>
            <w:hideMark/>
          </w:tcPr>
          <w:p w14:paraId="6567794A" w14:textId="77777777" w:rsidR="00210EF7" w:rsidRPr="00BD1C03" w:rsidRDefault="00210EF7" w:rsidP="005579CC">
            <w:pPr>
              <w:jc w:val="center"/>
              <w:rPr>
                <w:rFonts w:asciiTheme="majorBidi" w:hAnsiTheme="majorBidi" w:cstheme="majorBidi"/>
                <w:color w:val="000000"/>
                <w:szCs w:val="24"/>
              </w:rPr>
            </w:pPr>
            <w:r w:rsidRPr="00BD1C03">
              <w:rPr>
                <w:rFonts w:asciiTheme="majorBidi" w:hAnsiTheme="majorBidi" w:cstheme="majorBidi"/>
                <w:color w:val="000000"/>
                <w:szCs w:val="24"/>
              </w:rPr>
              <w:t>341.10</w:t>
            </w:r>
          </w:p>
        </w:tc>
        <w:tc>
          <w:tcPr>
            <w:tcW w:w="1161" w:type="dxa"/>
            <w:gridSpan w:val="2"/>
            <w:tcBorders>
              <w:bottom w:val="single" w:sz="4" w:space="0" w:color="auto"/>
            </w:tcBorders>
            <w:vAlign w:val="center"/>
            <w:hideMark/>
          </w:tcPr>
          <w:p w14:paraId="4DA506B1"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966.25</w:t>
            </w:r>
          </w:p>
        </w:tc>
        <w:tc>
          <w:tcPr>
            <w:tcW w:w="1161" w:type="dxa"/>
            <w:gridSpan w:val="2"/>
            <w:tcBorders>
              <w:bottom w:val="single" w:sz="4" w:space="0" w:color="auto"/>
            </w:tcBorders>
            <w:vAlign w:val="center"/>
            <w:hideMark/>
          </w:tcPr>
          <w:p w14:paraId="4EFE82FA" w14:textId="77777777" w:rsidR="00210EF7" w:rsidRPr="00BD1C03" w:rsidRDefault="00210EF7" w:rsidP="005579CC">
            <w:pPr>
              <w:jc w:val="center"/>
              <w:rPr>
                <w:rFonts w:asciiTheme="majorBidi" w:hAnsiTheme="majorBidi" w:cstheme="majorBidi"/>
                <w:szCs w:val="24"/>
                <w:lang w:val="en-US" w:eastAsia="ja-JP"/>
              </w:rPr>
            </w:pPr>
            <w:r w:rsidRPr="00BD1C03">
              <w:rPr>
                <w:rFonts w:asciiTheme="majorBidi" w:hAnsiTheme="majorBidi" w:cstheme="majorBidi"/>
                <w:szCs w:val="24"/>
              </w:rPr>
              <w:t>973.11</w:t>
            </w:r>
          </w:p>
        </w:tc>
      </w:tr>
    </w:tbl>
    <w:bookmarkEnd w:id="1"/>
    <w:p w14:paraId="5C83196E" w14:textId="77777777" w:rsidR="00210EF7" w:rsidRPr="00BD1C03" w:rsidRDefault="00210EF7" w:rsidP="00210EF7">
      <w:pPr>
        <w:pStyle w:val="Caption"/>
        <w:spacing w:before="100"/>
        <w:jc w:val="center"/>
        <w:rPr>
          <w:rFonts w:asciiTheme="majorBidi" w:hAnsiTheme="majorBidi" w:cstheme="majorBidi"/>
          <w:b w:val="0"/>
          <w:bCs w:val="0"/>
          <w:color w:val="auto"/>
          <w:sz w:val="22"/>
          <w:szCs w:val="22"/>
        </w:rPr>
      </w:pPr>
      <w:r w:rsidRPr="00BD1C03">
        <w:rPr>
          <w:rFonts w:asciiTheme="majorBidi" w:hAnsiTheme="majorBidi" w:cstheme="majorBidi"/>
          <w:b w:val="0"/>
          <w:bCs w:val="0"/>
          <w:color w:val="auto"/>
          <w:sz w:val="22"/>
          <w:szCs w:val="22"/>
        </w:rPr>
        <w:t xml:space="preserve">Table S2. </w:t>
      </w:r>
      <w:proofErr w:type="spellStart"/>
      <w:r w:rsidRPr="00BD1C03">
        <w:rPr>
          <w:rFonts w:asciiTheme="majorBidi" w:hAnsiTheme="majorBidi" w:cstheme="majorBidi"/>
          <w:b w:val="0"/>
          <w:bCs w:val="0"/>
          <w:color w:val="auto"/>
          <w:sz w:val="22"/>
          <w:szCs w:val="22"/>
        </w:rPr>
        <w:t>Apelblat</w:t>
      </w:r>
      <w:proofErr w:type="spellEnd"/>
      <w:r w:rsidRPr="00BD1C03">
        <w:rPr>
          <w:rFonts w:asciiTheme="majorBidi" w:hAnsiTheme="majorBidi" w:cstheme="majorBidi"/>
          <w:b w:val="0"/>
          <w:bCs w:val="0"/>
          <w:color w:val="auto"/>
          <w:sz w:val="22"/>
          <w:szCs w:val="22"/>
        </w:rPr>
        <w:t xml:space="preserve"> formula values for Methanol and 2-Propanol models</w:t>
      </w:r>
    </w:p>
    <w:tbl>
      <w:tblPr>
        <w:tblStyle w:val="Figurecontainingsingle-cel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71"/>
        <w:gridCol w:w="1226"/>
        <w:gridCol w:w="1060"/>
        <w:gridCol w:w="2771"/>
      </w:tblGrid>
      <w:tr w:rsidR="00210EF7" w:rsidRPr="00BD1C03" w14:paraId="1BCC52C0" w14:textId="77777777" w:rsidTr="005579CC">
        <w:trPr>
          <w:trHeight w:val="35"/>
          <w:jc w:val="center"/>
        </w:trPr>
        <w:tc>
          <w:tcPr>
            <w:tcW w:w="1247" w:type="dxa"/>
            <w:vMerge w:val="restart"/>
            <w:tcBorders>
              <w:top w:val="single" w:sz="4" w:space="0" w:color="auto"/>
              <w:left w:val="nil"/>
              <w:bottom w:val="single" w:sz="4" w:space="0" w:color="auto"/>
              <w:right w:val="nil"/>
            </w:tcBorders>
          </w:tcPr>
          <w:p w14:paraId="2C737418"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solvent</w:t>
            </w:r>
          </w:p>
        </w:tc>
        <w:tc>
          <w:tcPr>
            <w:tcW w:w="3557" w:type="dxa"/>
            <w:gridSpan w:val="3"/>
            <w:tcBorders>
              <w:top w:val="single" w:sz="4" w:space="0" w:color="auto"/>
              <w:left w:val="nil"/>
              <w:bottom w:val="single" w:sz="4" w:space="0" w:color="auto"/>
              <w:right w:val="nil"/>
            </w:tcBorders>
          </w:tcPr>
          <w:p w14:paraId="64397C1B" w14:textId="77777777" w:rsidR="00210EF7" w:rsidRPr="00BD1C03" w:rsidRDefault="00210EF7" w:rsidP="005579CC">
            <w:pPr>
              <w:jc w:val="center"/>
              <w:rPr>
                <w:rFonts w:asciiTheme="majorBidi" w:hAnsiTheme="majorBidi" w:cstheme="majorBidi"/>
                <w:sz w:val="22"/>
                <w:lang w:val="en-IE"/>
              </w:rPr>
            </w:pPr>
            <w:proofErr w:type="spellStart"/>
            <w:r w:rsidRPr="00BD1C03">
              <w:rPr>
                <w:rFonts w:asciiTheme="majorBidi" w:hAnsiTheme="majorBidi" w:cstheme="majorBidi"/>
                <w:sz w:val="22"/>
                <w:lang w:val="en-IE"/>
              </w:rPr>
              <w:t>Apelblat</w:t>
            </w:r>
            <w:proofErr w:type="spellEnd"/>
            <w:r w:rsidRPr="00BD1C03">
              <w:rPr>
                <w:rFonts w:asciiTheme="majorBidi" w:hAnsiTheme="majorBidi" w:cstheme="majorBidi"/>
                <w:sz w:val="22"/>
                <w:lang w:val="en-IE"/>
              </w:rPr>
              <w:t xml:space="preserve"> parameters</w:t>
            </w:r>
          </w:p>
        </w:tc>
        <w:tc>
          <w:tcPr>
            <w:tcW w:w="2771" w:type="dxa"/>
            <w:vMerge w:val="restart"/>
            <w:tcBorders>
              <w:top w:val="single" w:sz="4" w:space="0" w:color="auto"/>
              <w:left w:val="nil"/>
              <w:right w:val="nil"/>
            </w:tcBorders>
          </w:tcPr>
          <w:p w14:paraId="0C5B0B47" w14:textId="77777777" w:rsidR="00210EF7" w:rsidRPr="00BD1C03" w:rsidRDefault="00210EF7" w:rsidP="005579CC">
            <w:pPr>
              <w:jc w:val="center"/>
              <w:rPr>
                <w:rFonts w:asciiTheme="majorBidi" w:hAnsiTheme="majorBidi" w:cstheme="majorBidi"/>
                <w:sz w:val="22"/>
              </w:rPr>
            </w:pPr>
            <w:proofErr w:type="spellStart"/>
            <w:r w:rsidRPr="00BD1C03">
              <w:rPr>
                <w:rFonts w:asciiTheme="majorBidi" w:hAnsiTheme="majorBidi" w:cstheme="majorBidi"/>
                <w:sz w:val="22"/>
              </w:rPr>
              <w:t>van’t</w:t>
            </w:r>
            <w:proofErr w:type="spellEnd"/>
            <w:r w:rsidRPr="00BD1C03">
              <w:rPr>
                <w:rFonts w:asciiTheme="majorBidi" w:hAnsiTheme="majorBidi" w:cstheme="majorBidi"/>
                <w:sz w:val="22"/>
              </w:rPr>
              <w:t xml:space="preserve"> Hoff Enthalpy of Solution (kJ mol</w:t>
            </w:r>
            <w:r w:rsidRPr="00BD1C03">
              <w:rPr>
                <w:rFonts w:asciiTheme="majorBidi" w:hAnsiTheme="majorBidi" w:cstheme="majorBidi"/>
                <w:sz w:val="22"/>
                <w:vertAlign w:val="superscript"/>
              </w:rPr>
              <w:t>−1</w:t>
            </w:r>
            <w:r w:rsidRPr="00BD1C03">
              <w:rPr>
                <w:rFonts w:asciiTheme="majorBidi" w:hAnsiTheme="majorBidi" w:cstheme="majorBidi"/>
                <w:sz w:val="22"/>
              </w:rPr>
              <w:t>)</w:t>
            </w:r>
          </w:p>
        </w:tc>
      </w:tr>
      <w:tr w:rsidR="00210EF7" w:rsidRPr="00BD1C03" w14:paraId="0C2FA79E" w14:textId="77777777" w:rsidTr="005579CC">
        <w:trPr>
          <w:trHeight w:val="37"/>
          <w:jc w:val="center"/>
        </w:trPr>
        <w:tc>
          <w:tcPr>
            <w:tcW w:w="1247" w:type="dxa"/>
            <w:vMerge/>
            <w:tcBorders>
              <w:top w:val="nil"/>
              <w:left w:val="nil"/>
              <w:bottom w:val="single" w:sz="4" w:space="0" w:color="auto"/>
              <w:right w:val="nil"/>
            </w:tcBorders>
          </w:tcPr>
          <w:p w14:paraId="088F4CD2" w14:textId="77777777" w:rsidR="00210EF7" w:rsidRPr="00BD1C03" w:rsidRDefault="00210EF7" w:rsidP="005579CC">
            <w:pPr>
              <w:jc w:val="center"/>
              <w:rPr>
                <w:rFonts w:asciiTheme="majorBidi" w:hAnsiTheme="majorBidi" w:cstheme="majorBidi"/>
                <w:sz w:val="22"/>
                <w:lang w:val="en-IE"/>
              </w:rPr>
            </w:pPr>
          </w:p>
        </w:tc>
        <w:tc>
          <w:tcPr>
            <w:tcW w:w="1271" w:type="dxa"/>
            <w:tcBorders>
              <w:top w:val="single" w:sz="4" w:space="0" w:color="auto"/>
              <w:left w:val="nil"/>
              <w:bottom w:val="single" w:sz="4" w:space="0" w:color="auto"/>
              <w:right w:val="nil"/>
            </w:tcBorders>
          </w:tcPr>
          <w:p w14:paraId="7C82C92F" w14:textId="77777777" w:rsidR="00210EF7" w:rsidRPr="00BD1C03" w:rsidRDefault="00210EF7" w:rsidP="005579CC">
            <w:pPr>
              <w:jc w:val="center"/>
              <w:rPr>
                <w:rFonts w:asciiTheme="majorBidi" w:hAnsiTheme="majorBidi" w:cstheme="majorBidi"/>
                <w:i/>
                <w:iCs/>
                <w:sz w:val="22"/>
                <w:lang w:val="en-IE"/>
              </w:rPr>
            </w:pPr>
            <w:r w:rsidRPr="00BD1C03">
              <w:rPr>
                <w:rFonts w:asciiTheme="majorBidi" w:hAnsiTheme="majorBidi" w:cstheme="majorBidi"/>
                <w:i/>
                <w:iCs/>
                <w:sz w:val="22"/>
                <w:lang w:val="en-IE"/>
              </w:rPr>
              <w:t>a</w:t>
            </w:r>
          </w:p>
        </w:tc>
        <w:tc>
          <w:tcPr>
            <w:tcW w:w="1226" w:type="dxa"/>
            <w:tcBorders>
              <w:top w:val="single" w:sz="4" w:space="0" w:color="auto"/>
              <w:left w:val="nil"/>
              <w:bottom w:val="single" w:sz="4" w:space="0" w:color="auto"/>
              <w:right w:val="nil"/>
            </w:tcBorders>
          </w:tcPr>
          <w:p w14:paraId="406D196B" w14:textId="77777777" w:rsidR="00210EF7" w:rsidRPr="00BD1C03" w:rsidRDefault="00210EF7" w:rsidP="005579CC">
            <w:pPr>
              <w:jc w:val="center"/>
              <w:rPr>
                <w:rFonts w:asciiTheme="majorBidi" w:hAnsiTheme="majorBidi" w:cstheme="majorBidi"/>
                <w:i/>
                <w:iCs/>
                <w:sz w:val="22"/>
                <w:lang w:val="en-IE"/>
              </w:rPr>
            </w:pPr>
            <w:r w:rsidRPr="00BD1C03">
              <w:rPr>
                <w:rFonts w:asciiTheme="majorBidi" w:hAnsiTheme="majorBidi" w:cstheme="majorBidi"/>
                <w:i/>
                <w:iCs/>
                <w:sz w:val="22"/>
                <w:lang w:val="en-IE"/>
              </w:rPr>
              <w:t>b</w:t>
            </w:r>
          </w:p>
        </w:tc>
        <w:tc>
          <w:tcPr>
            <w:tcW w:w="1060" w:type="dxa"/>
            <w:tcBorders>
              <w:top w:val="single" w:sz="4" w:space="0" w:color="auto"/>
              <w:left w:val="nil"/>
              <w:bottom w:val="single" w:sz="4" w:space="0" w:color="auto"/>
              <w:right w:val="nil"/>
            </w:tcBorders>
          </w:tcPr>
          <w:p w14:paraId="3474F5C3" w14:textId="77777777" w:rsidR="00210EF7" w:rsidRPr="00BD1C03" w:rsidRDefault="00210EF7" w:rsidP="005579CC">
            <w:pPr>
              <w:jc w:val="center"/>
              <w:rPr>
                <w:rFonts w:asciiTheme="majorBidi" w:hAnsiTheme="majorBidi" w:cstheme="majorBidi"/>
                <w:i/>
                <w:iCs/>
                <w:sz w:val="22"/>
                <w:lang w:val="en-IE"/>
              </w:rPr>
            </w:pPr>
            <w:r w:rsidRPr="00BD1C03">
              <w:rPr>
                <w:rFonts w:asciiTheme="majorBidi" w:hAnsiTheme="majorBidi" w:cstheme="majorBidi"/>
                <w:i/>
                <w:iCs/>
                <w:sz w:val="22"/>
                <w:lang w:val="en-IE"/>
              </w:rPr>
              <w:t>C</w:t>
            </w:r>
          </w:p>
        </w:tc>
        <w:tc>
          <w:tcPr>
            <w:tcW w:w="2771" w:type="dxa"/>
            <w:vMerge/>
            <w:tcBorders>
              <w:left w:val="nil"/>
              <w:bottom w:val="single" w:sz="4" w:space="0" w:color="auto"/>
              <w:right w:val="nil"/>
            </w:tcBorders>
          </w:tcPr>
          <w:p w14:paraId="06051628" w14:textId="77777777" w:rsidR="00210EF7" w:rsidRPr="00BD1C03" w:rsidRDefault="00210EF7" w:rsidP="005579CC">
            <w:pPr>
              <w:jc w:val="center"/>
              <w:rPr>
                <w:rFonts w:asciiTheme="majorBidi" w:hAnsiTheme="majorBidi" w:cstheme="majorBidi"/>
                <w:i/>
                <w:iCs/>
                <w:sz w:val="22"/>
              </w:rPr>
            </w:pPr>
          </w:p>
        </w:tc>
      </w:tr>
      <w:tr w:rsidR="00210EF7" w:rsidRPr="00BD1C03" w14:paraId="4B72C724" w14:textId="77777777" w:rsidTr="005579CC">
        <w:trPr>
          <w:trHeight w:val="15"/>
          <w:jc w:val="center"/>
        </w:trPr>
        <w:tc>
          <w:tcPr>
            <w:tcW w:w="1247" w:type="dxa"/>
            <w:tcBorders>
              <w:top w:val="single" w:sz="4" w:space="0" w:color="auto"/>
              <w:left w:val="nil"/>
              <w:bottom w:val="nil"/>
              <w:right w:val="nil"/>
            </w:tcBorders>
          </w:tcPr>
          <w:p w14:paraId="1B3E1CE3" w14:textId="77777777" w:rsidR="00210EF7" w:rsidRPr="00BD1C03" w:rsidRDefault="00210EF7" w:rsidP="005579CC">
            <w:pPr>
              <w:jc w:val="center"/>
              <w:rPr>
                <w:rFonts w:asciiTheme="majorBidi" w:hAnsiTheme="majorBidi" w:cstheme="majorBidi"/>
                <w:b/>
                <w:sz w:val="22"/>
                <w:lang w:val="en-IE"/>
              </w:rPr>
            </w:pPr>
            <w:r w:rsidRPr="00BD1C03">
              <w:rPr>
                <w:rFonts w:asciiTheme="majorBidi" w:hAnsiTheme="majorBidi" w:cstheme="majorBidi"/>
                <w:sz w:val="22"/>
                <w:lang w:val="en-IE"/>
              </w:rPr>
              <w:t>Methanol</w:t>
            </w:r>
          </w:p>
        </w:tc>
        <w:tc>
          <w:tcPr>
            <w:tcW w:w="1271" w:type="dxa"/>
            <w:tcBorders>
              <w:top w:val="single" w:sz="4" w:space="0" w:color="auto"/>
              <w:left w:val="nil"/>
              <w:bottom w:val="nil"/>
              <w:right w:val="nil"/>
            </w:tcBorders>
          </w:tcPr>
          <w:p w14:paraId="38E6E4B1"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-433.1</w:t>
            </w:r>
          </w:p>
        </w:tc>
        <w:tc>
          <w:tcPr>
            <w:tcW w:w="1226" w:type="dxa"/>
            <w:tcBorders>
              <w:top w:val="single" w:sz="4" w:space="0" w:color="auto"/>
              <w:left w:val="nil"/>
              <w:bottom w:val="nil"/>
              <w:right w:val="nil"/>
            </w:tcBorders>
          </w:tcPr>
          <w:p w14:paraId="0CE024EF"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16060</w:t>
            </w:r>
          </w:p>
        </w:tc>
        <w:tc>
          <w:tcPr>
            <w:tcW w:w="1060" w:type="dxa"/>
            <w:tcBorders>
              <w:top w:val="single" w:sz="4" w:space="0" w:color="auto"/>
              <w:left w:val="nil"/>
              <w:bottom w:val="nil"/>
              <w:right w:val="nil"/>
            </w:tcBorders>
          </w:tcPr>
          <w:p w14:paraId="0DF59502"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67.37</w:t>
            </w:r>
          </w:p>
        </w:tc>
        <w:tc>
          <w:tcPr>
            <w:tcW w:w="2771" w:type="dxa"/>
            <w:tcBorders>
              <w:top w:val="single" w:sz="4" w:space="0" w:color="auto"/>
              <w:left w:val="nil"/>
              <w:bottom w:val="nil"/>
              <w:right w:val="nil"/>
            </w:tcBorders>
          </w:tcPr>
          <w:p w14:paraId="21621956" w14:textId="77777777" w:rsidR="00210EF7" w:rsidRPr="00BD1C03" w:rsidRDefault="00210EF7" w:rsidP="005579CC">
            <w:pPr>
              <w:jc w:val="center"/>
              <w:rPr>
                <w:rFonts w:asciiTheme="majorBidi" w:hAnsiTheme="majorBidi" w:cstheme="majorBidi"/>
                <w:sz w:val="22"/>
              </w:rPr>
            </w:pPr>
            <w:r w:rsidRPr="00BD1C03">
              <w:rPr>
                <w:rFonts w:asciiTheme="majorBidi" w:hAnsiTheme="majorBidi" w:cstheme="majorBidi"/>
                <w:sz w:val="22"/>
              </w:rPr>
              <w:t>-37.98</w:t>
            </w:r>
          </w:p>
        </w:tc>
      </w:tr>
      <w:tr w:rsidR="00210EF7" w:rsidRPr="00BD1C03" w14:paraId="03CE05C0" w14:textId="77777777" w:rsidTr="005579CC">
        <w:trPr>
          <w:trHeight w:val="36"/>
          <w:jc w:val="center"/>
        </w:trPr>
        <w:tc>
          <w:tcPr>
            <w:tcW w:w="1247" w:type="dxa"/>
            <w:tcBorders>
              <w:top w:val="nil"/>
              <w:left w:val="nil"/>
              <w:bottom w:val="single" w:sz="4" w:space="0" w:color="auto"/>
              <w:right w:val="nil"/>
            </w:tcBorders>
          </w:tcPr>
          <w:p w14:paraId="0D4E9430" w14:textId="77777777" w:rsidR="00210EF7" w:rsidRPr="00BD1C03" w:rsidRDefault="00210EF7" w:rsidP="005579CC">
            <w:pPr>
              <w:jc w:val="center"/>
              <w:rPr>
                <w:rFonts w:asciiTheme="majorBidi" w:hAnsiTheme="majorBidi" w:cstheme="majorBidi"/>
                <w:b/>
                <w:sz w:val="22"/>
                <w:lang w:val="en-IE"/>
              </w:rPr>
            </w:pPr>
            <w:r w:rsidRPr="00BD1C03">
              <w:rPr>
                <w:rFonts w:asciiTheme="majorBidi" w:hAnsiTheme="majorBidi" w:cstheme="majorBidi"/>
                <w:sz w:val="22"/>
                <w:lang w:val="en-IE"/>
              </w:rPr>
              <w:t xml:space="preserve">2-Propanol </w:t>
            </w:r>
          </w:p>
        </w:tc>
        <w:tc>
          <w:tcPr>
            <w:tcW w:w="1271" w:type="dxa"/>
            <w:tcBorders>
              <w:top w:val="nil"/>
              <w:left w:val="nil"/>
              <w:bottom w:val="single" w:sz="4" w:space="0" w:color="auto"/>
              <w:right w:val="nil"/>
            </w:tcBorders>
          </w:tcPr>
          <w:p w14:paraId="1A979C54"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-149.9</w:t>
            </w:r>
          </w:p>
        </w:tc>
        <w:tc>
          <w:tcPr>
            <w:tcW w:w="1226" w:type="dxa"/>
            <w:tcBorders>
              <w:top w:val="nil"/>
              <w:left w:val="nil"/>
              <w:bottom w:val="single" w:sz="4" w:space="0" w:color="auto"/>
              <w:right w:val="nil"/>
            </w:tcBorders>
          </w:tcPr>
          <w:p w14:paraId="45550068"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2334</w:t>
            </w:r>
          </w:p>
        </w:tc>
        <w:tc>
          <w:tcPr>
            <w:tcW w:w="1060" w:type="dxa"/>
            <w:tcBorders>
              <w:top w:val="nil"/>
              <w:left w:val="nil"/>
              <w:bottom w:val="single" w:sz="4" w:space="0" w:color="auto"/>
              <w:right w:val="nil"/>
            </w:tcBorders>
          </w:tcPr>
          <w:p w14:paraId="68FD70F8" w14:textId="77777777" w:rsidR="00210EF7" w:rsidRPr="00BD1C03" w:rsidRDefault="00210EF7" w:rsidP="005579CC">
            <w:pPr>
              <w:jc w:val="center"/>
              <w:rPr>
                <w:rFonts w:asciiTheme="majorBidi" w:hAnsiTheme="majorBidi" w:cstheme="majorBidi"/>
                <w:sz w:val="22"/>
                <w:lang w:val="en-IE"/>
              </w:rPr>
            </w:pPr>
            <w:r w:rsidRPr="00BD1C03">
              <w:rPr>
                <w:rFonts w:asciiTheme="majorBidi" w:hAnsiTheme="majorBidi" w:cstheme="majorBidi"/>
                <w:sz w:val="22"/>
                <w:lang w:val="en-IE"/>
              </w:rPr>
              <w:t>25.51</w:t>
            </w:r>
          </w:p>
        </w:tc>
        <w:tc>
          <w:tcPr>
            <w:tcW w:w="2771" w:type="dxa"/>
            <w:tcBorders>
              <w:top w:val="nil"/>
              <w:left w:val="nil"/>
              <w:bottom w:val="single" w:sz="4" w:space="0" w:color="auto"/>
              <w:right w:val="nil"/>
            </w:tcBorders>
          </w:tcPr>
          <w:p w14:paraId="5DE3B61B" w14:textId="77777777" w:rsidR="00210EF7" w:rsidRPr="00BD1C03" w:rsidRDefault="00210EF7" w:rsidP="005579CC">
            <w:pPr>
              <w:jc w:val="center"/>
              <w:rPr>
                <w:rFonts w:asciiTheme="majorBidi" w:hAnsiTheme="majorBidi" w:cstheme="majorBidi"/>
                <w:sz w:val="22"/>
              </w:rPr>
            </w:pPr>
            <w:r w:rsidRPr="00BD1C03">
              <w:rPr>
                <w:rFonts w:asciiTheme="majorBidi" w:hAnsiTheme="majorBidi" w:cstheme="majorBidi"/>
                <w:sz w:val="22"/>
              </w:rPr>
              <w:t>-43.64</w:t>
            </w:r>
          </w:p>
        </w:tc>
      </w:tr>
    </w:tbl>
    <w:p w14:paraId="71D48D25" w14:textId="2C29EED8" w:rsidR="00210EF7" w:rsidRPr="00BD1C03" w:rsidRDefault="00210EF7" w:rsidP="00210EF7">
      <w:pPr>
        <w:widowControl w:val="0"/>
        <w:autoSpaceDE w:val="0"/>
        <w:autoSpaceDN w:val="0"/>
        <w:adjustRightInd w:val="0"/>
        <w:spacing w:before="100" w:line="360" w:lineRule="auto"/>
        <w:jc w:val="both"/>
        <w:rPr>
          <w:rFonts w:ascii="Times New Roman" w:hAnsi="Times New Roman" w:cs="Times New Roman"/>
          <w:sz w:val="24"/>
          <w:szCs w:val="24"/>
        </w:rPr>
      </w:pPr>
      <w:r w:rsidRPr="00BD1C03">
        <w:rPr>
          <w:rFonts w:ascii="Times New Roman" w:hAnsi="Times New Roman" w:cs="Times New Roman"/>
          <w:sz w:val="24"/>
          <w:szCs w:val="24"/>
        </w:rPr>
        <w:lastRenderedPageBreak/>
        <w:t>Powder X-ray diffraction was utilized (</w:t>
      </w:r>
      <w:r w:rsidR="00326D83">
        <w:rPr>
          <w:rFonts w:ascii="Times New Roman" w:hAnsi="Times New Roman" w:cs="Times New Roman"/>
          <w:sz w:val="24"/>
          <w:szCs w:val="24"/>
        </w:rPr>
        <w:t>F</w:t>
      </w:r>
      <w:r w:rsidRPr="00BD1C03">
        <w:rPr>
          <w:rFonts w:ascii="Times New Roman" w:hAnsi="Times New Roman" w:cs="Times New Roman"/>
          <w:sz w:val="24"/>
          <w:szCs w:val="24"/>
        </w:rPr>
        <w:t>ig. S</w:t>
      </w:r>
      <w:r w:rsidR="00626B97">
        <w:rPr>
          <w:rFonts w:ascii="Times New Roman" w:hAnsi="Times New Roman" w:cs="Times New Roman"/>
          <w:sz w:val="24"/>
          <w:szCs w:val="24"/>
        </w:rPr>
        <w:t>4</w:t>
      </w:r>
      <w:r w:rsidRPr="00BD1C03">
        <w:rPr>
          <w:rFonts w:ascii="Times New Roman" w:hAnsi="Times New Roman" w:cs="Times New Roman"/>
          <w:sz w:val="24"/>
          <w:szCs w:val="24"/>
        </w:rPr>
        <w:t xml:space="preserve"> and S6) to confirm the crystal structure of the paracetamol crystallized in presence of two additives and compared with the pure paracetamol form I (</w:t>
      </w:r>
      <w:r w:rsidR="00F877DF">
        <w:rPr>
          <w:rFonts w:ascii="Times New Roman" w:hAnsi="Times New Roman" w:cs="Times New Roman"/>
          <w:sz w:val="24"/>
          <w:szCs w:val="24"/>
        </w:rPr>
        <w:t>F</w:t>
      </w:r>
      <w:r w:rsidRPr="00BD1C03">
        <w:rPr>
          <w:rFonts w:ascii="Times New Roman" w:hAnsi="Times New Roman" w:cs="Times New Roman"/>
          <w:sz w:val="24"/>
          <w:szCs w:val="24"/>
        </w:rPr>
        <w:t xml:space="preserve">ig. S4). X-ray diffraction was utilized to investigate the polymorphic transformation during the experiments. Powder diffraction data were collected on a Philips </w:t>
      </w:r>
      <w:proofErr w:type="spellStart"/>
      <w:r w:rsidRPr="00BD1C03">
        <w:rPr>
          <w:rFonts w:ascii="Times New Roman" w:hAnsi="Times New Roman" w:cs="Times New Roman"/>
          <w:sz w:val="24"/>
          <w:szCs w:val="24"/>
        </w:rPr>
        <w:t>X’Pert</w:t>
      </w:r>
      <w:proofErr w:type="spellEnd"/>
      <w:r w:rsidRPr="00BD1C03">
        <w:rPr>
          <w:rFonts w:ascii="Times New Roman" w:hAnsi="Times New Roman" w:cs="Times New Roman"/>
          <w:sz w:val="24"/>
          <w:szCs w:val="24"/>
        </w:rPr>
        <w:t>-MPD PRO diffractometer (PW3064 sample spinner) with nickel-filtered Cu Kα radiation (λ = 1.5418 Å) run at 40 kV and 35 mA, 2θ = 5−40°, with a step size of 0.02° 2θ and a scan speed of 0.02° s</w:t>
      </w:r>
      <w:r w:rsidRPr="00BD1C03">
        <w:rPr>
          <w:rFonts w:ascii="Times New Roman" w:hAnsi="Times New Roman" w:cs="Times New Roman"/>
          <w:sz w:val="24"/>
          <w:szCs w:val="24"/>
          <w:vertAlign w:val="superscript"/>
        </w:rPr>
        <w:t>−1</w:t>
      </w:r>
      <w:r w:rsidRPr="00BD1C03">
        <w:rPr>
          <w:rFonts w:ascii="Times New Roman" w:hAnsi="Times New Roman" w:cs="Times New Roman"/>
          <w:sz w:val="24"/>
          <w:szCs w:val="24"/>
        </w:rPr>
        <w:t>. Analysis of the spectra from two samples indicated no polymorphic transformation for both samples of paracetamol.</w:t>
      </w:r>
    </w:p>
    <w:p w14:paraId="0237C386" w14:textId="77777777" w:rsidR="00210EF7" w:rsidRPr="00BD1C03" w:rsidRDefault="00210EF7" w:rsidP="00210EF7">
      <w:pPr>
        <w:widowControl w:val="0"/>
        <w:autoSpaceDE w:val="0"/>
        <w:autoSpaceDN w:val="0"/>
        <w:adjustRightInd w:val="0"/>
        <w:spacing w:before="100" w:line="360" w:lineRule="auto"/>
        <w:ind w:left="480" w:hanging="480"/>
        <w:jc w:val="center"/>
        <w:rPr>
          <w:rFonts w:asciiTheme="majorBidi" w:hAnsiTheme="majorBidi" w:cstheme="majorBidi"/>
          <w:sz w:val="24"/>
          <w:szCs w:val="24"/>
        </w:rPr>
      </w:pPr>
      <w:r w:rsidRPr="00BD1C03">
        <w:rPr>
          <w:noProof/>
          <w:lang w:val="en-GB" w:eastAsia="en-GB"/>
        </w:rPr>
        <w:drawing>
          <wp:inline distT="0" distB="0" distL="0" distR="0" wp14:anchorId="5FB84095" wp14:editId="3A927503">
            <wp:extent cx="5628599" cy="3733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4365" cy="3750892"/>
                    </a:xfrm>
                    <a:prstGeom prst="rect">
                      <a:avLst/>
                    </a:prstGeom>
                  </pic:spPr>
                </pic:pic>
              </a:graphicData>
            </a:graphic>
          </wp:inline>
        </w:drawing>
      </w:r>
    </w:p>
    <w:p w14:paraId="3054A18E" w14:textId="77777777" w:rsidR="00210EF7" w:rsidRPr="00BD1C03" w:rsidRDefault="00210EF7" w:rsidP="00210EF7">
      <w:pPr>
        <w:pStyle w:val="Caption-Top"/>
      </w:pPr>
      <w:r w:rsidRPr="00BD1C03">
        <w:t>Figure S4. Powder X-ray diffraction pattern for monoclinic paracetamol (form I) [37].</w:t>
      </w:r>
    </w:p>
    <w:p w14:paraId="39C68F11" w14:textId="77777777" w:rsidR="00210EF7" w:rsidRPr="00BD1C03" w:rsidRDefault="00210EF7" w:rsidP="00210EF7">
      <w:pPr>
        <w:widowControl w:val="0"/>
        <w:autoSpaceDE w:val="0"/>
        <w:autoSpaceDN w:val="0"/>
        <w:adjustRightInd w:val="0"/>
        <w:spacing w:before="100" w:line="360" w:lineRule="auto"/>
        <w:ind w:left="480" w:hanging="480"/>
        <w:jc w:val="center"/>
        <w:rPr>
          <w:rFonts w:asciiTheme="majorBidi" w:hAnsiTheme="majorBidi" w:cstheme="majorBidi"/>
          <w:sz w:val="24"/>
          <w:szCs w:val="24"/>
        </w:rPr>
      </w:pPr>
    </w:p>
    <w:p w14:paraId="116B5ECA" w14:textId="77777777" w:rsidR="00210EF7" w:rsidRPr="00BD1C03" w:rsidRDefault="00210EF7" w:rsidP="00210EF7">
      <w:pPr>
        <w:widowControl w:val="0"/>
        <w:autoSpaceDE w:val="0"/>
        <w:autoSpaceDN w:val="0"/>
        <w:adjustRightInd w:val="0"/>
        <w:spacing w:before="100" w:line="360" w:lineRule="auto"/>
        <w:ind w:left="480" w:hanging="480"/>
        <w:jc w:val="center"/>
        <w:rPr>
          <w:rFonts w:asciiTheme="majorBidi" w:hAnsiTheme="majorBidi" w:cstheme="majorBidi"/>
          <w:sz w:val="24"/>
          <w:szCs w:val="24"/>
        </w:rPr>
      </w:pPr>
      <w:r w:rsidRPr="00BD1C03">
        <w:rPr>
          <w:noProof/>
          <w:lang w:val="en-GB" w:eastAsia="en-GB"/>
        </w:rPr>
        <w:lastRenderedPageBreak/>
        <w:drawing>
          <wp:inline distT="0" distB="0" distL="0" distR="0" wp14:anchorId="1F9FC89C" wp14:editId="0E8621CC">
            <wp:extent cx="5718091" cy="31652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9804" cy="3182786"/>
                    </a:xfrm>
                    <a:prstGeom prst="rect">
                      <a:avLst/>
                    </a:prstGeom>
                  </pic:spPr>
                </pic:pic>
              </a:graphicData>
            </a:graphic>
          </wp:inline>
        </w:drawing>
      </w:r>
      <w:r w:rsidRPr="00BD1C03">
        <w:rPr>
          <w:rStyle w:val="Caption-TopChar"/>
        </w:rPr>
        <w:t>Figure S5. Experimental powder X-ray diffraction pattern for paracetamol crystallized in presence of 2.2 mol% phenacetine.</w:t>
      </w:r>
    </w:p>
    <w:p w14:paraId="6CFF3E98" w14:textId="77777777" w:rsidR="00210EF7" w:rsidRPr="00BD1C03" w:rsidRDefault="00210EF7" w:rsidP="00210EF7">
      <w:pPr>
        <w:widowControl w:val="0"/>
        <w:autoSpaceDE w:val="0"/>
        <w:autoSpaceDN w:val="0"/>
        <w:adjustRightInd w:val="0"/>
        <w:spacing w:before="100" w:line="360" w:lineRule="auto"/>
        <w:ind w:left="480" w:hanging="480"/>
        <w:rPr>
          <w:rFonts w:asciiTheme="majorBidi" w:hAnsiTheme="majorBidi" w:cstheme="majorBidi"/>
          <w:sz w:val="24"/>
          <w:szCs w:val="24"/>
        </w:rPr>
      </w:pPr>
      <w:r w:rsidRPr="00BD1C03">
        <w:rPr>
          <w:noProof/>
          <w:lang w:val="en-GB" w:eastAsia="en-GB"/>
        </w:rPr>
        <w:drawing>
          <wp:inline distT="0" distB="0" distL="0" distR="0" wp14:anchorId="5A609481" wp14:editId="78B19C20">
            <wp:extent cx="5761984" cy="34722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0977" cy="3477667"/>
                    </a:xfrm>
                    <a:prstGeom prst="rect">
                      <a:avLst/>
                    </a:prstGeom>
                  </pic:spPr>
                </pic:pic>
              </a:graphicData>
            </a:graphic>
          </wp:inline>
        </w:drawing>
      </w:r>
    </w:p>
    <w:p w14:paraId="1711384B" w14:textId="77777777" w:rsidR="00210EF7" w:rsidRPr="00BD1C03" w:rsidRDefault="00210EF7" w:rsidP="00210EF7">
      <w:pPr>
        <w:pStyle w:val="Caption-Top"/>
      </w:pPr>
      <w:r w:rsidRPr="00BD1C03">
        <w:t xml:space="preserve">Figure S6. Experimental powder X-ray diffraction pattern for paracetamol crystallized in presence of 2mol% of 4- </w:t>
      </w:r>
      <w:proofErr w:type="spellStart"/>
      <w:r w:rsidRPr="00BD1C03">
        <w:t>chloroacetanalide</w:t>
      </w:r>
      <w:proofErr w:type="spellEnd"/>
      <w:r w:rsidRPr="00BD1C03">
        <w:t>.</w:t>
      </w:r>
    </w:p>
    <w:p w14:paraId="50BF76C7" w14:textId="77777777" w:rsidR="00CA507C" w:rsidRPr="00BD1C03" w:rsidRDefault="00CA507C" w:rsidP="00CA507C">
      <w:pPr>
        <w:rPr>
          <w:lang w:val="en-GB"/>
        </w:rPr>
      </w:pPr>
    </w:p>
    <w:p w14:paraId="54FC0F49" w14:textId="77777777" w:rsidR="00C124CA" w:rsidRPr="00BD1C03" w:rsidRDefault="00C124CA" w:rsidP="00CA507C">
      <w:pPr>
        <w:rPr>
          <w:lang w:val="en-GB"/>
        </w:rPr>
      </w:pPr>
    </w:p>
    <w:p w14:paraId="7B69356B" w14:textId="3F7C3BAC" w:rsidR="001B5B7A" w:rsidRPr="00BD1C03" w:rsidRDefault="00CA507C">
      <w:r w:rsidRPr="00BD1C03">
        <w:rPr>
          <w:noProof/>
          <w:lang w:val="en-GB" w:eastAsia="en-GB"/>
        </w:rPr>
        <w:lastRenderedPageBreak/>
        <w:drawing>
          <wp:inline distT="0" distB="0" distL="0" distR="0" wp14:anchorId="1C0A01FD" wp14:editId="4037DBD2">
            <wp:extent cx="5446478" cy="385530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57825" cy="3863340"/>
                    </a:xfrm>
                    <a:prstGeom prst="rect">
                      <a:avLst/>
                    </a:prstGeom>
                  </pic:spPr>
                </pic:pic>
              </a:graphicData>
            </a:graphic>
          </wp:inline>
        </w:drawing>
      </w:r>
    </w:p>
    <w:p w14:paraId="622B7963" w14:textId="7B3A3127" w:rsidR="00C0747B" w:rsidRPr="00BD1C03" w:rsidRDefault="00C0747B">
      <w:pPr>
        <w:rPr>
          <w:rStyle w:val="Caption-TopChar"/>
        </w:rPr>
      </w:pPr>
      <w:r w:rsidRPr="00BD1C03">
        <w:rPr>
          <w:rStyle w:val="Caption-TopChar"/>
        </w:rPr>
        <w:t>Figure S7. Overlay the powder X-ray diffraction pattern for pure paracetamol form I (black line) and paracetamol crystallized in presence of 2.2 mol% phenacetine (red line).</w:t>
      </w:r>
    </w:p>
    <w:p w14:paraId="4E22B2BA" w14:textId="32D610A6" w:rsidR="000B1125" w:rsidRPr="00BD1C03" w:rsidRDefault="000B1125">
      <w:pPr>
        <w:rPr>
          <w:rStyle w:val="Caption-TopChar"/>
        </w:rPr>
      </w:pPr>
      <w:r w:rsidRPr="00BD1C03">
        <w:rPr>
          <w:noProof/>
          <w:lang w:val="en-GB" w:eastAsia="en-GB"/>
        </w:rPr>
        <w:drawing>
          <wp:inline distT="0" distB="0" distL="0" distR="0" wp14:anchorId="59498160" wp14:editId="2CD63E37">
            <wp:extent cx="5165124" cy="36559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168373" cy="3658272"/>
                    </a:xfrm>
                    <a:prstGeom prst="rect">
                      <a:avLst/>
                    </a:prstGeom>
                  </pic:spPr>
                </pic:pic>
              </a:graphicData>
            </a:graphic>
          </wp:inline>
        </w:drawing>
      </w:r>
    </w:p>
    <w:p w14:paraId="4C605C7C" w14:textId="31739E8C" w:rsidR="008A2A1D" w:rsidRPr="00BD1C03" w:rsidRDefault="005D4578">
      <w:pPr>
        <w:rPr>
          <w:rStyle w:val="Caption-TopChar"/>
        </w:rPr>
      </w:pPr>
      <w:r w:rsidRPr="00BD1C03">
        <w:rPr>
          <w:rStyle w:val="Caption-TopChar"/>
        </w:rPr>
        <w:t>Figure S8. Overlay the powder X-ray diffraction pattern for pure paracetamol form I (black line) and paracetamo</w:t>
      </w:r>
      <w:r w:rsidR="00713162" w:rsidRPr="00BD1C03">
        <w:rPr>
          <w:rStyle w:val="Caption-TopChar"/>
        </w:rPr>
        <w:t>l crystallized in presence of 2</w:t>
      </w:r>
      <w:r w:rsidRPr="00BD1C03">
        <w:rPr>
          <w:rStyle w:val="Caption-TopChar"/>
        </w:rPr>
        <w:t xml:space="preserve"> mol% </w:t>
      </w:r>
      <w:r w:rsidR="00EB7DA4" w:rsidRPr="00BD1C03">
        <w:rPr>
          <w:rStyle w:val="Caption-TopChar"/>
        </w:rPr>
        <w:t xml:space="preserve">4- </w:t>
      </w:r>
      <w:proofErr w:type="spellStart"/>
      <w:r w:rsidR="00EB7DA4" w:rsidRPr="00BD1C03">
        <w:rPr>
          <w:rStyle w:val="Caption-TopChar"/>
        </w:rPr>
        <w:t>chloroacetanalide</w:t>
      </w:r>
      <w:proofErr w:type="spellEnd"/>
      <w:r w:rsidRPr="00BD1C03">
        <w:rPr>
          <w:rStyle w:val="Caption-TopChar"/>
        </w:rPr>
        <w:t xml:space="preserve"> (red line).</w:t>
      </w:r>
    </w:p>
    <w:p w14:paraId="0940F45B" w14:textId="70EF654A" w:rsidR="006F2F6A" w:rsidRPr="00BD1C03" w:rsidRDefault="00E83A99" w:rsidP="00AE1A5E">
      <w:pPr>
        <w:spacing w:line="360" w:lineRule="auto"/>
        <w:jc w:val="both"/>
        <w:rPr>
          <w:rFonts w:asciiTheme="majorBidi" w:hAnsiTheme="majorBidi" w:cstheme="majorBidi"/>
          <w:sz w:val="24"/>
          <w:szCs w:val="24"/>
        </w:rPr>
      </w:pPr>
      <w:r w:rsidRPr="00BD1C03">
        <w:rPr>
          <w:rFonts w:asciiTheme="majorBidi" w:hAnsiTheme="majorBidi" w:cstheme="majorBidi"/>
          <w:sz w:val="24"/>
          <w:szCs w:val="24"/>
        </w:rPr>
        <w:lastRenderedPageBreak/>
        <w:t xml:space="preserve">The ratio of PA to CA was determined using a </w:t>
      </w:r>
      <w:r w:rsidR="00765A90" w:rsidRPr="00BD1C03">
        <w:rPr>
          <w:rFonts w:asciiTheme="majorBidi" w:hAnsiTheme="majorBidi" w:cstheme="majorBidi"/>
          <w:sz w:val="24"/>
          <w:szCs w:val="24"/>
        </w:rPr>
        <w:t>high-pressure</w:t>
      </w:r>
      <w:r w:rsidRPr="00BD1C03">
        <w:rPr>
          <w:rFonts w:asciiTheme="majorBidi" w:hAnsiTheme="majorBidi" w:cstheme="majorBidi"/>
          <w:sz w:val="24"/>
          <w:szCs w:val="24"/>
        </w:rPr>
        <w:t xml:space="preserve"> liquid chromatography (HPLC) methodology based on previous studies</w:t>
      </w:r>
      <w:r w:rsidR="00933889" w:rsidRPr="00BD1C03">
        <w:rPr>
          <w:rFonts w:asciiTheme="majorBidi" w:hAnsiTheme="majorBidi" w:cstheme="majorBidi"/>
          <w:sz w:val="24"/>
          <w:szCs w:val="24"/>
        </w:rPr>
        <w:t xml:space="preserve"> [</w:t>
      </w:r>
      <w:r w:rsidR="004A7592" w:rsidRPr="00BD1C03">
        <w:rPr>
          <w:rFonts w:asciiTheme="majorBidi" w:hAnsiTheme="majorBidi" w:cstheme="majorBidi"/>
          <w:sz w:val="24"/>
          <w:szCs w:val="24"/>
        </w:rPr>
        <w:t>2,</w:t>
      </w:r>
      <w:r w:rsidR="00837656" w:rsidRPr="00BD1C03">
        <w:rPr>
          <w:rFonts w:asciiTheme="majorBidi" w:hAnsiTheme="majorBidi" w:cstheme="majorBidi"/>
          <w:sz w:val="24"/>
          <w:szCs w:val="24"/>
        </w:rPr>
        <w:t>4</w:t>
      </w:r>
      <w:r w:rsidR="00933889" w:rsidRPr="00BD1C03">
        <w:rPr>
          <w:rFonts w:asciiTheme="majorBidi" w:hAnsiTheme="majorBidi" w:cstheme="majorBidi"/>
          <w:sz w:val="24"/>
          <w:szCs w:val="24"/>
        </w:rPr>
        <w:t>,5</w:t>
      </w:r>
      <w:r w:rsidR="00837656" w:rsidRPr="00BD1C03">
        <w:rPr>
          <w:rFonts w:asciiTheme="majorBidi" w:hAnsiTheme="majorBidi" w:cstheme="majorBidi"/>
          <w:sz w:val="24"/>
          <w:szCs w:val="24"/>
        </w:rPr>
        <w:t>,</w:t>
      </w:r>
      <w:r w:rsidR="00933889" w:rsidRPr="00BD1C03">
        <w:rPr>
          <w:rFonts w:asciiTheme="majorBidi" w:hAnsiTheme="majorBidi" w:cstheme="majorBidi"/>
          <w:sz w:val="24"/>
          <w:szCs w:val="24"/>
        </w:rPr>
        <w:t>7]</w:t>
      </w:r>
      <w:r w:rsidRPr="00BD1C03">
        <w:rPr>
          <w:rFonts w:asciiTheme="majorBidi" w:hAnsiTheme="majorBidi" w:cstheme="majorBidi"/>
          <w:sz w:val="24"/>
          <w:szCs w:val="24"/>
        </w:rPr>
        <w:t>.</w:t>
      </w:r>
      <w:r w:rsidR="00B262B4" w:rsidRPr="00BD1C03">
        <w:rPr>
          <w:rFonts w:asciiTheme="majorBidi" w:hAnsiTheme="majorBidi" w:cstheme="majorBidi"/>
          <w:sz w:val="24"/>
          <w:szCs w:val="24"/>
        </w:rPr>
        <w:t xml:space="preserve"> </w:t>
      </w:r>
      <w:r w:rsidR="00CE45FB" w:rsidRPr="00BD1C03">
        <w:rPr>
          <w:rFonts w:asciiTheme="majorBidi" w:hAnsiTheme="majorBidi" w:cstheme="majorBidi"/>
          <w:sz w:val="24"/>
          <w:szCs w:val="24"/>
        </w:rPr>
        <w:t xml:space="preserve">The data of table shows that combination of fast cooling and seeding led to the lower purity of paracetamol crystals. The </w:t>
      </w:r>
      <w:r w:rsidR="002C7044" w:rsidRPr="00BD1C03">
        <w:rPr>
          <w:rFonts w:asciiTheme="majorBidi" w:hAnsiTheme="majorBidi" w:cstheme="majorBidi"/>
          <w:sz w:val="24"/>
          <w:szCs w:val="24"/>
        </w:rPr>
        <w:t>addition of seed crystals leads to a large crystal surface area</w:t>
      </w:r>
      <w:r w:rsidR="00CE45FB" w:rsidRPr="00BD1C03">
        <w:rPr>
          <w:rFonts w:asciiTheme="majorBidi" w:hAnsiTheme="majorBidi" w:cstheme="majorBidi"/>
          <w:sz w:val="24"/>
          <w:szCs w:val="24"/>
        </w:rPr>
        <w:t xml:space="preserve"> </w:t>
      </w:r>
      <w:r w:rsidR="002C7044" w:rsidRPr="00BD1C03">
        <w:rPr>
          <w:rFonts w:asciiTheme="majorBidi" w:hAnsiTheme="majorBidi" w:cstheme="majorBidi"/>
          <w:sz w:val="24"/>
          <w:szCs w:val="24"/>
        </w:rPr>
        <w:t>across the bulk solution</w:t>
      </w:r>
      <w:r w:rsidR="00CE45FB" w:rsidRPr="00BD1C03">
        <w:rPr>
          <w:rFonts w:asciiTheme="majorBidi" w:hAnsiTheme="majorBidi" w:cstheme="majorBidi"/>
          <w:sz w:val="24"/>
          <w:szCs w:val="24"/>
        </w:rPr>
        <w:t xml:space="preserve"> and a rapid depletion of super</w:t>
      </w:r>
      <w:r w:rsidR="002C7044" w:rsidRPr="00BD1C03">
        <w:rPr>
          <w:rFonts w:asciiTheme="majorBidi" w:hAnsiTheme="majorBidi" w:cstheme="majorBidi"/>
          <w:sz w:val="24"/>
          <w:szCs w:val="24"/>
        </w:rPr>
        <w:t xml:space="preserve">saturation which may </w:t>
      </w:r>
      <w:r w:rsidR="00CE45FB" w:rsidRPr="00BD1C03">
        <w:rPr>
          <w:rFonts w:asciiTheme="majorBidi" w:hAnsiTheme="majorBidi" w:cstheme="majorBidi"/>
          <w:sz w:val="24"/>
          <w:szCs w:val="24"/>
        </w:rPr>
        <w:t>favour</w:t>
      </w:r>
      <w:r w:rsidR="002C7044" w:rsidRPr="00BD1C03">
        <w:rPr>
          <w:rFonts w:asciiTheme="majorBidi" w:hAnsiTheme="majorBidi" w:cstheme="majorBidi"/>
          <w:sz w:val="24"/>
          <w:szCs w:val="24"/>
        </w:rPr>
        <w:t xml:space="preserve"> the incorporation of the CA</w:t>
      </w:r>
      <w:r w:rsidR="00CE45FB" w:rsidRPr="00BD1C03">
        <w:rPr>
          <w:rFonts w:asciiTheme="majorBidi" w:hAnsiTheme="majorBidi" w:cstheme="majorBidi"/>
          <w:sz w:val="24"/>
          <w:szCs w:val="24"/>
        </w:rPr>
        <w:t xml:space="preserve"> </w:t>
      </w:r>
      <w:r w:rsidR="002C7044" w:rsidRPr="00BD1C03">
        <w:rPr>
          <w:rFonts w:asciiTheme="majorBidi" w:hAnsiTheme="majorBidi" w:cstheme="majorBidi"/>
          <w:sz w:val="24"/>
          <w:szCs w:val="24"/>
        </w:rPr>
        <w:t>into the solid phase of PA. Without seed crystals,</w:t>
      </w:r>
      <w:r w:rsidR="00CE45FB" w:rsidRPr="00BD1C03">
        <w:rPr>
          <w:rFonts w:asciiTheme="majorBidi" w:hAnsiTheme="majorBidi" w:cstheme="majorBidi"/>
          <w:sz w:val="24"/>
          <w:szCs w:val="24"/>
        </w:rPr>
        <w:t xml:space="preserve"> </w:t>
      </w:r>
      <w:r w:rsidR="002C7044" w:rsidRPr="00BD1C03">
        <w:rPr>
          <w:rFonts w:asciiTheme="majorBidi" w:hAnsiTheme="majorBidi" w:cstheme="majorBidi"/>
          <w:sz w:val="24"/>
          <w:szCs w:val="24"/>
        </w:rPr>
        <w:t>crystallization proceeds locally through primary nucleation</w:t>
      </w:r>
      <w:r w:rsidR="00CE45FB" w:rsidRPr="00BD1C03">
        <w:rPr>
          <w:rFonts w:asciiTheme="majorBidi" w:hAnsiTheme="majorBidi" w:cstheme="majorBidi"/>
          <w:sz w:val="24"/>
          <w:szCs w:val="24"/>
        </w:rPr>
        <w:t xml:space="preserve"> </w:t>
      </w:r>
      <w:r w:rsidR="002C7044" w:rsidRPr="00BD1C03">
        <w:rPr>
          <w:rFonts w:asciiTheme="majorBidi" w:hAnsiTheme="majorBidi" w:cstheme="majorBidi"/>
          <w:sz w:val="24"/>
          <w:szCs w:val="24"/>
        </w:rPr>
        <w:t>followed by a slow depletion of supersaturation, possibly</w:t>
      </w:r>
      <w:r w:rsidR="00CE45FB" w:rsidRPr="00BD1C03">
        <w:rPr>
          <w:rFonts w:asciiTheme="majorBidi" w:hAnsiTheme="majorBidi" w:cstheme="majorBidi"/>
          <w:sz w:val="24"/>
          <w:szCs w:val="24"/>
        </w:rPr>
        <w:t xml:space="preserve"> </w:t>
      </w:r>
      <w:r w:rsidR="00CA459D" w:rsidRPr="00BD1C03">
        <w:rPr>
          <w:rFonts w:asciiTheme="majorBidi" w:hAnsiTheme="majorBidi" w:cstheme="majorBidi"/>
          <w:sz w:val="24"/>
          <w:szCs w:val="24"/>
        </w:rPr>
        <w:t>favouring</w:t>
      </w:r>
      <w:r w:rsidR="00CE45FB" w:rsidRPr="00BD1C03">
        <w:rPr>
          <w:rFonts w:asciiTheme="majorBidi" w:hAnsiTheme="majorBidi" w:cstheme="majorBidi"/>
          <w:sz w:val="24"/>
          <w:szCs w:val="24"/>
        </w:rPr>
        <w:t xml:space="preserve"> the crystal growth of PA over</w:t>
      </w:r>
      <w:r w:rsidR="002C7044" w:rsidRPr="00BD1C03">
        <w:rPr>
          <w:rFonts w:asciiTheme="majorBidi" w:hAnsiTheme="majorBidi" w:cstheme="majorBidi"/>
          <w:sz w:val="24"/>
          <w:szCs w:val="24"/>
        </w:rPr>
        <w:t xml:space="preserve"> CA</w:t>
      </w:r>
      <w:r w:rsidR="003738FA" w:rsidRPr="00BD1C03">
        <w:rPr>
          <w:rFonts w:asciiTheme="majorBidi" w:hAnsiTheme="majorBidi" w:cstheme="majorBidi"/>
          <w:sz w:val="24"/>
          <w:szCs w:val="24"/>
        </w:rPr>
        <w:t xml:space="preserve"> [</w:t>
      </w:r>
      <w:r w:rsidR="004A7592" w:rsidRPr="00BD1C03">
        <w:rPr>
          <w:rFonts w:asciiTheme="majorBidi" w:hAnsiTheme="majorBidi" w:cstheme="majorBidi"/>
          <w:sz w:val="24"/>
          <w:szCs w:val="24"/>
        </w:rPr>
        <w:t>2</w:t>
      </w:r>
      <w:r w:rsidR="003738FA" w:rsidRPr="00BD1C03">
        <w:rPr>
          <w:rFonts w:asciiTheme="majorBidi" w:hAnsiTheme="majorBidi" w:cstheme="majorBidi"/>
          <w:sz w:val="24"/>
          <w:szCs w:val="24"/>
        </w:rPr>
        <w:t>]</w:t>
      </w:r>
      <w:r w:rsidR="002C7044" w:rsidRPr="00BD1C03">
        <w:rPr>
          <w:rFonts w:asciiTheme="majorBidi" w:hAnsiTheme="majorBidi" w:cstheme="majorBidi"/>
          <w:sz w:val="24"/>
          <w:szCs w:val="24"/>
        </w:rPr>
        <w:t>.</w:t>
      </w:r>
    </w:p>
    <w:p w14:paraId="1BEAF3A5" w14:textId="77777777" w:rsidR="006F2F6A" w:rsidRPr="00BD1C03" w:rsidRDefault="006F2F6A" w:rsidP="00E83A99">
      <w:pPr>
        <w:spacing w:line="360" w:lineRule="auto"/>
        <w:jc w:val="both"/>
        <w:rPr>
          <w:rFonts w:asciiTheme="majorBidi" w:hAnsiTheme="majorBidi" w:cstheme="majorBidi"/>
          <w:sz w:val="24"/>
          <w:szCs w:val="24"/>
        </w:rPr>
      </w:pPr>
    </w:p>
    <w:p w14:paraId="769A440F" w14:textId="13F38243" w:rsidR="00084F1B" w:rsidRPr="00BD1C03" w:rsidRDefault="00084F1B" w:rsidP="00084F1B">
      <w:pPr>
        <w:rPr>
          <w:rFonts w:asciiTheme="majorBidi" w:hAnsiTheme="majorBidi" w:cstheme="majorBidi"/>
          <w:sz w:val="20"/>
          <w:szCs w:val="24"/>
        </w:rPr>
      </w:pPr>
      <w:r w:rsidRPr="00BD1C03">
        <w:rPr>
          <w:rFonts w:asciiTheme="majorBidi" w:hAnsiTheme="majorBidi" w:cstheme="majorBidi"/>
          <w:sz w:val="20"/>
          <w:szCs w:val="24"/>
        </w:rPr>
        <w:t>Table S3. Experimental design matrix of selected crystallization experiments for PA in the presence of 2 mol% CA, with the PA percentage in the solid phase as output.</w:t>
      </w:r>
    </w:p>
    <w:tbl>
      <w:tblPr>
        <w:tblStyle w:val="LightList"/>
        <w:tblW w:w="8438" w:type="dxa"/>
        <w:jc w:val="center"/>
        <w:tblBorders>
          <w:top w:val="none" w:sz="0" w:space="0" w:color="auto"/>
          <w:left w:val="none" w:sz="0" w:space="0" w:color="auto"/>
          <w:bottom w:val="none" w:sz="0" w:space="0" w:color="auto"/>
          <w:right w:val="none" w:sz="0" w:space="0" w:color="auto"/>
          <w:insideH w:val="single" w:sz="4" w:space="0" w:color="auto"/>
        </w:tblBorders>
        <w:tblLayout w:type="fixed"/>
        <w:tblLook w:val="04A0" w:firstRow="1" w:lastRow="0" w:firstColumn="1" w:lastColumn="0" w:noHBand="0" w:noVBand="1"/>
      </w:tblPr>
      <w:tblGrid>
        <w:gridCol w:w="1109"/>
        <w:gridCol w:w="1846"/>
        <w:gridCol w:w="11"/>
        <w:gridCol w:w="1333"/>
        <w:gridCol w:w="1367"/>
        <w:gridCol w:w="1572"/>
        <w:gridCol w:w="1200"/>
      </w:tblGrid>
      <w:tr w:rsidR="006F2F6A" w:rsidRPr="00BD1C03" w14:paraId="013FD578" w14:textId="77777777" w:rsidTr="00D63EE9">
        <w:trPr>
          <w:cnfStyle w:val="100000000000" w:firstRow="1" w:lastRow="0" w:firstColumn="0" w:lastColumn="0" w:oddVBand="0" w:evenVBand="0" w:oddHBand="0"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single" w:sz="4" w:space="0" w:color="auto"/>
              <w:bottom w:val="single" w:sz="4" w:space="0" w:color="auto"/>
            </w:tcBorders>
            <w:shd w:val="clear" w:color="auto" w:fill="auto"/>
            <w:vAlign w:val="center"/>
          </w:tcPr>
          <w:p w14:paraId="55753D90" w14:textId="77777777" w:rsidR="002C7044" w:rsidRPr="00BD1C03" w:rsidRDefault="002C7044" w:rsidP="002C7044">
            <w:pPr>
              <w:spacing w:after="0" w:line="240" w:lineRule="auto"/>
              <w:contextualSpacing/>
              <w:rPr>
                <w:rFonts w:ascii="Times New Roman" w:hAnsi="Times New Roman" w:cs="Times New Roman"/>
                <w:color w:val="auto"/>
                <w:sz w:val="20"/>
                <w:szCs w:val="24"/>
              </w:rPr>
            </w:pPr>
            <w:r w:rsidRPr="00BD1C03">
              <w:rPr>
                <w:rFonts w:ascii="Times New Roman" w:hAnsi="Times New Roman" w:cs="Times New Roman"/>
                <w:color w:val="auto"/>
                <w:sz w:val="20"/>
                <w:szCs w:val="24"/>
              </w:rPr>
              <w:t>No.</w:t>
            </w:r>
          </w:p>
        </w:tc>
        <w:tc>
          <w:tcPr>
            <w:tcW w:w="1857" w:type="dxa"/>
            <w:gridSpan w:val="2"/>
            <w:tcBorders>
              <w:top w:val="single" w:sz="4" w:space="0" w:color="auto"/>
              <w:bottom w:val="single" w:sz="4" w:space="0" w:color="auto"/>
            </w:tcBorders>
            <w:shd w:val="clear" w:color="auto" w:fill="auto"/>
            <w:vAlign w:val="center"/>
          </w:tcPr>
          <w:p w14:paraId="0DC7A3F8" w14:textId="77777777" w:rsidR="002C7044" w:rsidRPr="00BD1C03" w:rsidRDefault="002C7044" w:rsidP="002C7044">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4"/>
              </w:rPr>
            </w:pPr>
            <w:r w:rsidRPr="00BD1C03">
              <w:rPr>
                <w:rFonts w:ascii="Times New Roman" w:hAnsi="Times New Roman" w:cs="Times New Roman"/>
                <w:color w:val="auto"/>
                <w:sz w:val="20"/>
                <w:szCs w:val="24"/>
              </w:rPr>
              <w:t>Cooling method</w:t>
            </w:r>
          </w:p>
        </w:tc>
        <w:tc>
          <w:tcPr>
            <w:tcW w:w="1333" w:type="dxa"/>
            <w:tcBorders>
              <w:top w:val="single" w:sz="4" w:space="0" w:color="auto"/>
              <w:bottom w:val="single" w:sz="4" w:space="0" w:color="auto"/>
            </w:tcBorders>
            <w:shd w:val="clear" w:color="auto" w:fill="auto"/>
            <w:vAlign w:val="center"/>
          </w:tcPr>
          <w:p w14:paraId="3EEA0EBA" w14:textId="77777777" w:rsidR="002C7044" w:rsidRPr="00BD1C03" w:rsidRDefault="002C7044" w:rsidP="002C7044">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4"/>
              </w:rPr>
            </w:pPr>
            <w:r w:rsidRPr="00BD1C03">
              <w:rPr>
                <w:rFonts w:ascii="Times New Roman" w:hAnsi="Times New Roman" w:cs="Times New Roman"/>
                <w:color w:val="auto"/>
                <w:sz w:val="20"/>
                <w:szCs w:val="24"/>
              </w:rPr>
              <w:t>Cooling rate [K/min]</w:t>
            </w:r>
          </w:p>
        </w:tc>
        <w:tc>
          <w:tcPr>
            <w:tcW w:w="1367" w:type="dxa"/>
            <w:tcBorders>
              <w:top w:val="single" w:sz="4" w:space="0" w:color="auto"/>
              <w:bottom w:val="single" w:sz="4" w:space="0" w:color="auto"/>
            </w:tcBorders>
            <w:shd w:val="clear" w:color="auto" w:fill="auto"/>
            <w:vAlign w:val="center"/>
          </w:tcPr>
          <w:p w14:paraId="3443C0CD" w14:textId="06849CFD" w:rsidR="002C7044" w:rsidRPr="00BD1C03" w:rsidRDefault="0067713A" w:rsidP="002C7044">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4"/>
              </w:rPr>
            </w:pPr>
            <w:r w:rsidRPr="00BD1C03">
              <w:rPr>
                <w:rFonts w:ascii="Times New Roman" w:hAnsi="Times New Roman" w:cs="Times New Roman"/>
                <w:color w:val="auto"/>
                <w:sz w:val="20"/>
                <w:szCs w:val="24"/>
              </w:rPr>
              <w:t>Stirring r</w:t>
            </w:r>
            <w:r w:rsidR="002C7044" w:rsidRPr="00BD1C03">
              <w:rPr>
                <w:rFonts w:ascii="Times New Roman" w:hAnsi="Times New Roman" w:cs="Times New Roman"/>
                <w:color w:val="auto"/>
                <w:sz w:val="20"/>
                <w:szCs w:val="24"/>
              </w:rPr>
              <w:t>ate [rpm]</w:t>
            </w:r>
          </w:p>
        </w:tc>
        <w:tc>
          <w:tcPr>
            <w:tcW w:w="1572" w:type="dxa"/>
            <w:tcBorders>
              <w:top w:val="single" w:sz="4" w:space="0" w:color="auto"/>
              <w:bottom w:val="single" w:sz="4" w:space="0" w:color="auto"/>
            </w:tcBorders>
            <w:shd w:val="clear" w:color="auto" w:fill="auto"/>
            <w:vAlign w:val="center"/>
          </w:tcPr>
          <w:p w14:paraId="26483A09" w14:textId="77777777" w:rsidR="002C7044" w:rsidRPr="00BD1C03" w:rsidRDefault="002C7044" w:rsidP="002C7044">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4"/>
              </w:rPr>
            </w:pPr>
            <w:r w:rsidRPr="00BD1C03">
              <w:rPr>
                <w:rFonts w:ascii="Times New Roman" w:hAnsi="Times New Roman" w:cs="Times New Roman"/>
                <w:color w:val="auto"/>
                <w:sz w:val="20"/>
                <w:szCs w:val="24"/>
              </w:rPr>
              <w:t>Seeding</w:t>
            </w:r>
          </w:p>
        </w:tc>
        <w:tc>
          <w:tcPr>
            <w:tcW w:w="1200" w:type="dxa"/>
            <w:tcBorders>
              <w:top w:val="single" w:sz="4" w:space="0" w:color="auto"/>
              <w:bottom w:val="single" w:sz="4" w:space="0" w:color="auto"/>
            </w:tcBorders>
            <w:shd w:val="clear" w:color="auto" w:fill="auto"/>
            <w:vAlign w:val="center"/>
          </w:tcPr>
          <w:p w14:paraId="2E708143" w14:textId="61A66E85" w:rsidR="002C7044" w:rsidRPr="00BD1C03" w:rsidRDefault="002C7044" w:rsidP="002C7044">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0"/>
                <w:szCs w:val="24"/>
              </w:rPr>
            </w:pPr>
            <w:r w:rsidRPr="00BD1C03">
              <w:rPr>
                <w:rFonts w:ascii="Times New Roman" w:eastAsia="Times New Roman" w:hAnsi="Times New Roman" w:cs="Times New Roman"/>
                <w:color w:val="auto"/>
                <w:sz w:val="20"/>
                <w:szCs w:val="24"/>
                <w:lang w:eastAsia="en-GB"/>
              </w:rPr>
              <w:t>PA [%</w:t>
            </w:r>
            <w:r w:rsidRPr="00BD1C03">
              <w:rPr>
                <w:rFonts w:ascii="Times New Roman" w:eastAsia="Times New Roman" w:hAnsi="Times New Roman" w:cs="Times New Roman"/>
                <w:bCs w:val="0"/>
                <w:color w:val="auto"/>
                <w:sz w:val="20"/>
                <w:szCs w:val="24"/>
                <w:lang w:eastAsia="en-GB"/>
              </w:rPr>
              <w:t>]</w:t>
            </w:r>
          </w:p>
        </w:tc>
      </w:tr>
      <w:tr w:rsidR="006F2F6A" w:rsidRPr="00BD1C03" w14:paraId="1F11045C"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single" w:sz="4" w:space="0" w:color="auto"/>
              <w:left w:val="none" w:sz="0" w:space="0" w:color="auto"/>
              <w:bottom w:val="none" w:sz="0" w:space="0" w:color="auto"/>
            </w:tcBorders>
            <w:shd w:val="clear" w:color="auto" w:fill="auto"/>
            <w:vAlign w:val="center"/>
          </w:tcPr>
          <w:p w14:paraId="08ED1E76"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1</w:t>
            </w:r>
          </w:p>
        </w:tc>
        <w:tc>
          <w:tcPr>
            <w:tcW w:w="1846" w:type="dxa"/>
            <w:tcBorders>
              <w:top w:val="single" w:sz="4" w:space="0" w:color="auto"/>
              <w:bottom w:val="none" w:sz="0" w:space="0" w:color="auto"/>
            </w:tcBorders>
            <w:shd w:val="clear" w:color="auto" w:fill="auto"/>
            <w:vAlign w:val="center"/>
          </w:tcPr>
          <w:p w14:paraId="0BB63B63"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Linear</w:t>
            </w:r>
          </w:p>
        </w:tc>
        <w:tc>
          <w:tcPr>
            <w:tcW w:w="1344" w:type="dxa"/>
            <w:gridSpan w:val="2"/>
            <w:tcBorders>
              <w:top w:val="single" w:sz="4" w:space="0" w:color="auto"/>
              <w:bottom w:val="none" w:sz="0" w:space="0" w:color="auto"/>
            </w:tcBorders>
            <w:shd w:val="clear" w:color="auto" w:fill="auto"/>
            <w:vAlign w:val="center"/>
          </w:tcPr>
          <w:p w14:paraId="6910EB83"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tcBorders>
              <w:top w:val="single" w:sz="4" w:space="0" w:color="auto"/>
              <w:bottom w:val="none" w:sz="0" w:space="0" w:color="auto"/>
            </w:tcBorders>
            <w:shd w:val="clear" w:color="auto" w:fill="auto"/>
            <w:vAlign w:val="center"/>
          </w:tcPr>
          <w:p w14:paraId="4927FF08"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300</w:t>
            </w:r>
          </w:p>
        </w:tc>
        <w:tc>
          <w:tcPr>
            <w:tcW w:w="1572" w:type="dxa"/>
            <w:tcBorders>
              <w:top w:val="single" w:sz="4" w:space="0" w:color="auto"/>
              <w:bottom w:val="none" w:sz="0" w:space="0" w:color="auto"/>
            </w:tcBorders>
            <w:shd w:val="clear" w:color="auto" w:fill="auto"/>
            <w:vAlign w:val="center"/>
          </w:tcPr>
          <w:p w14:paraId="1E6FB07F"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tcBorders>
              <w:top w:val="single" w:sz="4" w:space="0" w:color="auto"/>
              <w:bottom w:val="none" w:sz="0" w:space="0" w:color="auto"/>
              <w:right w:val="none" w:sz="0" w:space="0" w:color="auto"/>
            </w:tcBorders>
            <w:shd w:val="clear" w:color="auto" w:fill="auto"/>
            <w:vAlign w:val="center"/>
          </w:tcPr>
          <w:p w14:paraId="19F1D45D" w14:textId="48EACD98"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99.28</w:t>
            </w:r>
          </w:p>
        </w:tc>
      </w:tr>
      <w:tr w:rsidR="006F2F6A" w:rsidRPr="00BD1C03" w14:paraId="22242422"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auto"/>
            <w:vAlign w:val="center"/>
          </w:tcPr>
          <w:p w14:paraId="6AE10C52"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2</w:t>
            </w:r>
          </w:p>
        </w:tc>
        <w:tc>
          <w:tcPr>
            <w:tcW w:w="1846" w:type="dxa"/>
            <w:shd w:val="clear" w:color="auto" w:fill="auto"/>
            <w:vAlign w:val="center"/>
          </w:tcPr>
          <w:p w14:paraId="56A289E4"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Hlk1209972"/>
            <w:r w:rsidRPr="00BD1C03">
              <w:rPr>
                <w:rFonts w:ascii="Times New Roman" w:hAnsi="Times New Roman" w:cs="Times New Roman"/>
                <w:sz w:val="24"/>
                <w:szCs w:val="24"/>
              </w:rPr>
              <w:t>T-cycle</w:t>
            </w:r>
          </w:p>
        </w:tc>
        <w:tc>
          <w:tcPr>
            <w:tcW w:w="1344" w:type="dxa"/>
            <w:gridSpan w:val="2"/>
            <w:shd w:val="clear" w:color="auto" w:fill="auto"/>
            <w:vAlign w:val="center"/>
          </w:tcPr>
          <w:p w14:paraId="3490E372"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shd w:val="clear" w:color="auto" w:fill="auto"/>
            <w:vAlign w:val="center"/>
          </w:tcPr>
          <w:p w14:paraId="35724A4E"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300</w:t>
            </w:r>
          </w:p>
        </w:tc>
        <w:tc>
          <w:tcPr>
            <w:tcW w:w="1572" w:type="dxa"/>
            <w:shd w:val="clear" w:color="auto" w:fill="auto"/>
            <w:vAlign w:val="center"/>
          </w:tcPr>
          <w:p w14:paraId="7C996D85"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shd w:val="clear" w:color="auto" w:fill="auto"/>
            <w:vAlign w:val="center"/>
          </w:tcPr>
          <w:p w14:paraId="7E8A0DCA" w14:textId="72DE1290"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99.22</w:t>
            </w:r>
          </w:p>
        </w:tc>
      </w:tr>
      <w:tr w:rsidR="006F2F6A" w:rsidRPr="00BD1C03" w14:paraId="016B22F1"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tcBorders>
            <w:shd w:val="clear" w:color="auto" w:fill="auto"/>
            <w:vAlign w:val="center"/>
          </w:tcPr>
          <w:p w14:paraId="5F8ADF14"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3</w:t>
            </w:r>
          </w:p>
        </w:tc>
        <w:bookmarkEnd w:id="2"/>
        <w:tc>
          <w:tcPr>
            <w:tcW w:w="1846" w:type="dxa"/>
            <w:tcBorders>
              <w:top w:val="none" w:sz="0" w:space="0" w:color="auto"/>
              <w:bottom w:val="none" w:sz="0" w:space="0" w:color="auto"/>
            </w:tcBorders>
            <w:shd w:val="clear" w:color="auto" w:fill="auto"/>
            <w:vAlign w:val="center"/>
          </w:tcPr>
          <w:p w14:paraId="6D9CDAFA"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Linear</w:t>
            </w:r>
          </w:p>
        </w:tc>
        <w:tc>
          <w:tcPr>
            <w:tcW w:w="1344" w:type="dxa"/>
            <w:gridSpan w:val="2"/>
            <w:tcBorders>
              <w:top w:val="none" w:sz="0" w:space="0" w:color="auto"/>
              <w:bottom w:val="none" w:sz="0" w:space="0" w:color="auto"/>
            </w:tcBorders>
            <w:shd w:val="clear" w:color="auto" w:fill="auto"/>
            <w:vAlign w:val="center"/>
          </w:tcPr>
          <w:p w14:paraId="3589AB6C"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tcBorders>
              <w:top w:val="none" w:sz="0" w:space="0" w:color="auto"/>
              <w:bottom w:val="none" w:sz="0" w:space="0" w:color="auto"/>
            </w:tcBorders>
            <w:shd w:val="clear" w:color="auto" w:fill="auto"/>
            <w:vAlign w:val="center"/>
          </w:tcPr>
          <w:p w14:paraId="7D8218C9"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300</w:t>
            </w:r>
          </w:p>
        </w:tc>
        <w:tc>
          <w:tcPr>
            <w:tcW w:w="1572" w:type="dxa"/>
            <w:tcBorders>
              <w:top w:val="none" w:sz="0" w:space="0" w:color="auto"/>
              <w:bottom w:val="none" w:sz="0" w:space="0" w:color="auto"/>
            </w:tcBorders>
            <w:shd w:val="clear" w:color="auto" w:fill="auto"/>
            <w:vAlign w:val="center"/>
          </w:tcPr>
          <w:p w14:paraId="02FDCCF6"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tcBorders>
              <w:top w:val="none" w:sz="0" w:space="0" w:color="auto"/>
              <w:bottom w:val="none" w:sz="0" w:space="0" w:color="auto"/>
              <w:right w:val="none" w:sz="0" w:space="0" w:color="auto"/>
            </w:tcBorders>
            <w:shd w:val="clear" w:color="auto" w:fill="auto"/>
            <w:vAlign w:val="center"/>
          </w:tcPr>
          <w:p w14:paraId="5F55CF64" w14:textId="4C7B100E"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99.43</w:t>
            </w:r>
          </w:p>
        </w:tc>
      </w:tr>
      <w:tr w:rsidR="006F2F6A" w:rsidRPr="00BD1C03" w14:paraId="230F5CC6"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auto"/>
            <w:vAlign w:val="center"/>
          </w:tcPr>
          <w:p w14:paraId="062829FB"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4</w:t>
            </w:r>
          </w:p>
        </w:tc>
        <w:tc>
          <w:tcPr>
            <w:tcW w:w="1846" w:type="dxa"/>
            <w:shd w:val="clear" w:color="auto" w:fill="auto"/>
            <w:vAlign w:val="center"/>
          </w:tcPr>
          <w:p w14:paraId="4DDF3F07"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Hlk1209495"/>
            <w:r w:rsidRPr="00BD1C03">
              <w:rPr>
                <w:rFonts w:ascii="Times New Roman" w:hAnsi="Times New Roman" w:cs="Times New Roman"/>
                <w:sz w:val="24"/>
                <w:szCs w:val="24"/>
              </w:rPr>
              <w:t>Linear</w:t>
            </w:r>
          </w:p>
        </w:tc>
        <w:tc>
          <w:tcPr>
            <w:tcW w:w="1344" w:type="dxa"/>
            <w:gridSpan w:val="2"/>
            <w:shd w:val="clear" w:color="auto" w:fill="auto"/>
            <w:vAlign w:val="center"/>
          </w:tcPr>
          <w:p w14:paraId="0881C168"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shd w:val="clear" w:color="auto" w:fill="auto"/>
            <w:vAlign w:val="center"/>
          </w:tcPr>
          <w:p w14:paraId="74E56415"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shd w:val="clear" w:color="auto" w:fill="auto"/>
            <w:vAlign w:val="center"/>
          </w:tcPr>
          <w:p w14:paraId="1F3D6767"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shd w:val="clear" w:color="auto" w:fill="auto"/>
            <w:vAlign w:val="center"/>
          </w:tcPr>
          <w:p w14:paraId="3FC9B2E2" w14:textId="2823B896"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99.27</w:t>
            </w:r>
          </w:p>
        </w:tc>
      </w:tr>
      <w:tr w:rsidR="006F2F6A" w:rsidRPr="00BD1C03" w14:paraId="3A3182F7"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tcBorders>
            <w:shd w:val="clear" w:color="auto" w:fill="auto"/>
            <w:vAlign w:val="center"/>
          </w:tcPr>
          <w:p w14:paraId="1F66D406"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5</w:t>
            </w:r>
          </w:p>
        </w:tc>
        <w:tc>
          <w:tcPr>
            <w:tcW w:w="1846" w:type="dxa"/>
            <w:tcBorders>
              <w:top w:val="none" w:sz="0" w:space="0" w:color="auto"/>
              <w:bottom w:val="none" w:sz="0" w:space="0" w:color="auto"/>
            </w:tcBorders>
            <w:shd w:val="clear" w:color="auto" w:fill="auto"/>
            <w:vAlign w:val="center"/>
          </w:tcPr>
          <w:p w14:paraId="46E0B795"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T-cycle</w:t>
            </w:r>
          </w:p>
        </w:tc>
        <w:tc>
          <w:tcPr>
            <w:tcW w:w="1344" w:type="dxa"/>
            <w:gridSpan w:val="2"/>
            <w:tcBorders>
              <w:top w:val="none" w:sz="0" w:space="0" w:color="auto"/>
              <w:bottom w:val="none" w:sz="0" w:space="0" w:color="auto"/>
            </w:tcBorders>
            <w:shd w:val="clear" w:color="auto" w:fill="auto"/>
            <w:vAlign w:val="center"/>
          </w:tcPr>
          <w:p w14:paraId="35EF9AF5"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tcBorders>
              <w:top w:val="none" w:sz="0" w:space="0" w:color="auto"/>
              <w:bottom w:val="none" w:sz="0" w:space="0" w:color="auto"/>
            </w:tcBorders>
            <w:shd w:val="clear" w:color="auto" w:fill="auto"/>
            <w:vAlign w:val="center"/>
          </w:tcPr>
          <w:p w14:paraId="44187BF3"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tcBorders>
              <w:top w:val="none" w:sz="0" w:space="0" w:color="auto"/>
              <w:bottom w:val="none" w:sz="0" w:space="0" w:color="auto"/>
            </w:tcBorders>
            <w:shd w:val="clear" w:color="auto" w:fill="auto"/>
            <w:vAlign w:val="center"/>
          </w:tcPr>
          <w:p w14:paraId="7A57F609"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tcBorders>
              <w:top w:val="none" w:sz="0" w:space="0" w:color="auto"/>
              <w:bottom w:val="none" w:sz="0" w:space="0" w:color="auto"/>
              <w:right w:val="none" w:sz="0" w:space="0" w:color="auto"/>
            </w:tcBorders>
            <w:shd w:val="clear" w:color="auto" w:fill="auto"/>
            <w:vAlign w:val="center"/>
          </w:tcPr>
          <w:p w14:paraId="33F2450E" w14:textId="7D6D219D"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99.26</w:t>
            </w:r>
          </w:p>
        </w:tc>
      </w:tr>
      <w:tr w:rsidR="006F2F6A" w:rsidRPr="00BD1C03" w14:paraId="7E834088"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auto"/>
            <w:vAlign w:val="center"/>
          </w:tcPr>
          <w:p w14:paraId="187A1579"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6</w:t>
            </w:r>
          </w:p>
        </w:tc>
        <w:tc>
          <w:tcPr>
            <w:tcW w:w="1846" w:type="dxa"/>
            <w:shd w:val="clear" w:color="auto" w:fill="auto"/>
            <w:vAlign w:val="center"/>
          </w:tcPr>
          <w:p w14:paraId="1E969156"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 w:name="_Hlk1206132"/>
            <w:bookmarkEnd w:id="3"/>
            <w:r w:rsidRPr="00BD1C03">
              <w:rPr>
                <w:rFonts w:ascii="Times New Roman" w:hAnsi="Times New Roman" w:cs="Times New Roman"/>
                <w:sz w:val="24"/>
                <w:szCs w:val="24"/>
              </w:rPr>
              <w:t>Linear</w:t>
            </w:r>
          </w:p>
        </w:tc>
        <w:tc>
          <w:tcPr>
            <w:tcW w:w="1344" w:type="dxa"/>
            <w:gridSpan w:val="2"/>
            <w:shd w:val="clear" w:color="auto" w:fill="auto"/>
            <w:vAlign w:val="center"/>
          </w:tcPr>
          <w:p w14:paraId="11524392"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shd w:val="clear" w:color="auto" w:fill="auto"/>
            <w:vAlign w:val="center"/>
          </w:tcPr>
          <w:p w14:paraId="1BF6FBC7"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shd w:val="clear" w:color="auto" w:fill="auto"/>
            <w:vAlign w:val="center"/>
          </w:tcPr>
          <w:p w14:paraId="6D25BC8F"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shd w:val="clear" w:color="auto" w:fill="auto"/>
            <w:vAlign w:val="center"/>
          </w:tcPr>
          <w:p w14:paraId="467A4660" w14:textId="5EAF7D0B"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99.26</w:t>
            </w:r>
          </w:p>
        </w:tc>
      </w:tr>
      <w:tr w:rsidR="006F2F6A" w:rsidRPr="00BD1C03" w14:paraId="1B20EBD9"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tcBorders>
            <w:shd w:val="clear" w:color="auto" w:fill="auto"/>
            <w:vAlign w:val="center"/>
          </w:tcPr>
          <w:p w14:paraId="0C4FA4E9"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7</w:t>
            </w:r>
          </w:p>
        </w:tc>
        <w:tc>
          <w:tcPr>
            <w:tcW w:w="1846" w:type="dxa"/>
            <w:tcBorders>
              <w:top w:val="none" w:sz="0" w:space="0" w:color="auto"/>
              <w:bottom w:val="none" w:sz="0" w:space="0" w:color="auto"/>
            </w:tcBorders>
            <w:shd w:val="clear" w:color="auto" w:fill="auto"/>
            <w:vAlign w:val="center"/>
          </w:tcPr>
          <w:p w14:paraId="667629BA"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T-cycle</w:t>
            </w:r>
          </w:p>
        </w:tc>
        <w:tc>
          <w:tcPr>
            <w:tcW w:w="1344" w:type="dxa"/>
            <w:gridSpan w:val="2"/>
            <w:tcBorders>
              <w:top w:val="none" w:sz="0" w:space="0" w:color="auto"/>
              <w:bottom w:val="none" w:sz="0" w:space="0" w:color="auto"/>
            </w:tcBorders>
            <w:shd w:val="clear" w:color="auto" w:fill="auto"/>
            <w:vAlign w:val="center"/>
          </w:tcPr>
          <w:p w14:paraId="5E2BAF6B"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tcBorders>
              <w:top w:val="none" w:sz="0" w:space="0" w:color="auto"/>
              <w:bottom w:val="none" w:sz="0" w:space="0" w:color="auto"/>
            </w:tcBorders>
            <w:shd w:val="clear" w:color="auto" w:fill="auto"/>
            <w:vAlign w:val="center"/>
          </w:tcPr>
          <w:p w14:paraId="4CF57675"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tcBorders>
              <w:top w:val="none" w:sz="0" w:space="0" w:color="auto"/>
              <w:bottom w:val="none" w:sz="0" w:space="0" w:color="auto"/>
            </w:tcBorders>
            <w:shd w:val="clear" w:color="auto" w:fill="auto"/>
            <w:vAlign w:val="center"/>
          </w:tcPr>
          <w:p w14:paraId="7FCE577E"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No</w:t>
            </w:r>
          </w:p>
        </w:tc>
        <w:tc>
          <w:tcPr>
            <w:tcW w:w="1200" w:type="dxa"/>
            <w:tcBorders>
              <w:top w:val="none" w:sz="0" w:space="0" w:color="auto"/>
              <w:bottom w:val="none" w:sz="0" w:space="0" w:color="auto"/>
              <w:right w:val="none" w:sz="0" w:space="0" w:color="auto"/>
            </w:tcBorders>
            <w:shd w:val="clear" w:color="auto" w:fill="auto"/>
            <w:vAlign w:val="center"/>
          </w:tcPr>
          <w:p w14:paraId="561F6F15" w14:textId="0D5CF653"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99.37</w:t>
            </w:r>
          </w:p>
        </w:tc>
      </w:tr>
      <w:tr w:rsidR="006F2F6A" w:rsidRPr="00BD1C03" w14:paraId="6B875B94"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auto"/>
            <w:vAlign w:val="center"/>
          </w:tcPr>
          <w:p w14:paraId="59049D73"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8</w:t>
            </w:r>
          </w:p>
        </w:tc>
        <w:bookmarkEnd w:id="4"/>
        <w:tc>
          <w:tcPr>
            <w:tcW w:w="1846" w:type="dxa"/>
            <w:shd w:val="clear" w:color="auto" w:fill="auto"/>
            <w:vAlign w:val="center"/>
          </w:tcPr>
          <w:p w14:paraId="211938C5"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Linear</w:t>
            </w:r>
          </w:p>
        </w:tc>
        <w:tc>
          <w:tcPr>
            <w:tcW w:w="1344" w:type="dxa"/>
            <w:gridSpan w:val="2"/>
            <w:shd w:val="clear" w:color="auto" w:fill="auto"/>
            <w:vAlign w:val="center"/>
          </w:tcPr>
          <w:p w14:paraId="5FA397EF"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shd w:val="clear" w:color="auto" w:fill="auto"/>
            <w:vAlign w:val="center"/>
          </w:tcPr>
          <w:p w14:paraId="220898C6"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300</w:t>
            </w:r>
          </w:p>
        </w:tc>
        <w:tc>
          <w:tcPr>
            <w:tcW w:w="1572" w:type="dxa"/>
            <w:shd w:val="clear" w:color="auto" w:fill="auto"/>
            <w:vAlign w:val="center"/>
          </w:tcPr>
          <w:p w14:paraId="3ED99B74"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shd w:val="clear" w:color="auto" w:fill="auto"/>
            <w:vAlign w:val="center"/>
          </w:tcPr>
          <w:p w14:paraId="734FE3F0" w14:textId="42629423"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99.11</w:t>
            </w:r>
          </w:p>
        </w:tc>
      </w:tr>
      <w:tr w:rsidR="006F2F6A" w:rsidRPr="00BD1C03" w14:paraId="69D8348A"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tcBorders>
            <w:shd w:val="clear" w:color="auto" w:fill="auto"/>
            <w:vAlign w:val="center"/>
          </w:tcPr>
          <w:p w14:paraId="42D13088"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9</w:t>
            </w:r>
          </w:p>
        </w:tc>
        <w:tc>
          <w:tcPr>
            <w:tcW w:w="1846" w:type="dxa"/>
            <w:tcBorders>
              <w:top w:val="none" w:sz="0" w:space="0" w:color="auto"/>
              <w:bottom w:val="none" w:sz="0" w:space="0" w:color="auto"/>
            </w:tcBorders>
            <w:shd w:val="clear" w:color="auto" w:fill="auto"/>
            <w:vAlign w:val="center"/>
          </w:tcPr>
          <w:p w14:paraId="6E3F9D4E"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T-cycle</w:t>
            </w:r>
          </w:p>
        </w:tc>
        <w:tc>
          <w:tcPr>
            <w:tcW w:w="1344" w:type="dxa"/>
            <w:gridSpan w:val="2"/>
            <w:tcBorders>
              <w:top w:val="none" w:sz="0" w:space="0" w:color="auto"/>
              <w:bottom w:val="none" w:sz="0" w:space="0" w:color="auto"/>
            </w:tcBorders>
            <w:shd w:val="clear" w:color="auto" w:fill="auto"/>
            <w:vAlign w:val="center"/>
          </w:tcPr>
          <w:p w14:paraId="1982B99E"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tcBorders>
              <w:top w:val="none" w:sz="0" w:space="0" w:color="auto"/>
              <w:bottom w:val="none" w:sz="0" w:space="0" w:color="auto"/>
            </w:tcBorders>
            <w:shd w:val="clear" w:color="auto" w:fill="auto"/>
            <w:vAlign w:val="center"/>
          </w:tcPr>
          <w:p w14:paraId="471794AD"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300</w:t>
            </w:r>
          </w:p>
        </w:tc>
        <w:tc>
          <w:tcPr>
            <w:tcW w:w="1572" w:type="dxa"/>
            <w:tcBorders>
              <w:top w:val="none" w:sz="0" w:space="0" w:color="auto"/>
              <w:bottom w:val="none" w:sz="0" w:space="0" w:color="auto"/>
            </w:tcBorders>
            <w:shd w:val="clear" w:color="auto" w:fill="auto"/>
            <w:vAlign w:val="center"/>
          </w:tcPr>
          <w:p w14:paraId="6EAF861D"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tcBorders>
              <w:top w:val="none" w:sz="0" w:space="0" w:color="auto"/>
              <w:bottom w:val="none" w:sz="0" w:space="0" w:color="auto"/>
              <w:right w:val="none" w:sz="0" w:space="0" w:color="auto"/>
            </w:tcBorders>
            <w:shd w:val="clear" w:color="auto" w:fill="auto"/>
            <w:vAlign w:val="center"/>
          </w:tcPr>
          <w:p w14:paraId="1F16E426" w14:textId="5AD9CF3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99.31</w:t>
            </w:r>
          </w:p>
        </w:tc>
      </w:tr>
      <w:tr w:rsidR="006F2F6A" w:rsidRPr="00BD1C03" w14:paraId="258AF248"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auto"/>
            <w:vAlign w:val="center"/>
          </w:tcPr>
          <w:p w14:paraId="266470C5"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10</w:t>
            </w:r>
          </w:p>
        </w:tc>
        <w:tc>
          <w:tcPr>
            <w:tcW w:w="1846" w:type="dxa"/>
            <w:shd w:val="clear" w:color="auto" w:fill="auto"/>
            <w:vAlign w:val="center"/>
          </w:tcPr>
          <w:p w14:paraId="7646F8D9"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Linear</w:t>
            </w:r>
          </w:p>
        </w:tc>
        <w:tc>
          <w:tcPr>
            <w:tcW w:w="1344" w:type="dxa"/>
            <w:gridSpan w:val="2"/>
            <w:shd w:val="clear" w:color="auto" w:fill="auto"/>
            <w:vAlign w:val="center"/>
          </w:tcPr>
          <w:p w14:paraId="1BC5A162"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shd w:val="clear" w:color="auto" w:fill="auto"/>
            <w:vAlign w:val="center"/>
          </w:tcPr>
          <w:p w14:paraId="07CCEC85"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shd w:val="clear" w:color="auto" w:fill="auto"/>
            <w:vAlign w:val="center"/>
          </w:tcPr>
          <w:p w14:paraId="5B9A5B78"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shd w:val="clear" w:color="auto" w:fill="auto"/>
            <w:vAlign w:val="center"/>
          </w:tcPr>
          <w:p w14:paraId="1BBA3B29" w14:textId="70EF5C46"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98.92</w:t>
            </w:r>
          </w:p>
        </w:tc>
      </w:tr>
      <w:tr w:rsidR="006F2F6A" w:rsidRPr="00BD1C03" w14:paraId="663529DA"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none" w:sz="0" w:space="0" w:color="auto"/>
              <w:left w:val="none" w:sz="0" w:space="0" w:color="auto"/>
              <w:bottom w:val="none" w:sz="0" w:space="0" w:color="auto"/>
            </w:tcBorders>
            <w:shd w:val="clear" w:color="auto" w:fill="auto"/>
            <w:vAlign w:val="center"/>
          </w:tcPr>
          <w:p w14:paraId="5E7D79FD"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11</w:t>
            </w:r>
          </w:p>
        </w:tc>
        <w:tc>
          <w:tcPr>
            <w:tcW w:w="1846" w:type="dxa"/>
            <w:tcBorders>
              <w:top w:val="none" w:sz="0" w:space="0" w:color="auto"/>
              <w:bottom w:val="none" w:sz="0" w:space="0" w:color="auto"/>
            </w:tcBorders>
            <w:shd w:val="clear" w:color="auto" w:fill="auto"/>
            <w:vAlign w:val="center"/>
          </w:tcPr>
          <w:p w14:paraId="0EBDC3D8"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T-cycle</w:t>
            </w:r>
          </w:p>
        </w:tc>
        <w:tc>
          <w:tcPr>
            <w:tcW w:w="1344" w:type="dxa"/>
            <w:gridSpan w:val="2"/>
            <w:tcBorders>
              <w:top w:val="none" w:sz="0" w:space="0" w:color="auto"/>
              <w:bottom w:val="none" w:sz="0" w:space="0" w:color="auto"/>
            </w:tcBorders>
            <w:shd w:val="clear" w:color="auto" w:fill="auto"/>
            <w:vAlign w:val="center"/>
          </w:tcPr>
          <w:p w14:paraId="210EDC49"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0.9</w:t>
            </w:r>
          </w:p>
        </w:tc>
        <w:tc>
          <w:tcPr>
            <w:tcW w:w="1367" w:type="dxa"/>
            <w:tcBorders>
              <w:top w:val="none" w:sz="0" w:space="0" w:color="auto"/>
              <w:bottom w:val="none" w:sz="0" w:space="0" w:color="auto"/>
            </w:tcBorders>
            <w:shd w:val="clear" w:color="auto" w:fill="auto"/>
            <w:vAlign w:val="center"/>
          </w:tcPr>
          <w:p w14:paraId="52259371"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tcBorders>
              <w:top w:val="none" w:sz="0" w:space="0" w:color="auto"/>
              <w:bottom w:val="none" w:sz="0" w:space="0" w:color="auto"/>
            </w:tcBorders>
            <w:shd w:val="clear" w:color="auto" w:fill="auto"/>
            <w:vAlign w:val="center"/>
          </w:tcPr>
          <w:p w14:paraId="0696355D"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tcBorders>
              <w:top w:val="none" w:sz="0" w:space="0" w:color="auto"/>
              <w:bottom w:val="none" w:sz="0" w:space="0" w:color="auto"/>
              <w:right w:val="none" w:sz="0" w:space="0" w:color="auto"/>
            </w:tcBorders>
            <w:shd w:val="clear" w:color="auto" w:fill="auto"/>
            <w:vAlign w:val="center"/>
          </w:tcPr>
          <w:p w14:paraId="07239E29" w14:textId="29B3EDD4"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98.84</w:t>
            </w:r>
          </w:p>
        </w:tc>
      </w:tr>
      <w:tr w:rsidR="006F2F6A" w:rsidRPr="00BD1C03" w14:paraId="13E6D7E7" w14:textId="77777777" w:rsidTr="00D63EE9">
        <w:trPr>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bottom w:val="single" w:sz="4" w:space="0" w:color="auto"/>
            </w:tcBorders>
            <w:shd w:val="clear" w:color="auto" w:fill="auto"/>
            <w:vAlign w:val="center"/>
          </w:tcPr>
          <w:p w14:paraId="20938DC7"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12</w:t>
            </w:r>
          </w:p>
        </w:tc>
        <w:tc>
          <w:tcPr>
            <w:tcW w:w="1846" w:type="dxa"/>
            <w:tcBorders>
              <w:bottom w:val="single" w:sz="4" w:space="0" w:color="auto"/>
            </w:tcBorders>
            <w:shd w:val="clear" w:color="auto" w:fill="auto"/>
            <w:vAlign w:val="center"/>
          </w:tcPr>
          <w:p w14:paraId="57B2CF40"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Linear</w:t>
            </w:r>
          </w:p>
        </w:tc>
        <w:tc>
          <w:tcPr>
            <w:tcW w:w="1344" w:type="dxa"/>
            <w:gridSpan w:val="2"/>
            <w:tcBorders>
              <w:bottom w:val="single" w:sz="4" w:space="0" w:color="auto"/>
            </w:tcBorders>
            <w:shd w:val="clear" w:color="auto" w:fill="auto"/>
            <w:vAlign w:val="center"/>
          </w:tcPr>
          <w:p w14:paraId="01C5C0CA"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tcBorders>
              <w:bottom w:val="single" w:sz="4" w:space="0" w:color="auto"/>
            </w:tcBorders>
            <w:shd w:val="clear" w:color="auto" w:fill="auto"/>
            <w:vAlign w:val="center"/>
          </w:tcPr>
          <w:p w14:paraId="1A81C680"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tcBorders>
              <w:bottom w:val="single" w:sz="4" w:space="0" w:color="auto"/>
            </w:tcBorders>
            <w:shd w:val="clear" w:color="auto" w:fill="auto"/>
            <w:vAlign w:val="center"/>
          </w:tcPr>
          <w:p w14:paraId="7FA8CA0E" w14:textId="77777777"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tcBorders>
              <w:bottom w:val="single" w:sz="4" w:space="0" w:color="auto"/>
            </w:tcBorders>
            <w:shd w:val="clear" w:color="auto" w:fill="auto"/>
            <w:vAlign w:val="center"/>
          </w:tcPr>
          <w:p w14:paraId="02F752D6" w14:textId="76B7B65A" w:rsidR="002C7044" w:rsidRPr="00BD1C03" w:rsidRDefault="002C7044" w:rsidP="002C704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99.58</w:t>
            </w:r>
          </w:p>
        </w:tc>
      </w:tr>
      <w:tr w:rsidR="006F2F6A" w:rsidRPr="00BD1C03" w14:paraId="05F98CAD" w14:textId="77777777" w:rsidTr="00D63EE9">
        <w:trPr>
          <w:cnfStyle w:val="000000100000" w:firstRow="0" w:lastRow="0" w:firstColumn="0" w:lastColumn="0" w:oddVBand="0" w:evenVBand="0" w:oddHBand="1" w:evenHBand="0" w:firstRowFirstColumn="0" w:firstRowLastColumn="0" w:lastRowFirstColumn="0" w:lastRowLastColumn="0"/>
          <w:trHeight w:val="41"/>
          <w:jc w:val="center"/>
        </w:trPr>
        <w:tc>
          <w:tcPr>
            <w:cnfStyle w:val="001000000000" w:firstRow="0" w:lastRow="0" w:firstColumn="1" w:lastColumn="0" w:oddVBand="0" w:evenVBand="0" w:oddHBand="0" w:evenHBand="0" w:firstRowFirstColumn="0" w:firstRowLastColumn="0" w:lastRowFirstColumn="0" w:lastRowLastColumn="0"/>
            <w:tcW w:w="1109" w:type="dxa"/>
            <w:tcBorders>
              <w:top w:val="single" w:sz="4" w:space="0" w:color="auto"/>
              <w:left w:val="none" w:sz="0" w:space="0" w:color="auto"/>
              <w:bottom w:val="single" w:sz="4" w:space="0" w:color="auto"/>
            </w:tcBorders>
            <w:shd w:val="clear" w:color="auto" w:fill="auto"/>
            <w:vAlign w:val="center"/>
          </w:tcPr>
          <w:p w14:paraId="19F567E7" w14:textId="77777777" w:rsidR="002C7044" w:rsidRPr="00BD1C03" w:rsidRDefault="002C7044" w:rsidP="002C7044">
            <w:pPr>
              <w:spacing w:after="0" w:line="240" w:lineRule="auto"/>
              <w:rPr>
                <w:rFonts w:ascii="Times New Roman" w:hAnsi="Times New Roman" w:cs="Times New Roman"/>
                <w:sz w:val="24"/>
                <w:szCs w:val="24"/>
              </w:rPr>
            </w:pPr>
            <w:r w:rsidRPr="00BD1C03">
              <w:rPr>
                <w:rFonts w:ascii="Times New Roman" w:hAnsi="Times New Roman" w:cs="Times New Roman"/>
                <w:sz w:val="24"/>
                <w:szCs w:val="24"/>
              </w:rPr>
              <w:t>13</w:t>
            </w:r>
          </w:p>
        </w:tc>
        <w:tc>
          <w:tcPr>
            <w:tcW w:w="1846" w:type="dxa"/>
            <w:tcBorders>
              <w:top w:val="single" w:sz="4" w:space="0" w:color="auto"/>
              <w:bottom w:val="single" w:sz="4" w:space="0" w:color="auto"/>
            </w:tcBorders>
            <w:shd w:val="clear" w:color="auto" w:fill="auto"/>
            <w:vAlign w:val="center"/>
          </w:tcPr>
          <w:p w14:paraId="769FB81F"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T-cycle</w:t>
            </w:r>
          </w:p>
        </w:tc>
        <w:tc>
          <w:tcPr>
            <w:tcW w:w="1344" w:type="dxa"/>
            <w:gridSpan w:val="2"/>
            <w:tcBorders>
              <w:top w:val="single" w:sz="4" w:space="0" w:color="auto"/>
              <w:bottom w:val="single" w:sz="4" w:space="0" w:color="auto"/>
            </w:tcBorders>
            <w:shd w:val="clear" w:color="auto" w:fill="auto"/>
            <w:vAlign w:val="center"/>
          </w:tcPr>
          <w:p w14:paraId="686767BC"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0.1</w:t>
            </w:r>
          </w:p>
        </w:tc>
        <w:tc>
          <w:tcPr>
            <w:tcW w:w="1367" w:type="dxa"/>
            <w:tcBorders>
              <w:top w:val="single" w:sz="4" w:space="0" w:color="auto"/>
              <w:bottom w:val="single" w:sz="4" w:space="0" w:color="auto"/>
            </w:tcBorders>
            <w:shd w:val="clear" w:color="auto" w:fill="auto"/>
            <w:vAlign w:val="center"/>
          </w:tcPr>
          <w:p w14:paraId="6203757B"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400</w:t>
            </w:r>
          </w:p>
        </w:tc>
        <w:tc>
          <w:tcPr>
            <w:tcW w:w="1572" w:type="dxa"/>
            <w:tcBorders>
              <w:top w:val="single" w:sz="4" w:space="0" w:color="auto"/>
              <w:bottom w:val="single" w:sz="4" w:space="0" w:color="auto"/>
            </w:tcBorders>
            <w:shd w:val="clear" w:color="auto" w:fill="auto"/>
            <w:vAlign w:val="center"/>
          </w:tcPr>
          <w:p w14:paraId="39BED5E3" w14:textId="77777777"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1C03">
              <w:rPr>
                <w:rFonts w:ascii="Times New Roman" w:hAnsi="Times New Roman" w:cs="Times New Roman"/>
                <w:sz w:val="24"/>
                <w:szCs w:val="24"/>
              </w:rPr>
              <w:t>Yes</w:t>
            </w:r>
          </w:p>
        </w:tc>
        <w:tc>
          <w:tcPr>
            <w:tcW w:w="1200" w:type="dxa"/>
            <w:tcBorders>
              <w:top w:val="single" w:sz="4" w:space="0" w:color="auto"/>
              <w:bottom w:val="single" w:sz="4" w:space="0" w:color="auto"/>
              <w:right w:val="none" w:sz="0" w:space="0" w:color="auto"/>
            </w:tcBorders>
            <w:shd w:val="clear" w:color="auto" w:fill="auto"/>
            <w:vAlign w:val="center"/>
          </w:tcPr>
          <w:p w14:paraId="3BE54B46" w14:textId="00DBA0D2" w:rsidR="002C7044" w:rsidRPr="00BD1C03" w:rsidRDefault="002C7044" w:rsidP="002C704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en-IE"/>
              </w:rPr>
            </w:pPr>
            <w:r w:rsidRPr="00BD1C03">
              <w:rPr>
                <w:rFonts w:ascii="Times New Roman" w:eastAsia="Times New Roman" w:hAnsi="Times New Roman" w:cs="Times New Roman"/>
                <w:b/>
                <w:bCs/>
                <w:sz w:val="24"/>
                <w:szCs w:val="24"/>
                <w:lang w:eastAsia="en-GB"/>
              </w:rPr>
              <w:t>98.78</w:t>
            </w:r>
          </w:p>
        </w:tc>
      </w:tr>
    </w:tbl>
    <w:p w14:paraId="1A76AA70" w14:textId="1CFC1F15" w:rsidR="002C7044" w:rsidRPr="00BD1C03" w:rsidRDefault="002C7044" w:rsidP="002C7044">
      <w:pPr>
        <w:rPr>
          <w:rStyle w:val="Caption-TopChar"/>
        </w:rPr>
      </w:pPr>
    </w:p>
    <w:p w14:paraId="0F413D3A" w14:textId="54D69051" w:rsidR="00AE1A5E" w:rsidRPr="00BD1C03" w:rsidRDefault="00AE1A5E">
      <w:pPr>
        <w:spacing w:after="160" w:line="259" w:lineRule="auto"/>
        <w:rPr>
          <w:rStyle w:val="Caption-TopChar"/>
        </w:rPr>
      </w:pPr>
      <w:r w:rsidRPr="00BD1C03">
        <w:rPr>
          <w:rStyle w:val="Caption-TopChar"/>
        </w:rPr>
        <w:br w:type="page"/>
      </w:r>
    </w:p>
    <w:p w14:paraId="07345695" w14:textId="0E776509" w:rsidR="00D258E8" w:rsidRPr="00BD1C03" w:rsidRDefault="00D258E8" w:rsidP="002C7044">
      <w:pPr>
        <w:rPr>
          <w:rStyle w:val="Caption-TopChar"/>
          <w:b/>
          <w:sz w:val="24"/>
        </w:rPr>
      </w:pPr>
      <w:r w:rsidRPr="00BD1C03">
        <w:rPr>
          <w:rStyle w:val="Caption-TopChar"/>
          <w:b/>
          <w:sz w:val="24"/>
        </w:rPr>
        <w:lastRenderedPageBreak/>
        <w:t xml:space="preserve">References </w:t>
      </w:r>
    </w:p>
    <w:p w14:paraId="609E2295" w14:textId="2871EB24" w:rsidR="00B262B4" w:rsidRPr="00BD1C03" w:rsidRDefault="00B262B4" w:rsidP="00B262B4">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rPr>
        <w:fldChar w:fldCharType="begin" w:fldLock="1"/>
      </w:r>
      <w:r w:rsidRPr="00BD1C03">
        <w:rPr>
          <w:rFonts w:ascii="Times New Roman" w:hAnsi="Times New Roman" w:cs="Times New Roman"/>
        </w:rPr>
        <w:instrText xml:space="preserve">ADDIN Mendeley Bibliography CSL_BIBLIOGRAPHY </w:instrText>
      </w:r>
      <w:r w:rsidRPr="00BD1C03">
        <w:rPr>
          <w:rFonts w:ascii="Times New Roman" w:hAnsi="Times New Roman" w:cs="Times New Roman"/>
        </w:rPr>
        <w:fldChar w:fldCharType="separate"/>
      </w:r>
      <w:r w:rsidRPr="00BD1C03">
        <w:rPr>
          <w:rFonts w:ascii="Times New Roman" w:hAnsi="Times New Roman" w:cs="Times New Roman"/>
          <w:noProof/>
          <w:szCs w:val="24"/>
        </w:rPr>
        <w:t>[1]</w:t>
      </w:r>
      <w:r w:rsidRPr="00BD1C03">
        <w:rPr>
          <w:rFonts w:ascii="Times New Roman" w:hAnsi="Times New Roman" w:cs="Times New Roman"/>
          <w:noProof/>
          <w:szCs w:val="24"/>
        </w:rPr>
        <w:tab/>
        <w:t>B. De Souza, L. Keshavarz, G. Cogoni, P.J. Frawley, Pressurized-synthetic methodology for solubility determination at elevated temperatures with application to paracetamol in pure solvents, Pharm. Discov. Dev. Manuf. Forum 2017 - Core Program. Area 2017 AIChE Annu. Meet. 2017-Octob (2017) 72–83. https://doi.org/10.1021/acs.jced.7b00118.</w:t>
      </w:r>
    </w:p>
    <w:p w14:paraId="2DA1A87D" w14:textId="77777777" w:rsidR="00B262B4" w:rsidRPr="00BD1C03" w:rsidRDefault="00B262B4" w:rsidP="00B262B4">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noProof/>
          <w:szCs w:val="24"/>
        </w:rPr>
        <w:t>[2]</w:t>
      </w:r>
      <w:r w:rsidRPr="00BD1C03">
        <w:rPr>
          <w:rFonts w:ascii="Times New Roman" w:hAnsi="Times New Roman" w:cs="Times New Roman"/>
          <w:noProof/>
          <w:szCs w:val="24"/>
        </w:rPr>
        <w:tab/>
        <w:t>L. Keshavarz, R.R.E. Steendam, M.A.R. Blijlevens, M. Pishnamazi, P.J. Frawley, Influence of Impurities on the Solubility, Nucleation, Crystallization, and Compressibility of Paracetamol, Cryst. Growth Des. 19 (2019) 4193–4201. https://doi.org/10.1021/acs.cgd.9b00490.</w:t>
      </w:r>
    </w:p>
    <w:p w14:paraId="2DC98EA4" w14:textId="77777777" w:rsidR="00B262B4" w:rsidRPr="00BD1C03" w:rsidRDefault="00B262B4" w:rsidP="00B262B4">
      <w:pPr>
        <w:widowControl w:val="0"/>
        <w:autoSpaceDE w:val="0"/>
        <w:autoSpaceDN w:val="0"/>
        <w:adjustRightInd w:val="0"/>
        <w:spacing w:line="240" w:lineRule="auto"/>
        <w:ind w:left="640" w:hanging="640"/>
        <w:rPr>
          <w:rFonts w:ascii="Times New Roman" w:hAnsi="Times New Roman" w:cs="Times New Roman"/>
          <w:noProof/>
        </w:rPr>
      </w:pPr>
      <w:r w:rsidRPr="00BD1C03">
        <w:rPr>
          <w:rFonts w:ascii="Times New Roman" w:hAnsi="Times New Roman" w:cs="Times New Roman"/>
          <w:noProof/>
          <w:szCs w:val="24"/>
        </w:rPr>
        <w:t>[3]</w:t>
      </w:r>
      <w:r w:rsidRPr="00BD1C03">
        <w:rPr>
          <w:rFonts w:ascii="Times New Roman" w:hAnsi="Times New Roman" w:cs="Times New Roman"/>
          <w:noProof/>
          <w:szCs w:val="24"/>
        </w:rPr>
        <w:tab/>
        <w:t>D.M. Croker, D.M. Kelly, D.E. Horgan, B.K. Hodnett, S.E. Lawrence, H.A. Moynihan, Å.C. Rasmuson, Demonstrating the Influence of Solvent Choice and Crystallization Conditions on Phenacetin Crystal Habit and Particle Size Distribution, Org. Process Res. Dev. 19 (2015) 1826–1836. https://doi.org/10.1021/op500308x.</w:t>
      </w:r>
    </w:p>
    <w:p w14:paraId="4801F9B1" w14:textId="43757215" w:rsidR="003B16B0" w:rsidRPr="00BD1C03" w:rsidRDefault="00B262B4" w:rsidP="003B16B0">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rPr>
        <w:fldChar w:fldCharType="end"/>
      </w:r>
      <w:r w:rsidR="003B16B0" w:rsidRPr="00BD1C03">
        <w:rPr>
          <w:rFonts w:ascii="Times New Roman" w:hAnsi="Times New Roman" w:cs="Times New Roman"/>
          <w:noProof/>
          <w:szCs w:val="24"/>
        </w:rPr>
        <w:t>[4]</w:t>
      </w:r>
      <w:r w:rsidR="003B16B0" w:rsidRPr="00BD1C03">
        <w:rPr>
          <w:rFonts w:ascii="Times New Roman" w:hAnsi="Times New Roman" w:cs="Times New Roman"/>
          <w:noProof/>
          <w:szCs w:val="24"/>
        </w:rPr>
        <w:tab/>
        <w:t>R.R.E. Steendam, L. Keshavarz, B. de Souza, P.J. Frawley, Thermodynamic properties of paracetamol impurities 4-nitrophenol and 4″-chloroacetanilide and the impact of such impurities on the crystallisation of paracetamol from solution, J. Chem. Thermodyn. 133 (2019) 85–92. https://doi.org/10.1016/j.jct.2019.02.004.</w:t>
      </w:r>
    </w:p>
    <w:p w14:paraId="1CCF985E" w14:textId="090F3EF1" w:rsidR="003B16B0" w:rsidRPr="00BD1C03" w:rsidRDefault="003B16B0" w:rsidP="003B16B0">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noProof/>
          <w:szCs w:val="24"/>
        </w:rPr>
        <w:t xml:space="preserve"> [5]</w:t>
      </w:r>
      <w:r w:rsidRPr="00BD1C03">
        <w:rPr>
          <w:rFonts w:ascii="Times New Roman" w:hAnsi="Times New Roman" w:cs="Times New Roman"/>
          <w:noProof/>
          <w:szCs w:val="24"/>
        </w:rPr>
        <w:tab/>
        <w:t>L. Keshavarz, R.R.E. Steendam, P.J. Frawley, Impact of Mother Liquor Recycle on the Impurity Buildup in Crystallization Processes, Org. Process Res. Dev. 22 (2018) 1541–1547. https://doi.org/10.1021/acs.oprd.8b00308.</w:t>
      </w:r>
    </w:p>
    <w:p w14:paraId="6314FEDA" w14:textId="5D845712" w:rsidR="003B16B0" w:rsidRPr="00BD1C03" w:rsidRDefault="003B16B0" w:rsidP="003B16B0">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noProof/>
          <w:szCs w:val="24"/>
        </w:rPr>
        <w:t>[6]</w:t>
      </w:r>
      <w:r w:rsidRPr="00BD1C03">
        <w:rPr>
          <w:rFonts w:ascii="Times New Roman" w:hAnsi="Times New Roman" w:cs="Times New Roman"/>
          <w:noProof/>
          <w:szCs w:val="24"/>
        </w:rPr>
        <w:tab/>
        <w:t>R.R.E. Steendam, L. Keshavarz, M.A.R. Blijlevens, B. De Souza, D.M. Croker, P.J. Frawley, Effects of Scale-Up on the Mechanism and Kinetics of Crystal Nucleation, Cryst. Growth Des. Eff. 18 (2018) 5547–5555. https://doi.org/10.1021/acs.cgd.8b00857.</w:t>
      </w:r>
    </w:p>
    <w:p w14:paraId="3781CD95" w14:textId="390D3F81" w:rsidR="003B16B0" w:rsidRPr="000A3C6E" w:rsidRDefault="003B16B0" w:rsidP="003B16B0">
      <w:pPr>
        <w:widowControl w:val="0"/>
        <w:autoSpaceDE w:val="0"/>
        <w:autoSpaceDN w:val="0"/>
        <w:adjustRightInd w:val="0"/>
        <w:spacing w:line="240" w:lineRule="auto"/>
        <w:ind w:left="640" w:hanging="640"/>
        <w:rPr>
          <w:rFonts w:ascii="Times New Roman" w:hAnsi="Times New Roman" w:cs="Times New Roman"/>
          <w:noProof/>
          <w:szCs w:val="24"/>
        </w:rPr>
      </w:pPr>
      <w:r w:rsidRPr="00BD1C03">
        <w:rPr>
          <w:rFonts w:ascii="Times New Roman" w:hAnsi="Times New Roman" w:cs="Times New Roman"/>
          <w:noProof/>
          <w:szCs w:val="24"/>
        </w:rPr>
        <w:t>[7]</w:t>
      </w:r>
      <w:r w:rsidRPr="00BD1C03">
        <w:rPr>
          <w:rFonts w:ascii="Times New Roman" w:hAnsi="Times New Roman" w:cs="Times New Roman"/>
          <w:noProof/>
          <w:szCs w:val="24"/>
        </w:rPr>
        <w:tab/>
        <w:t>L. Keshavarz, The Importance of Impurity on Pharmaceutical Processes, University of Limerick, 2019.</w:t>
      </w:r>
    </w:p>
    <w:p w14:paraId="64E340CE" w14:textId="760B1141" w:rsidR="00C124CA" w:rsidRDefault="00C124CA"/>
    <w:sectPr w:rsidR="00C124CA">
      <w:footerReference w:type="even" r:id="rId17"/>
      <w:footerReference w:type="default" r:id="rId1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69F3" w14:textId="77777777" w:rsidR="00FA5B4E" w:rsidRDefault="00FA5B4E">
      <w:pPr>
        <w:spacing w:after="0" w:line="240" w:lineRule="auto"/>
      </w:pPr>
      <w:r>
        <w:separator/>
      </w:r>
    </w:p>
  </w:endnote>
  <w:endnote w:type="continuationSeparator" w:id="0">
    <w:p w14:paraId="75663132" w14:textId="77777777" w:rsidR="00FA5B4E" w:rsidRDefault="00FA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5869377"/>
      <w:docPartObj>
        <w:docPartGallery w:val="Page Numbers (Bottom of Page)"/>
        <w:docPartUnique/>
      </w:docPartObj>
    </w:sdtPr>
    <w:sdtEndPr>
      <w:rPr>
        <w:rStyle w:val="PageNumber"/>
      </w:rPr>
    </w:sdtEndPr>
    <w:sdtContent>
      <w:p w14:paraId="6BCA74CD" w14:textId="77777777" w:rsidR="0011740B" w:rsidRDefault="008B560B" w:rsidP="001174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FD3FC" w14:textId="77777777" w:rsidR="0011740B" w:rsidRDefault="0076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562639"/>
      <w:docPartObj>
        <w:docPartGallery w:val="Page Numbers (Bottom of Page)"/>
        <w:docPartUnique/>
      </w:docPartObj>
    </w:sdtPr>
    <w:sdtEndPr>
      <w:rPr>
        <w:rStyle w:val="PageNumber"/>
      </w:rPr>
    </w:sdtEndPr>
    <w:sdtContent>
      <w:p w14:paraId="06426E43" w14:textId="77777777" w:rsidR="0011740B" w:rsidRDefault="008B560B" w:rsidP="001174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034E">
          <w:rPr>
            <w:rStyle w:val="PageNumber"/>
            <w:noProof/>
          </w:rPr>
          <w:t>8</w:t>
        </w:r>
        <w:r>
          <w:rPr>
            <w:rStyle w:val="PageNumber"/>
          </w:rPr>
          <w:fldChar w:fldCharType="end"/>
        </w:r>
      </w:p>
    </w:sdtContent>
  </w:sdt>
  <w:p w14:paraId="3D8CC559" w14:textId="77777777" w:rsidR="0011740B" w:rsidRDefault="0076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DDAC4" w14:textId="77777777" w:rsidR="00FA5B4E" w:rsidRDefault="00FA5B4E">
      <w:pPr>
        <w:spacing w:after="0" w:line="240" w:lineRule="auto"/>
      </w:pPr>
      <w:r>
        <w:separator/>
      </w:r>
    </w:p>
  </w:footnote>
  <w:footnote w:type="continuationSeparator" w:id="0">
    <w:p w14:paraId="2B5895D6" w14:textId="77777777" w:rsidR="00FA5B4E" w:rsidRDefault="00FA5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6145"/>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jE1MzY3tjSwMDBS0lEKTi0uzszPAykwrAUA2jZiyywAAAA="/>
  </w:docVars>
  <w:rsids>
    <w:rsidRoot w:val="00335FBE"/>
    <w:rsid w:val="0001551F"/>
    <w:rsid w:val="000321CF"/>
    <w:rsid w:val="00084F1B"/>
    <w:rsid w:val="000A3C6E"/>
    <w:rsid w:val="000B1125"/>
    <w:rsid w:val="0015476A"/>
    <w:rsid w:val="001732BF"/>
    <w:rsid w:val="001A5CF0"/>
    <w:rsid w:val="001B5B7A"/>
    <w:rsid w:val="001E2A2B"/>
    <w:rsid w:val="001E6A0D"/>
    <w:rsid w:val="00207116"/>
    <w:rsid w:val="00210EF7"/>
    <w:rsid w:val="002C7044"/>
    <w:rsid w:val="002E54CC"/>
    <w:rsid w:val="002F6463"/>
    <w:rsid w:val="00326D83"/>
    <w:rsid w:val="00335FBE"/>
    <w:rsid w:val="003738FA"/>
    <w:rsid w:val="00385FE3"/>
    <w:rsid w:val="003B16B0"/>
    <w:rsid w:val="004A7592"/>
    <w:rsid w:val="00504EF4"/>
    <w:rsid w:val="00522592"/>
    <w:rsid w:val="005D4578"/>
    <w:rsid w:val="00626B97"/>
    <w:rsid w:val="0067713A"/>
    <w:rsid w:val="006C1BE0"/>
    <w:rsid w:val="006F2F6A"/>
    <w:rsid w:val="00713162"/>
    <w:rsid w:val="00765A90"/>
    <w:rsid w:val="007B03CC"/>
    <w:rsid w:val="008200D0"/>
    <w:rsid w:val="008341F3"/>
    <w:rsid w:val="00837656"/>
    <w:rsid w:val="00861238"/>
    <w:rsid w:val="0087034E"/>
    <w:rsid w:val="00871CA1"/>
    <w:rsid w:val="008A2A1D"/>
    <w:rsid w:val="008B560B"/>
    <w:rsid w:val="00907FF0"/>
    <w:rsid w:val="00933889"/>
    <w:rsid w:val="00AB2D49"/>
    <w:rsid w:val="00AE1A5E"/>
    <w:rsid w:val="00B262B4"/>
    <w:rsid w:val="00BD1C03"/>
    <w:rsid w:val="00C0747B"/>
    <w:rsid w:val="00C124CA"/>
    <w:rsid w:val="00CA459D"/>
    <w:rsid w:val="00CA507C"/>
    <w:rsid w:val="00CE45FB"/>
    <w:rsid w:val="00D258E8"/>
    <w:rsid w:val="00D63EE9"/>
    <w:rsid w:val="00E51022"/>
    <w:rsid w:val="00E5159A"/>
    <w:rsid w:val="00E7099B"/>
    <w:rsid w:val="00E83A99"/>
    <w:rsid w:val="00EB7DA4"/>
    <w:rsid w:val="00F877DF"/>
    <w:rsid w:val="00FA5B4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B9995"/>
  <w15:docId w15:val="{B9A7E1F1-3AEA-459F-AD11-E68C532F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F7"/>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EF7"/>
    <w:pPr>
      <w:spacing w:after="0" w:line="240" w:lineRule="auto"/>
    </w:pPr>
    <w:rPr>
      <w:rFonts w:ascii="times" w:eastAsiaTheme="minorHAnsi" w:hAnsi="times"/>
      <w:sz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op">
    <w:name w:val="Caption - Top"/>
    <w:basedOn w:val="Caption"/>
    <w:next w:val="Normal"/>
    <w:link w:val="Caption-TopChar"/>
    <w:qFormat/>
    <w:rsid w:val="00210EF7"/>
    <w:pPr>
      <w:keepNext/>
      <w:spacing w:before="100" w:line="360" w:lineRule="auto"/>
      <w:jc w:val="center"/>
    </w:pPr>
    <w:rPr>
      <w:rFonts w:ascii="times" w:hAnsi="times"/>
      <w:b w:val="0"/>
      <w:color w:val="auto"/>
      <w:sz w:val="20"/>
      <w:szCs w:val="20"/>
      <w:lang w:val="en-GB"/>
    </w:rPr>
  </w:style>
  <w:style w:type="character" w:customStyle="1" w:styleId="Caption-TopChar">
    <w:name w:val="Caption - Top Char"/>
    <w:basedOn w:val="DefaultParagraphFont"/>
    <w:link w:val="Caption-Top"/>
    <w:rsid w:val="00210EF7"/>
    <w:rPr>
      <w:rFonts w:ascii="times" w:eastAsiaTheme="minorHAnsi" w:hAnsi="times"/>
      <w:bCs/>
      <w:sz w:val="20"/>
      <w:szCs w:val="20"/>
      <w:lang w:val="en-GB" w:eastAsia="en-US"/>
    </w:rPr>
  </w:style>
  <w:style w:type="paragraph" w:styleId="Caption">
    <w:name w:val="caption"/>
    <w:aliases w:val="Reference"/>
    <w:basedOn w:val="Normal"/>
    <w:next w:val="Normal"/>
    <w:link w:val="CaptionChar"/>
    <w:uiPriority w:val="35"/>
    <w:unhideWhenUsed/>
    <w:qFormat/>
    <w:rsid w:val="00210EF7"/>
    <w:pPr>
      <w:spacing w:line="240" w:lineRule="auto"/>
    </w:pPr>
    <w:rPr>
      <w:b/>
      <w:bCs/>
      <w:color w:val="4472C4" w:themeColor="accent1"/>
      <w:sz w:val="18"/>
      <w:szCs w:val="18"/>
    </w:rPr>
  </w:style>
  <w:style w:type="table" w:customStyle="1" w:styleId="Figurecontainingsingle-celltable">
    <w:name w:val="Figure containing single-cell table"/>
    <w:basedOn w:val="TableNormal"/>
    <w:uiPriority w:val="99"/>
    <w:qFormat/>
    <w:rsid w:val="00210EF7"/>
    <w:pPr>
      <w:spacing w:after="0" w:line="240" w:lineRule="auto"/>
    </w:pPr>
    <w:rPr>
      <w:rFonts w:ascii="times" w:eastAsiaTheme="minorHAnsi" w:hAnsi="times"/>
      <w:sz w:val="24"/>
      <w:lang w:val="en-GB" w:eastAsia="en-US"/>
    </w:rPr>
    <w:tblPr/>
    <w:trPr>
      <w:cantSplit/>
    </w:trPr>
  </w:style>
  <w:style w:type="character" w:customStyle="1" w:styleId="CaptionChar">
    <w:name w:val="Caption Char"/>
    <w:aliases w:val="Reference Char"/>
    <w:basedOn w:val="DefaultParagraphFont"/>
    <w:link w:val="Caption"/>
    <w:uiPriority w:val="35"/>
    <w:rsid w:val="00210EF7"/>
    <w:rPr>
      <w:rFonts w:eastAsiaTheme="minorHAnsi"/>
      <w:b/>
      <w:bCs/>
      <w:color w:val="4472C4" w:themeColor="accent1"/>
      <w:sz w:val="18"/>
      <w:szCs w:val="18"/>
      <w:lang w:eastAsia="en-US"/>
    </w:rPr>
  </w:style>
  <w:style w:type="paragraph" w:styleId="Footer">
    <w:name w:val="footer"/>
    <w:basedOn w:val="Normal"/>
    <w:link w:val="FooterChar"/>
    <w:uiPriority w:val="99"/>
    <w:unhideWhenUsed/>
    <w:rsid w:val="00210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F7"/>
    <w:rPr>
      <w:rFonts w:eastAsiaTheme="minorHAnsi"/>
      <w:lang w:eastAsia="en-US"/>
    </w:rPr>
  </w:style>
  <w:style w:type="character" w:styleId="PageNumber">
    <w:name w:val="page number"/>
    <w:basedOn w:val="DefaultParagraphFont"/>
    <w:uiPriority w:val="99"/>
    <w:semiHidden/>
    <w:unhideWhenUsed/>
    <w:rsid w:val="00210EF7"/>
  </w:style>
  <w:style w:type="paragraph" w:customStyle="1" w:styleId="Default">
    <w:name w:val="Default"/>
    <w:rsid w:val="002E54CC"/>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015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1F"/>
    <w:rPr>
      <w:rFonts w:ascii="Tahoma" w:eastAsiaTheme="minorHAnsi" w:hAnsi="Tahoma" w:cs="Tahoma"/>
      <w:sz w:val="16"/>
      <w:szCs w:val="16"/>
      <w:lang w:eastAsia="en-US"/>
    </w:rPr>
  </w:style>
  <w:style w:type="table" w:styleId="LightList">
    <w:name w:val="Light List"/>
    <w:basedOn w:val="TableNormal"/>
    <w:uiPriority w:val="61"/>
    <w:rsid w:val="002C7044"/>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6585-6C6C-499A-A8C0-32904319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Saeed.Shirazian</dc:creator>
  <cp:lastModifiedBy>Saeed.Shirazian</cp:lastModifiedBy>
  <cp:revision>25</cp:revision>
  <dcterms:created xsi:type="dcterms:W3CDTF">2021-02-11T12:37:00Z</dcterms:created>
  <dcterms:modified xsi:type="dcterms:W3CDTF">2021-02-12T12:41:00Z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270ce022-42e6-303e-a753-23db0a10f55e</vt:lpwstr>
  </property>
  <property fmtid="{D5CDD505-2E9C-101B-9397-08002B2CF9AE}" pid="24" name="Mendeley Citation Style_1">
    <vt:lpwstr>http://www.zotero.org/styles/chemical-engineering-journal</vt:lpwstr>
  </property>
</Properties>
</file>