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BC66" w14:textId="773585EA" w:rsidR="005D5C7E" w:rsidRPr="006376A3" w:rsidRDefault="006376A3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6376A3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Supplementary </w:t>
      </w:r>
      <w:r w:rsidR="00FA6C16">
        <w:rPr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Pr="006376A3">
        <w:rPr>
          <w:rFonts w:ascii="Times New Roman" w:hAnsi="Times New Roman" w:cs="Times New Roman"/>
          <w:b/>
          <w:bCs/>
          <w:sz w:val="20"/>
          <w:szCs w:val="20"/>
          <w:lang w:val="en-US"/>
        </w:rPr>
        <w:t>nformation</w:t>
      </w:r>
      <w:r w:rsidR="00FA6C1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- Figures</w:t>
      </w:r>
    </w:p>
    <w:p w14:paraId="7EA65DA8" w14:textId="4F63E646" w:rsidR="006376A3" w:rsidRPr="006376A3" w:rsidRDefault="006376A3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376A3" w:rsidRPr="006376A3" w14:paraId="0A0200CC" w14:textId="77777777" w:rsidTr="00213589">
        <w:tc>
          <w:tcPr>
            <w:tcW w:w="4508" w:type="dxa"/>
          </w:tcPr>
          <w:p w14:paraId="2D6DD823" w14:textId="77777777" w:rsidR="006376A3" w:rsidRP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4FA016" wp14:editId="5B2F3516">
                  <wp:extent cx="2646680" cy="25781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343" t="20446" r="6463" b="7856"/>
                          <a:stretch/>
                        </pic:blipFill>
                        <pic:spPr bwMode="auto">
                          <a:xfrm>
                            <a:off x="0" y="0"/>
                            <a:ext cx="2721893" cy="265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59BD9" w14:textId="77777777" w:rsid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A44B04A" w14:textId="48094916" w:rsidR="006376A3" w:rsidRP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(a)</w:t>
            </w:r>
          </w:p>
        </w:tc>
        <w:tc>
          <w:tcPr>
            <w:tcW w:w="4508" w:type="dxa"/>
          </w:tcPr>
          <w:p w14:paraId="0115BDAB" w14:textId="77777777" w:rsidR="006376A3" w:rsidRP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25E0D3" wp14:editId="30092A9A">
                  <wp:extent cx="2695575" cy="25209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284" t="21167" r="5888" b="10447"/>
                          <a:stretch/>
                        </pic:blipFill>
                        <pic:spPr bwMode="auto">
                          <a:xfrm>
                            <a:off x="0" y="0"/>
                            <a:ext cx="2748431" cy="2570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F34FC" w14:textId="77777777" w:rsid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82BF926" w14:textId="347898EB" w:rsidR="006376A3" w:rsidRPr="006376A3" w:rsidRDefault="006376A3" w:rsidP="006376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(b)</w:t>
            </w:r>
          </w:p>
        </w:tc>
      </w:tr>
    </w:tbl>
    <w:p w14:paraId="216D59AA" w14:textId="5481ABCA" w:rsidR="006376A3" w:rsidRDefault="006376A3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  <w:r w:rsidRPr="006376A3">
        <w:rPr>
          <w:rFonts w:ascii="Times New Roman" w:hAnsi="Times New Roman" w:cs="Times New Roman"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sz w:val="20"/>
          <w:szCs w:val="20"/>
          <w:lang w:val="en-US"/>
        </w:rPr>
        <w:t>. 1</w:t>
      </w:r>
      <w:r>
        <w:rPr>
          <w:rFonts w:ascii="Times New Roman" w:hAnsi="Times New Roman" w:cs="Times New Roman"/>
          <w:sz w:val="20"/>
          <w:szCs w:val="20"/>
          <w:lang w:val="en-US"/>
        </w:rPr>
        <w:tab/>
        <w:t>3D surface plot of MB removal response for (a) effect of radiation power and radiation time and (b) effect of radiation time and IR</w:t>
      </w:r>
    </w:p>
    <w:p w14:paraId="0DA83C47" w14:textId="77777777" w:rsidR="006376A3" w:rsidRDefault="006376A3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376A3" w:rsidRPr="006376A3" w14:paraId="63535171" w14:textId="77777777" w:rsidTr="00213589">
        <w:tc>
          <w:tcPr>
            <w:tcW w:w="4508" w:type="dxa"/>
          </w:tcPr>
          <w:p w14:paraId="2F3EC1A5" w14:textId="106013EA" w:rsidR="006376A3" w:rsidRPr="006376A3" w:rsidRDefault="006376A3" w:rsidP="006376A3">
            <w:pPr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E8B224" wp14:editId="3F8563A0">
                  <wp:extent cx="2721610" cy="253365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880" t="20589" r="6218" b="12031"/>
                          <a:stretch/>
                        </pic:blipFill>
                        <pic:spPr bwMode="auto">
                          <a:xfrm>
                            <a:off x="0" y="0"/>
                            <a:ext cx="2785944" cy="259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0DBF7" w14:textId="77777777" w:rsidR="006376A3" w:rsidRDefault="006376A3" w:rsidP="006376A3">
            <w:pPr>
              <w:ind w:left="720" w:hanging="7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59793F0" w14:textId="1C822061" w:rsidR="006376A3" w:rsidRPr="006376A3" w:rsidRDefault="006376A3" w:rsidP="006376A3">
            <w:pPr>
              <w:ind w:left="720" w:hanging="7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(a)</w:t>
            </w:r>
          </w:p>
        </w:tc>
        <w:tc>
          <w:tcPr>
            <w:tcW w:w="4508" w:type="dxa"/>
          </w:tcPr>
          <w:p w14:paraId="73130C1E" w14:textId="1C931B12" w:rsidR="006376A3" w:rsidRPr="006376A3" w:rsidRDefault="006376A3" w:rsidP="006376A3">
            <w:pPr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823B15" wp14:editId="4C33616C">
                  <wp:extent cx="2686685" cy="2495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123" t="22321" r="6533" b="9871"/>
                          <a:stretch/>
                        </pic:blipFill>
                        <pic:spPr bwMode="auto">
                          <a:xfrm>
                            <a:off x="0" y="0"/>
                            <a:ext cx="2744901" cy="254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163558" w14:textId="77777777" w:rsidR="006376A3" w:rsidRDefault="006376A3" w:rsidP="006376A3">
            <w:pPr>
              <w:ind w:left="720" w:hanging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CC4C200" w14:textId="666ADFBD" w:rsidR="006376A3" w:rsidRPr="006376A3" w:rsidRDefault="006376A3" w:rsidP="006376A3">
            <w:pPr>
              <w:ind w:left="720" w:hanging="7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376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(b)</w:t>
            </w:r>
          </w:p>
        </w:tc>
      </w:tr>
    </w:tbl>
    <w:p w14:paraId="043142E9" w14:textId="6FDE68D2" w:rsidR="006376A3" w:rsidRDefault="006376A3" w:rsidP="006376A3">
      <w:pPr>
        <w:ind w:left="720" w:hanging="7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376A3">
        <w:rPr>
          <w:rFonts w:ascii="Times New Roman" w:hAnsi="Times New Roman" w:cs="Times New Roman"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sz w:val="20"/>
          <w:szCs w:val="20"/>
          <w:lang w:val="en-US"/>
        </w:rPr>
        <w:t>. 2</w:t>
      </w:r>
      <w:r>
        <w:rPr>
          <w:rFonts w:ascii="Times New Roman" w:hAnsi="Times New Roman" w:cs="Times New Roman"/>
          <w:sz w:val="20"/>
          <w:szCs w:val="20"/>
          <w:lang w:val="en-US"/>
        </w:rPr>
        <w:tab/>
        <w:t>3D surface plot of AWAC’s yield response for (a) effect of radiation power and IR and (b) effect of radiation time and IR</w:t>
      </w:r>
    </w:p>
    <w:p w14:paraId="05B5EC81" w14:textId="029834C4" w:rsidR="006376A3" w:rsidRDefault="006376A3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p w14:paraId="242CFDB9" w14:textId="6D0E76BA" w:rsidR="00213589" w:rsidRDefault="00213589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p w14:paraId="5EEDAA37" w14:textId="5EA7E881" w:rsidR="00213589" w:rsidRDefault="00213589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p w14:paraId="42772B77" w14:textId="6A2D45D9" w:rsidR="00213589" w:rsidRDefault="00213589" w:rsidP="00FA6C16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5DD78F6" w14:textId="77777777" w:rsidR="00FA6C16" w:rsidRDefault="00FA6C16" w:rsidP="00FA6C16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B769188" w14:textId="6EBA0145" w:rsidR="008E00D3" w:rsidRDefault="008E00D3" w:rsidP="006376A3">
      <w:pPr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p w14:paraId="70CF9F5C" w14:textId="173390C0" w:rsidR="008E00D3" w:rsidRPr="000D3BBA" w:rsidRDefault="00FA6C16" w:rsidP="000D3BBA">
      <w:pPr>
        <w:spacing w:after="0"/>
        <w:ind w:left="720" w:hanging="72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 xml:space="preserve">Supplementary Information - </w:t>
      </w:r>
      <w:r w:rsidR="008E00D3" w:rsidRPr="000D3BBA">
        <w:rPr>
          <w:rFonts w:ascii="Times New Roman" w:hAnsi="Times New Roman" w:cs="Times New Roman"/>
          <w:b/>
          <w:bCs/>
          <w:sz w:val="20"/>
          <w:szCs w:val="20"/>
          <w:lang w:val="en-US"/>
        </w:rPr>
        <w:t>Equations in manuscript</w:t>
      </w:r>
    </w:p>
    <w:p w14:paraId="3FD878BB" w14:textId="6E9C84F5" w:rsidR="00213589" w:rsidRPr="000D3BBA" w:rsidRDefault="00213589" w:rsidP="000D3BBA">
      <w:pPr>
        <w:spacing w:after="0"/>
        <w:ind w:left="720" w:hanging="720"/>
        <w:rPr>
          <w:rFonts w:ascii="Times New Roman" w:hAnsi="Times New Roman" w:cs="Times New Roman"/>
          <w:sz w:val="20"/>
          <w:szCs w:val="20"/>
          <w:lang w:val="en-US"/>
        </w:rPr>
      </w:pPr>
    </w:p>
    <w:p w14:paraId="3CAF89BD" w14:textId="4942092D" w:rsidR="008E00D3" w:rsidRPr="00FA6C16" w:rsidRDefault="00FA6C16" w:rsidP="000D3BBA">
      <w:pPr>
        <w:spacing w:after="0" w:line="480" w:lineRule="auto"/>
        <w:jc w:val="right"/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eastAsia="Cambria Math" w:hAnsi="Cambria Math" w:cs="Times New Roman"/>
              <w:color w:val="000000" w:themeColor="text1"/>
              <w:sz w:val="20"/>
              <w:szCs w:val="20"/>
            </w:rPr>
            <m:t xml:space="preserve">IR= </m:t>
          </m:r>
          <m:f>
            <m:fPr>
              <m:ctrlPr>
                <w:rPr>
                  <w:rFonts w:ascii="Cambria Math" w:eastAsia="Cambria Math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  <m:t>KOH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color w:val="000000" w:themeColor="text1"/>
                      <w:sz w:val="20"/>
                      <w:szCs w:val="20"/>
                    </w:rPr>
                    <m:t>char</m:t>
                  </m:r>
                </m:sub>
              </m:sSub>
            </m:den>
          </m:f>
          <m:r>
            <w:rPr>
              <w:rFonts w:ascii="Cambria Math" w:eastAsia="Cambria Math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          (1)</m:t>
          </m:r>
        </m:oMath>
      </m:oMathPara>
    </w:p>
    <w:p w14:paraId="36565760" w14:textId="093B4472" w:rsidR="000D3BBA" w:rsidRPr="00FA6C16" w:rsidRDefault="000D3BBA" w:rsidP="000D3BBA">
      <w:pPr>
        <w:spacing w:after="0" w:line="480" w:lineRule="auto"/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  <w:t>where W</w:t>
      </w: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  <w:vertAlign w:val="subscript"/>
        </w:rPr>
        <w:t>KOH</w:t>
      </w: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  <w:t xml:space="preserve"> is the weight of KOH pellet and W</w:t>
      </w: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  <w:vertAlign w:val="subscript"/>
        </w:rPr>
        <w:t>CHAR</w:t>
      </w: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  <w:t xml:space="preserve"> is the weight of the char</w:t>
      </w:r>
      <w:r w:rsidRPr="00FA6C16"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  <w:t>.</w:t>
      </w:r>
    </w:p>
    <w:p w14:paraId="4C1B0001" w14:textId="77777777" w:rsidR="000D3BBA" w:rsidRPr="00FA6C16" w:rsidRDefault="000D3BBA" w:rsidP="000D3BBA">
      <w:pPr>
        <w:spacing w:after="0" w:line="480" w:lineRule="auto"/>
        <w:jc w:val="right"/>
        <w:rPr>
          <w:rFonts w:ascii="Times New Roman" w:eastAsia="Cambria Math" w:hAnsi="Times New Roman" w:cs="Times New Roman"/>
          <w:color w:val="000000" w:themeColor="text1"/>
          <w:sz w:val="20"/>
          <w:szCs w:val="20"/>
        </w:rPr>
      </w:pPr>
    </w:p>
    <w:p w14:paraId="41823116" w14:textId="65DB02CE" w:rsidR="000D3BBA" w:rsidRPr="000D3BBA" w:rsidRDefault="00FA6C16" w:rsidP="000D3BBA">
      <w:pPr>
        <w:spacing w:after="0" w:line="480" w:lineRule="auto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Yield=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i</m:t>
                  </m:r>
                </m:sub>
              </m:sSub>
            </m:den>
          </m:f>
          <m:r>
            <w:rPr>
              <w:rFonts w:ascii="Ebrima" w:hAnsi="Ebrima" w:cs="Ebrima"/>
              <w:color w:val="000000" w:themeColor="text1"/>
              <w:sz w:val="20"/>
              <w:szCs w:val="20"/>
            </w:rPr>
            <m:t>ⵝ</m:t>
          </m:r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100%                                                                                                                                                              (2)</m:t>
          </m:r>
        </m:oMath>
      </m:oMathPara>
    </w:p>
    <w:p w14:paraId="26AD2C73" w14:textId="136EAD0C" w:rsidR="000D3BBA" w:rsidRPr="00FA6C16" w:rsidRDefault="000D3BBA" w:rsidP="000D3BBA">
      <w:pPr>
        <w:spacing w:after="0" w:line="480" w:lineRule="auto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D3BB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where </w:t>
      </w:r>
      <w:proofErr w:type="spellStart"/>
      <w:r w:rsidRPr="000D3BBA">
        <w:rPr>
          <w:rFonts w:ascii="Times New Roman" w:hAnsi="Times New Roman" w:cs="Times New Roman"/>
          <w:color w:val="000000" w:themeColor="text1"/>
          <w:sz w:val="20"/>
          <w:szCs w:val="20"/>
        </w:rPr>
        <w:t>W</w:t>
      </w:r>
      <w:r w:rsidRPr="000D3BBA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f</w:t>
      </w:r>
      <w:proofErr w:type="spellEnd"/>
      <w:r w:rsidRPr="000D3BB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W</w:t>
      </w:r>
      <w:r w:rsidRPr="000D3BBA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i</w:t>
      </w:r>
      <w:r w:rsidRPr="000D3BB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are dried weight of AWAC and dried weight of precursor, respectively.</w:t>
      </w:r>
    </w:p>
    <w:p w14:paraId="17F14F52" w14:textId="77777777" w:rsidR="000D3BBA" w:rsidRPr="00FA6C16" w:rsidRDefault="000D3BBA" w:rsidP="000D3BBA">
      <w:pPr>
        <w:spacing w:after="0" w:line="480" w:lineRule="auto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7C36023" w14:textId="08319C40" w:rsidR="000D3BBA" w:rsidRPr="00FA6C16" w:rsidRDefault="00FA6C16" w:rsidP="000D3BBA">
      <w:pPr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Y= 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o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+ ε</m:t>
              </m:r>
            </m:e>
          </m:d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 xml:space="preserve">+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ii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3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</w:rPr>
                            <m:t>j=i+1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0"/>
                              <w:szCs w:val="20"/>
                            </w:rPr>
                            <m:t>3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ij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i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j</m:t>
                              </m:r>
                            </m:sub>
                          </m:sSub>
                        </m:e>
                      </m:nary>
                    </m:e>
                  </m:nary>
                </m:e>
              </m:nary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 xml:space="preserve">                                                                                    (3)</m:t>
              </m:r>
            </m:e>
          </m:nary>
        </m:oMath>
      </m:oMathPara>
    </w:p>
    <w:p w14:paraId="4F4DDB97" w14:textId="31034140" w:rsidR="000D3BBA" w:rsidRPr="00FA6C16" w:rsidRDefault="000D3BBA" w:rsidP="000D3BB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where Y is the predicted response, 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b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0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b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b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ij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</w:t>
      </w:r>
      <w:proofErr w:type="spellStart"/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b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ii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are the constant coefficient, linear coefficient, interaction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coefficient and quadratic coefficient, respectively, 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x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</w:t>
      </w:r>
      <w:proofErr w:type="spellStart"/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x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j</w:t>
      </w:r>
      <w:proofErr w:type="spellEnd"/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are the coded values of the AWAC preparation variables and </w:t>
      </w:r>
      <w:proofErr w:type="spellStart"/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</w:rPr>
        <w:t>e</w:t>
      </w:r>
      <w:r w:rsidRPr="00FA6C16">
        <w:rPr>
          <w:rFonts w:ascii="Times New Roman" w:eastAsiaTheme="minorEastAsia" w:hAnsi="Times New Roman" w:cs="Times New Roman"/>
          <w:i/>
          <w:iCs/>
          <w:color w:val="000000" w:themeColor="text1"/>
          <w:sz w:val="20"/>
          <w:szCs w:val="20"/>
          <w:vertAlign w:val="subscript"/>
        </w:rPr>
        <w:t>i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the error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</w:t>
      </w:r>
    </w:p>
    <w:p w14:paraId="64EB14AE" w14:textId="77777777" w:rsidR="000D3BBA" w:rsidRPr="000D3BBA" w:rsidRDefault="000D3BBA" w:rsidP="000D3BB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223F3CC9" w14:textId="1E116B0E" w:rsidR="000D3BBA" w:rsidRPr="00FA6C16" w:rsidRDefault="000D3BBA" w:rsidP="000D3BBA">
      <w:pPr>
        <w:spacing w:after="0" w:line="480" w:lineRule="auto"/>
        <w:ind w:left="720" w:hanging="720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0"/>
                          <w:szCs w:val="20"/>
                        </w:rPr>
                        <m:t>e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V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W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 (4)</m:t>
          </m:r>
        </m:oMath>
      </m:oMathPara>
    </w:p>
    <w:p w14:paraId="3579EF91" w14:textId="77777777" w:rsidR="000D3BBA" w:rsidRPr="000D3BBA" w:rsidRDefault="000D3BBA" w:rsidP="000D3BBA">
      <w:pPr>
        <w:spacing w:after="0" w:line="480" w:lineRule="auto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F0BA4A3" w14:textId="4F77185D" w:rsidR="000D3BBA" w:rsidRPr="000D3BBA" w:rsidRDefault="00FA6C16" w:rsidP="000D3BBA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% Removal=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o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</m:t>
          </m:r>
          <m:r>
            <w:rPr>
              <w:rFonts w:ascii="Ebrima" w:hAnsi="Ebrima" w:cs="Ebrima"/>
              <w:color w:val="000000" w:themeColor="text1"/>
              <w:sz w:val="20"/>
              <w:szCs w:val="20"/>
            </w:rPr>
            <m:t>ⵝ</m:t>
          </m:r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100%                                                                                                                                        (5</m:t>
          </m:r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)</m:t>
          </m:r>
        </m:oMath>
      </m:oMathPara>
    </w:p>
    <w:p w14:paraId="3575865C" w14:textId="21592715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where C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o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C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e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are the concentration of MB dye initially and at equilibrium, respectively; V is the volume of solution (L), and W is the weight of AWAC used (g)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.</w:t>
      </w:r>
    </w:p>
    <w:p w14:paraId="743D25F8" w14:textId="68E69706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0F7CC420" w14:textId="77777777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Langmuir (Langmuir, 1918):</w:t>
      </w:r>
    </w:p>
    <w:p w14:paraId="407CAF34" w14:textId="35E2FF13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m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 xml:space="preserve">1+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    (6)</m:t>
          </m:r>
        </m:oMath>
      </m:oMathPara>
    </w:p>
    <w:p w14:paraId="24DE3B4A" w14:textId="77777777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0A5A44D8" w14:textId="2AA55C9A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Freundlich (Freundlich, 1906):</w:t>
      </w:r>
    </w:p>
    <w:p w14:paraId="440FDBF9" w14:textId="4F66F077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F</m:t>
              </m:r>
            </m:sub>
          </m:sSub>
          <m:sSubSup>
            <m:sSubSup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  <m:sup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F</m:t>
                      </m:r>
                    </m:sub>
                  </m:sSub>
                </m:den>
              </m:f>
            </m:sup>
          </m:sSubSup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       (7)</m:t>
          </m:r>
        </m:oMath>
      </m:oMathPara>
    </w:p>
    <w:p w14:paraId="08B71732" w14:textId="77777777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1BEAD35C" w14:textId="77777777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2F76C091" w14:textId="73018226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lastRenderedPageBreak/>
        <w:t>Temkin (</w:t>
      </w:r>
      <w:hyperlink w:anchor="_4f1mdlm">
        <w:r w:rsidRPr="00727C3A">
          <w:rPr>
            <w:rStyle w:val="Hyperlink"/>
            <w:rFonts w:ascii="Times New Roman" w:eastAsiaTheme="minorEastAsia" w:hAnsi="Times New Roman" w:cs="Times New Roman"/>
            <w:color w:val="000000" w:themeColor="text1"/>
            <w:sz w:val="20"/>
            <w:szCs w:val="20"/>
            <w:u w:val="none"/>
          </w:rPr>
          <w:t>Temkin</w:t>
        </w:r>
      </w:hyperlink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</w:t>
      </w:r>
      <w:proofErr w:type="spellStart"/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Pyzhev</w:t>
      </w:r>
      <w:proofErr w:type="spellEnd"/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):</w:t>
      </w:r>
    </w:p>
    <w:p w14:paraId="79C63DBC" w14:textId="6D7D9534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RT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B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ln⁡</m:t>
          </m:r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(A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)                                                                                                                                                                      (8)</m:t>
          </m:r>
        </m:oMath>
      </m:oMathPara>
    </w:p>
    <w:p w14:paraId="2337A257" w14:textId="77777777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453B44F1" w14:textId="274528B6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proofErr w:type="spellStart"/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Dubinin-Radushkevich</w:t>
      </w:r>
      <w:proofErr w:type="spellEnd"/>
      <w:r w:rsidRPr="00727C3A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(Redlich and Peterson, 1959):</w:t>
      </w:r>
    </w:p>
    <w:p w14:paraId="0DD09DE8" w14:textId="5DC09DB2" w:rsidR="00727C3A" w:rsidRPr="00727C3A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DR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exp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0"/>
                              <w:szCs w:val="20"/>
                            </w:rPr>
                            <m:t>RT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m:t>ln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 xml:space="preserve">1+ </m:t>
                                  </m:r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m:t>e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-2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ε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(9)</m:t>
          </m:r>
        </m:oMath>
      </m:oMathPara>
    </w:p>
    <w:p w14:paraId="713CABCD" w14:textId="4938F0CA" w:rsidR="00727C3A" w:rsidRPr="00FA6C16" w:rsidRDefault="00727C3A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where </w:t>
      </w:r>
      <w:proofErr w:type="spell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Q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m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maximum adsorption capacity; K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L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the constant of Langmuir; K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F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</w:t>
      </w:r>
      <w:proofErr w:type="spell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n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F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are constants of Freundlich; B and A are constants of Temkin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q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DR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the adsorption capacity, R is the universal gas constant, T is temperature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ɛ is free energy.</w:t>
      </w:r>
    </w:p>
    <w:p w14:paraId="287A42C9" w14:textId="77777777" w:rsidR="005A6F58" w:rsidRPr="00FA6C16" w:rsidRDefault="005A6F58" w:rsidP="00727C3A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val="en-US"/>
        </w:rPr>
      </w:pPr>
    </w:p>
    <w:p w14:paraId="41F70C26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Pseudo-first order (PFO) (</w:t>
      </w:r>
      <w:proofErr w:type="spellStart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Lagergren</w:t>
      </w:r>
      <w:proofErr w:type="spellEnd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, 1898):</w:t>
      </w:r>
    </w:p>
    <w:p w14:paraId="3D99E1E0" w14:textId="74C23339" w:rsidR="005A6F58" w:rsidRPr="005A6F58" w:rsidRDefault="00FA6C16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e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1-exp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-k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(10) </m:t>
          </m:r>
        </m:oMath>
      </m:oMathPara>
    </w:p>
    <w:p w14:paraId="537B2092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359D64D8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Pseudo-second order (PSO) (</w:t>
      </w:r>
      <w:hyperlink w:anchor="_3tbugp1">
        <w:r w:rsidRPr="005A6F58">
          <w:rPr>
            <w:rStyle w:val="Hyperlink"/>
            <w:rFonts w:ascii="Times New Roman" w:eastAsiaTheme="minorEastAsia" w:hAnsi="Times New Roman" w:cs="Times New Roman"/>
            <w:color w:val="000000" w:themeColor="text1"/>
            <w:sz w:val="20"/>
            <w:szCs w:val="20"/>
            <w:u w:val="none"/>
          </w:rPr>
          <w:t>Ho</w:t>
        </w:r>
      </w:hyperlink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and McKay, 1999)</w:t>
      </w:r>
    </w:p>
    <w:p w14:paraId="72328A35" w14:textId="2E7C734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 xml:space="preserve">1+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(11)</m:t>
          </m:r>
        </m:oMath>
      </m:oMathPara>
    </w:p>
    <w:p w14:paraId="17ED07FF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7B58751C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proofErr w:type="spellStart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Elovich</w:t>
      </w:r>
      <w:proofErr w:type="spellEnd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(</w:t>
      </w:r>
      <w:proofErr w:type="spellStart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begin"/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instrText xml:space="preserve"> HYPERLINK \l "_28h4qwu" \h </w:instrText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separate"/>
      </w:r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>Aeenjan</w:t>
      </w:r>
      <w:proofErr w:type="spellEnd"/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 xml:space="preserve"> and </w:t>
      </w:r>
      <w:proofErr w:type="spellStart"/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>Javanbakht</w:t>
      </w:r>
      <w:proofErr w:type="spellEnd"/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 xml:space="preserve"> 2017</w:t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end"/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):</w:t>
      </w:r>
    </w:p>
    <w:p w14:paraId="0B91AB36" w14:textId="4B885F54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β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ln </m:t>
          </m:r>
          <m:d>
            <m:d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αβ</m:t>
              </m:r>
            </m:e>
          </m:d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+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β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ln t                                                                                                                                                    (12)</m:t>
          </m:r>
        </m:oMath>
      </m:oMathPara>
    </w:p>
    <w:p w14:paraId="6E61E9CA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3D52ECE9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Intraparticle diffusion (</w:t>
      </w:r>
      <w:proofErr w:type="spellStart"/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begin"/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instrText xml:space="preserve"> HYPERLINK \l "_nmf14n" \h </w:instrText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separate"/>
      </w:r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>Boopathy</w:t>
      </w:r>
      <w:proofErr w:type="spellEnd"/>
      <w:r w:rsidRPr="005A6F58">
        <w:rPr>
          <w:rStyle w:val="Hyperlink"/>
          <w:rFonts w:ascii="Times New Roman" w:eastAsiaTheme="minorEastAsia" w:hAnsi="Times New Roman" w:cs="Times New Roman"/>
          <w:color w:val="000000" w:themeColor="text1"/>
          <w:sz w:val="20"/>
          <w:szCs w:val="20"/>
          <w:u w:val="none"/>
        </w:rPr>
        <w:t xml:space="preserve"> et al. 2013</w:t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fldChar w:fldCharType="end"/>
      </w: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):</w:t>
      </w:r>
    </w:p>
    <w:p w14:paraId="31576A4E" w14:textId="3BC0502F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t,i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             (13)</m:t>
          </m:r>
        </m:oMath>
      </m:oMathPara>
    </w:p>
    <w:p w14:paraId="01960D01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747D8A98" w14:textId="77777777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Boyd plot (</w:t>
      </w:r>
      <w:hyperlink w:anchor="_17dp8vu">
        <w:r w:rsidRPr="005A6F58">
          <w:rPr>
            <w:rStyle w:val="Hyperlink"/>
            <w:rFonts w:ascii="Times New Roman" w:eastAsiaTheme="minorEastAsia" w:hAnsi="Times New Roman" w:cs="Times New Roman"/>
            <w:color w:val="000000" w:themeColor="text1"/>
            <w:sz w:val="20"/>
            <w:szCs w:val="20"/>
            <w:u w:val="none"/>
          </w:rPr>
          <w:t>Islam et al. 2017</w:t>
        </w:r>
      </w:hyperlink>
      <w:r w:rsidRPr="005A6F58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):</w:t>
      </w:r>
    </w:p>
    <w:p w14:paraId="0F3AE202" w14:textId="4F081DAE" w:rsidR="005A6F58" w:rsidRPr="005A6F58" w:rsidRDefault="005A6F58" w:rsidP="005A6F58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=-0.4977-ln </m:t>
          </m:r>
          <m:d>
            <m:d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e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(14)</m:t>
          </m:r>
        </m:oMath>
      </m:oMathPara>
    </w:p>
    <w:p w14:paraId="162AA847" w14:textId="641EA886" w:rsidR="00C01C2F" w:rsidRPr="00FA6C16" w:rsidRDefault="005A6F58" w:rsidP="00C01C2F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where k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1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rate constant for PFO, k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rate constant for PSO, α is sorption constant of adsorbate, β is constant of desorption, </w:t>
      </w:r>
      <w:proofErr w:type="spellStart"/>
      <w:proofErr w:type="gram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k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t,i</w:t>
      </w:r>
      <w:proofErr w:type="spellEnd"/>
      <w:proofErr w:type="gram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rate constant for intraparticle diffusion.</w:t>
      </w:r>
    </w:p>
    <w:p w14:paraId="07341924" w14:textId="77777777" w:rsidR="00C01C2F" w:rsidRPr="00FA6C16" w:rsidRDefault="00C01C2F" w:rsidP="00C01C2F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58F27072" w14:textId="442C5D5E" w:rsidR="00C01C2F" w:rsidRPr="00C01C2F" w:rsidRDefault="00FA6C16" w:rsidP="00C01C2F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w:lastRenderedPageBreak/>
            <m:t xml:space="preserve">Error (%)=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e,exp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e,cal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0"/>
                          <w:szCs w:val="20"/>
                        </w:rPr>
                        <m:t>e,exp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×100%                                                                                                                          (15)</m:t>
          </m:r>
        </m:oMath>
      </m:oMathPara>
    </w:p>
    <w:p w14:paraId="5A83C1E2" w14:textId="356C0499" w:rsidR="005D6F10" w:rsidRPr="00FA6C16" w:rsidRDefault="00C01C2F" w:rsidP="005D6F10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where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q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e,cal</w:t>
      </w:r>
      <w:proofErr w:type="spellEnd"/>
      <w:proofErr w:type="gram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is the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calculated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MB uptake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and </w:t>
      </w:r>
      <w:proofErr w:type="spellStart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q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  <w:vertAlign w:val="subscript"/>
        </w:rPr>
        <w:t>e,exp</w:t>
      </w:r>
      <w:proofErr w:type="spellEnd"/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is the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experimental </w:t>
      </w:r>
      <w:r w:rsidRPr="00FA6C16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>MB uptake.</w:t>
      </w:r>
    </w:p>
    <w:p w14:paraId="71A8B81F" w14:textId="77777777" w:rsidR="005D6F10" w:rsidRPr="00FA6C16" w:rsidRDefault="005D6F10" w:rsidP="005D6F10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147C9144" w14:textId="2E237D15" w:rsidR="005D6F10" w:rsidRPr="00FA6C16" w:rsidRDefault="00FA6C16" w:rsidP="005D6F10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ln </m:t>
          </m:r>
          <m:sSub>
            <m:sSub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ΔS°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R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-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ΔH°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 w:themeColor="text1"/>
                  <w:sz w:val="20"/>
                  <w:szCs w:val="20"/>
                </w:rPr>
                <m:t>RT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(16</m:t>
          </m:r>
          <m:r>
            <w:rPr>
              <w:rFonts w:ascii="Cambria Math" w:eastAsiaTheme="minorEastAsia" w:hAnsi="Cambria Math" w:cs="Times New Roman"/>
              <w:color w:val="000000" w:themeColor="text1"/>
              <w:sz w:val="20"/>
              <w:szCs w:val="20"/>
            </w:rPr>
            <m:t>)</m:t>
          </m:r>
        </m:oMath>
      </m:oMathPara>
    </w:p>
    <w:p w14:paraId="191C03CA" w14:textId="77777777" w:rsidR="005D6F10" w:rsidRPr="005D6F10" w:rsidRDefault="005D6F10" w:rsidP="005D6F10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14:paraId="4FDE3C69" w14:textId="72B9C503" w:rsidR="005D6F10" w:rsidRPr="00FA6C16" w:rsidRDefault="00FA6C16" w:rsidP="005D6F10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∆G°= -RT</m:t>
          </m:r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</m:t>
          </m:r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ln </m:t>
          </m:r>
          <m:sSub>
            <m:sSub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c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   (17)</m:t>
          </m:r>
        </m:oMath>
      </m:oMathPara>
    </w:p>
    <w:p w14:paraId="31F0E3B1" w14:textId="77777777" w:rsidR="005D6F10" w:rsidRPr="005D6F10" w:rsidRDefault="005D6F10" w:rsidP="005D6F10">
      <w:pPr>
        <w:spacing w:after="0"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FD1E2D4" w14:textId="248BC688" w:rsidR="005D6F10" w:rsidRPr="00FA6C16" w:rsidRDefault="00FA6C16" w:rsidP="005D6F10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ln </m:t>
          </m:r>
          <m:sSub>
            <m:sSub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=ln A- </m:t>
          </m:r>
          <m:f>
            <m:fPr>
              <m:ctrlP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0"/>
                  <w:szCs w:val="20"/>
                </w:rPr>
                <m:t>RT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                  (18</m:t>
          </m:r>
          <m:r>
            <w:rPr>
              <w:rFonts w:ascii="Cambria Math" w:hAnsi="Cambria Math" w:cs="Times New Roman"/>
              <w:color w:val="000000" w:themeColor="text1"/>
              <w:sz w:val="20"/>
              <w:szCs w:val="20"/>
            </w:rPr>
            <m:t>)</m:t>
          </m:r>
        </m:oMath>
      </m:oMathPara>
    </w:p>
    <w:p w14:paraId="05A5A1D8" w14:textId="7B362F1E" w:rsidR="00213589" w:rsidRPr="00FA6C16" w:rsidRDefault="005D6F10" w:rsidP="005D6F1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Hlk65944429"/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where ΔH° is the enthalpy change (kJ mol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-1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), ΔS° is the entropy change (kJ mol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-1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K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-1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), ΔG° is the Gibbs free energy (kJ mol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-1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  <w:bookmarkEnd w:id="0"/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14:paraId="68BA9EB0" w14:textId="77777777" w:rsidR="005D6F10" w:rsidRPr="00FA6C16" w:rsidRDefault="005D6F10" w:rsidP="005D6F10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FA40190" w14:textId="7B666FFA" w:rsidR="005D6F10" w:rsidRPr="00FA6C16" w:rsidRDefault="005D6F10" w:rsidP="005D6F1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 w:themeColor="text1"/>
                  <w:sz w:val="20"/>
                  <w:szCs w:val="20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1000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</w:rPr>
                    <m:t>mg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</w:rPr>
                    <m:t>g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 xml:space="preserve"> ×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</w:rPr>
                    <m:t>L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 xml:space="preserve"> ×molecular weight of adsorbate ×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0"/>
                          <w:szCs w:val="20"/>
                        </w:rPr>
                        <m:t>adsorbate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0"/>
                      <w:szCs w:val="20"/>
                    </w:rPr>
                    <m:t>°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γ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(19)</m:t>
          </m:r>
        </m:oMath>
      </m:oMathPara>
    </w:p>
    <w:p w14:paraId="31BEB0B1" w14:textId="10A1A24D" w:rsidR="005D6F10" w:rsidRPr="00FA6C16" w:rsidRDefault="005D6F10" w:rsidP="005D6F1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where [adsorbate]° and </w:t>
      </w:r>
      <w:r w:rsidRPr="00FA6C16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ϒ</w:t>
      </w:r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are the standard concentration of the adsorbate, which concentration </w:t>
      </w:r>
      <w:proofErr w:type="gramStart"/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by definition is</w:t>
      </w:r>
      <w:proofErr w:type="gramEnd"/>
      <w:r w:rsidRPr="00FA6C1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1 mol/L at standard conditions and coefficient of activity of the adsorbate (dimensionless), respectively.</w:t>
      </w:r>
    </w:p>
    <w:p w14:paraId="23DC1F2B" w14:textId="4EA47B21" w:rsidR="00FA6C16" w:rsidRPr="00FA6C16" w:rsidRDefault="00FA6C16" w:rsidP="005D6F1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71477E8" w14:textId="18D2845A" w:rsidR="00FA6C16" w:rsidRPr="00FA6C16" w:rsidRDefault="00FA6C16" w:rsidP="005D6F1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=91.33+4.21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+2.31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+3.29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-5.53</m:t>
          </m:r>
          <m:sSubSup>
            <m:sSubSup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p>
          </m:sSubSup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-3.72</m:t>
          </m:r>
          <m:sSubSup>
            <m:sSubSup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p>
          </m:sSubSup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-5.79</m:t>
          </m:r>
          <m:sSubSup>
            <m:sSubSup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3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p>
          </m:sSubSup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-0.83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-1.02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>-0.61</m:t>
          </m:r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2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 w:themeColor="text1"/>
                  <w:sz w:val="20"/>
                  <w:szCs w:val="20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 w:themeColor="text1"/>
              <w:sz w:val="20"/>
              <w:szCs w:val="20"/>
            </w:rPr>
            <m:t xml:space="preserve">                                                                                                                                             (20)</m:t>
          </m:r>
        </m:oMath>
      </m:oMathPara>
    </w:p>
    <w:p w14:paraId="187DA6E3" w14:textId="77777777" w:rsidR="00FA6C16" w:rsidRPr="00FA6C16" w:rsidRDefault="00FA6C16" w:rsidP="005D6F10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7CBCBCCD" w14:textId="7C36064F" w:rsidR="005D6F10" w:rsidRPr="00FA6C16" w:rsidRDefault="00FA6C16" w:rsidP="005D6F10">
      <w:pPr>
        <w:spacing w:line="480" w:lineRule="auto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=27.48-2.73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-1.63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-1.14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-1.93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-2.49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-2.92</m:t>
        </m:r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3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p>
        </m:sSubSup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+0.39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-0.48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-0.70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 xml:space="preserve">                                                                                                                                                                   (21)</m:t>
        </m:r>
      </m:oMath>
      <w:r w:rsidRPr="00FA6C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</w:t>
      </w:r>
    </w:p>
    <w:sectPr w:rsidR="005D6F10" w:rsidRPr="00FA6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05A75" w14:textId="77777777" w:rsidR="00E030D1" w:rsidRDefault="00E030D1" w:rsidP="006376A3">
      <w:pPr>
        <w:spacing w:after="0" w:line="240" w:lineRule="auto"/>
      </w:pPr>
      <w:r>
        <w:separator/>
      </w:r>
    </w:p>
  </w:endnote>
  <w:endnote w:type="continuationSeparator" w:id="0">
    <w:p w14:paraId="782BE41A" w14:textId="77777777" w:rsidR="00E030D1" w:rsidRDefault="00E030D1" w:rsidP="00637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1D201" w14:textId="77777777" w:rsidR="00E030D1" w:rsidRDefault="00E030D1" w:rsidP="006376A3">
      <w:pPr>
        <w:spacing w:after="0" w:line="240" w:lineRule="auto"/>
      </w:pPr>
      <w:r>
        <w:separator/>
      </w:r>
    </w:p>
  </w:footnote>
  <w:footnote w:type="continuationSeparator" w:id="0">
    <w:p w14:paraId="0AFE47F0" w14:textId="77777777" w:rsidR="00E030D1" w:rsidRDefault="00E030D1" w:rsidP="00637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A3"/>
    <w:rsid w:val="000D3BBA"/>
    <w:rsid w:val="00213589"/>
    <w:rsid w:val="005A6F58"/>
    <w:rsid w:val="005D5C7E"/>
    <w:rsid w:val="005D6F10"/>
    <w:rsid w:val="006376A3"/>
    <w:rsid w:val="00727C3A"/>
    <w:rsid w:val="00733B95"/>
    <w:rsid w:val="008E00D3"/>
    <w:rsid w:val="00AE61ED"/>
    <w:rsid w:val="00C01C2F"/>
    <w:rsid w:val="00E030D1"/>
    <w:rsid w:val="00FA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4576"/>
  <w15:chartTrackingRefBased/>
  <w15:docId w15:val="{52180BE7-5353-4C42-AEAD-21D3B5365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6A3"/>
  </w:style>
  <w:style w:type="paragraph" w:styleId="Footer">
    <w:name w:val="footer"/>
    <w:basedOn w:val="Normal"/>
    <w:link w:val="FooterChar"/>
    <w:uiPriority w:val="99"/>
    <w:unhideWhenUsed/>
    <w:rsid w:val="0063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6A3"/>
  </w:style>
  <w:style w:type="table" w:styleId="TableGrid">
    <w:name w:val="Table Grid"/>
    <w:basedOn w:val="TableNormal"/>
    <w:uiPriority w:val="39"/>
    <w:rsid w:val="00637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7C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3</cp:revision>
  <dcterms:created xsi:type="dcterms:W3CDTF">2021-03-06T07:48:00Z</dcterms:created>
  <dcterms:modified xsi:type="dcterms:W3CDTF">2021-03-06T10:05:00Z</dcterms:modified>
</cp:coreProperties>
</file>