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B5119" w14:textId="77777777" w:rsidR="00462789" w:rsidRDefault="00462789" w:rsidP="0071403B">
      <w:pPr>
        <w:spacing w:after="0"/>
        <w:jc w:val="both"/>
        <w:rPr>
          <w:rFonts w:ascii="Times New Roman" w:hAnsi="Times New Roman"/>
          <w:b/>
          <w:sz w:val="28"/>
          <w:lang w:val="en-GB"/>
        </w:rPr>
      </w:pPr>
      <w:r>
        <w:rPr>
          <w:rFonts w:ascii="Times New Roman" w:hAnsi="Times New Roman"/>
          <w:b/>
          <w:sz w:val="28"/>
          <w:lang w:val="en-GB"/>
        </w:rPr>
        <w:t>Synthesis of activated carbon foams with high specific surface area using polyurethane elastomer templates for effective removal of methylene blue</w:t>
      </w:r>
    </w:p>
    <w:p w14:paraId="37A2DDC3" w14:textId="77777777" w:rsidR="00462789" w:rsidRPr="00B43566" w:rsidRDefault="00462789" w:rsidP="0071403B">
      <w:pPr>
        <w:spacing w:after="0"/>
        <w:jc w:val="both"/>
        <w:rPr>
          <w:rFonts w:ascii="Times New Roman" w:hAnsi="Times New Roman"/>
          <w:b/>
          <w:sz w:val="28"/>
          <w:lang w:val="en-GB"/>
        </w:rPr>
      </w:pPr>
    </w:p>
    <w:p w14:paraId="72DC37D4" w14:textId="154082F8" w:rsidR="00C831B9" w:rsidRDefault="00C831B9" w:rsidP="00C831B9">
      <w:pPr>
        <w:pStyle w:val="AU"/>
        <w:spacing w:before="0" w:after="0" w:line="276" w:lineRule="auto"/>
        <w:rPr>
          <w:noProof/>
          <w:color w:val="auto"/>
          <w:sz w:val="24"/>
        </w:rPr>
      </w:pPr>
      <w:bookmarkStart w:id="0" w:name="_Hlk2171465"/>
      <w:r w:rsidRPr="006C4076">
        <w:rPr>
          <w:noProof/>
          <w:color w:val="auto"/>
          <w:sz w:val="24"/>
        </w:rPr>
        <w:t>Mahitha Udayakumar</w:t>
      </w:r>
      <w:r w:rsidRPr="006C4076">
        <w:rPr>
          <w:color w:val="auto"/>
          <w:sz w:val="24"/>
          <w:vertAlign w:val="superscript"/>
        </w:rPr>
        <w:t>a, b</w:t>
      </w:r>
      <w:r w:rsidRPr="006C4076">
        <w:rPr>
          <w:noProof/>
          <w:color w:val="auto"/>
          <w:sz w:val="24"/>
        </w:rPr>
        <w:t xml:space="preserve">, Bilal El </w:t>
      </w:r>
      <w:proofErr w:type="spellStart"/>
      <w:r w:rsidRPr="006C4076">
        <w:rPr>
          <w:noProof/>
          <w:color w:val="auto"/>
          <w:sz w:val="24"/>
        </w:rPr>
        <w:t>Mrabate</w:t>
      </w:r>
      <w:r w:rsidRPr="006C4076">
        <w:rPr>
          <w:color w:val="auto"/>
          <w:sz w:val="24"/>
          <w:vertAlign w:val="superscript"/>
        </w:rPr>
        <w:t>a</w:t>
      </w:r>
      <w:proofErr w:type="spellEnd"/>
      <w:r w:rsidRPr="006C4076">
        <w:rPr>
          <w:color w:val="auto"/>
          <w:sz w:val="24"/>
          <w:vertAlign w:val="superscript"/>
        </w:rPr>
        <w:t>, b</w:t>
      </w:r>
      <w:r w:rsidRPr="006C4076">
        <w:rPr>
          <w:color w:val="auto"/>
          <w:sz w:val="24"/>
        </w:rPr>
        <w:t xml:space="preserve">, </w:t>
      </w:r>
      <w:bookmarkEnd w:id="0"/>
      <w:r w:rsidRPr="006C4076">
        <w:rPr>
          <w:noProof/>
          <w:color w:val="auto"/>
          <w:sz w:val="24"/>
        </w:rPr>
        <w:t>Tamás Koós</w:t>
      </w:r>
      <w:r w:rsidRPr="006C4076">
        <w:rPr>
          <w:noProof/>
          <w:color w:val="auto"/>
          <w:sz w:val="24"/>
          <w:vertAlign w:val="superscript"/>
        </w:rPr>
        <w:t>c</w:t>
      </w:r>
      <w:r w:rsidRPr="006C4076">
        <w:rPr>
          <w:noProof/>
          <w:color w:val="auto"/>
          <w:sz w:val="24"/>
        </w:rPr>
        <w:t>, Katalin Szemmelveisz</w:t>
      </w:r>
      <w:r w:rsidRPr="006C4076">
        <w:rPr>
          <w:noProof/>
          <w:color w:val="auto"/>
          <w:sz w:val="24"/>
          <w:vertAlign w:val="superscript"/>
        </w:rPr>
        <w:t>c</w:t>
      </w:r>
      <w:r w:rsidRPr="006C4076">
        <w:rPr>
          <w:noProof/>
          <w:color w:val="auto"/>
          <w:sz w:val="24"/>
        </w:rPr>
        <w:t>, Ferenc Kristály</w:t>
      </w:r>
      <w:r w:rsidRPr="006C4076">
        <w:rPr>
          <w:noProof/>
          <w:color w:val="auto"/>
          <w:sz w:val="24"/>
          <w:vertAlign w:val="superscript"/>
        </w:rPr>
        <w:t>d</w:t>
      </w:r>
      <w:r w:rsidRPr="006C4076">
        <w:rPr>
          <w:noProof/>
          <w:color w:val="auto"/>
          <w:sz w:val="24"/>
        </w:rPr>
        <w:t>, Máté Leskó</w:t>
      </w:r>
      <w:r w:rsidRPr="006C4076">
        <w:rPr>
          <w:noProof/>
          <w:color w:val="auto"/>
          <w:sz w:val="24"/>
          <w:vertAlign w:val="superscript"/>
        </w:rPr>
        <w:t>d</w:t>
      </w:r>
      <w:r w:rsidRPr="006C4076">
        <w:rPr>
          <w:noProof/>
          <w:color w:val="auto"/>
          <w:sz w:val="24"/>
        </w:rPr>
        <w:t>, Ádám Filep</w:t>
      </w:r>
      <w:r w:rsidRPr="006C4076">
        <w:rPr>
          <w:noProof/>
          <w:color w:val="auto"/>
          <w:sz w:val="24"/>
          <w:vertAlign w:val="superscript"/>
        </w:rPr>
        <w:t>a</w:t>
      </w:r>
      <w:r w:rsidRPr="006C4076">
        <w:rPr>
          <w:noProof/>
          <w:color w:val="auto"/>
          <w:sz w:val="24"/>
        </w:rPr>
        <w:t>, Róbert Géber</w:t>
      </w:r>
      <w:r w:rsidRPr="006C4076">
        <w:rPr>
          <w:noProof/>
          <w:color w:val="auto"/>
          <w:sz w:val="24"/>
          <w:vertAlign w:val="superscript"/>
        </w:rPr>
        <w:t>e</w:t>
      </w:r>
      <w:r w:rsidRPr="006C4076">
        <w:rPr>
          <w:noProof/>
          <w:color w:val="auto"/>
          <w:sz w:val="24"/>
        </w:rPr>
        <w:t>, Mateusz Schabikowski</w:t>
      </w:r>
      <w:r w:rsidRPr="006C4076">
        <w:rPr>
          <w:noProof/>
          <w:color w:val="auto"/>
          <w:sz w:val="24"/>
          <w:vertAlign w:val="superscript"/>
        </w:rPr>
        <w:t>f</w:t>
      </w:r>
      <w:r w:rsidRPr="006C4076">
        <w:rPr>
          <w:noProof/>
          <w:color w:val="auto"/>
          <w:sz w:val="24"/>
        </w:rPr>
        <w:t>, Péter Baumli</w:t>
      </w:r>
      <w:r w:rsidRPr="006C4076">
        <w:rPr>
          <w:noProof/>
          <w:color w:val="auto"/>
          <w:sz w:val="24"/>
          <w:vertAlign w:val="superscript"/>
        </w:rPr>
        <w:t>g</w:t>
      </w:r>
      <w:r w:rsidRPr="006C4076">
        <w:rPr>
          <w:noProof/>
          <w:color w:val="auto"/>
          <w:sz w:val="24"/>
        </w:rPr>
        <w:t>, János Lakatos</w:t>
      </w:r>
      <w:r w:rsidRPr="006C4076">
        <w:rPr>
          <w:noProof/>
          <w:color w:val="auto"/>
          <w:sz w:val="24"/>
          <w:vertAlign w:val="superscript"/>
        </w:rPr>
        <w:t>b</w:t>
      </w:r>
      <w:r w:rsidRPr="006C4076">
        <w:rPr>
          <w:noProof/>
          <w:color w:val="auto"/>
          <w:sz w:val="24"/>
        </w:rPr>
        <w:t>, Pál Tóth</w:t>
      </w:r>
      <w:r w:rsidRPr="006C4076">
        <w:rPr>
          <w:noProof/>
          <w:color w:val="auto"/>
          <w:sz w:val="24"/>
          <w:vertAlign w:val="superscript"/>
        </w:rPr>
        <w:t>c</w:t>
      </w:r>
      <w:r w:rsidRPr="006C4076">
        <w:rPr>
          <w:noProof/>
          <w:color w:val="auto"/>
          <w:sz w:val="24"/>
        </w:rPr>
        <w:t>, Zoltán Németh</w:t>
      </w:r>
      <w:r w:rsidR="002C1803">
        <w:rPr>
          <w:color w:val="auto"/>
          <w:sz w:val="24"/>
          <w:vertAlign w:val="superscript"/>
        </w:rPr>
        <w:t>a</w:t>
      </w:r>
      <w:bookmarkStart w:id="1" w:name="_GoBack"/>
      <w:bookmarkEnd w:id="1"/>
      <w:r w:rsidRPr="006C4076">
        <w:rPr>
          <w:color w:val="auto"/>
          <w:sz w:val="24"/>
        </w:rPr>
        <w:t>*</w:t>
      </w:r>
    </w:p>
    <w:p w14:paraId="0556A2B3" w14:textId="77777777" w:rsidR="00C831B9" w:rsidRPr="00A119A3" w:rsidRDefault="00C831B9" w:rsidP="00C831B9">
      <w:pPr>
        <w:pStyle w:val="AU"/>
        <w:spacing w:before="0" w:after="0" w:line="276" w:lineRule="auto"/>
        <w:jc w:val="center"/>
        <w:rPr>
          <w:color w:val="auto"/>
          <w:sz w:val="22"/>
          <w:szCs w:val="22"/>
        </w:rPr>
      </w:pPr>
    </w:p>
    <w:p w14:paraId="67AC690B" w14:textId="77777777" w:rsidR="00C831B9" w:rsidRPr="006224BC" w:rsidRDefault="00C831B9" w:rsidP="00C831B9">
      <w:pPr>
        <w:spacing w:after="0"/>
        <w:rPr>
          <w:rFonts w:ascii="Times New Roman" w:hAnsi="Times New Roman"/>
          <w:lang w:val="en-GB"/>
        </w:rPr>
      </w:pPr>
      <w:proofErr w:type="spellStart"/>
      <w:r>
        <w:rPr>
          <w:rFonts w:ascii="Times New Roman" w:hAnsi="Times New Roman"/>
          <w:vertAlign w:val="superscript"/>
          <w:lang w:val="en-GB"/>
        </w:rPr>
        <w:t>a</w:t>
      </w:r>
      <w:proofErr w:type="spellEnd"/>
      <w:r>
        <w:rPr>
          <w:rFonts w:ascii="Times New Roman" w:hAnsi="Times New Roman"/>
          <w:vertAlign w:val="superscript"/>
          <w:lang w:val="en-GB"/>
        </w:rPr>
        <w:t xml:space="preserve"> </w:t>
      </w:r>
      <w:r>
        <w:rPr>
          <w:rFonts w:ascii="Times New Roman" w:hAnsi="Times New Roman"/>
          <w:lang w:val="en-GB"/>
        </w:rPr>
        <w:t>Advanced Materials and Intelligent Technologies Higher Education and Industrial Cooperation Centre</w:t>
      </w:r>
      <w:r w:rsidRPr="006224BC">
        <w:rPr>
          <w:rFonts w:ascii="Times New Roman" w:hAnsi="Times New Roman"/>
          <w:lang w:val="en-GB"/>
        </w:rPr>
        <w:t>, University of Miskolc, H-3515 Miskolc, Hungary</w:t>
      </w:r>
    </w:p>
    <w:p w14:paraId="5C46B7CA" w14:textId="77777777" w:rsidR="00C831B9" w:rsidRPr="006224BC" w:rsidRDefault="00C831B9" w:rsidP="00C831B9">
      <w:pPr>
        <w:pStyle w:val="TEXT"/>
        <w:spacing w:line="276" w:lineRule="auto"/>
        <w:jc w:val="left"/>
        <w:rPr>
          <w:sz w:val="22"/>
          <w:szCs w:val="22"/>
          <w:lang w:val="en-GB"/>
        </w:rPr>
      </w:pPr>
      <w:r w:rsidRPr="006C4076">
        <w:rPr>
          <w:sz w:val="22"/>
          <w:szCs w:val="22"/>
          <w:vertAlign w:val="superscript"/>
          <w:lang w:val="en-GB"/>
        </w:rPr>
        <w:t xml:space="preserve">b </w:t>
      </w:r>
      <w:r w:rsidRPr="006C4076">
        <w:rPr>
          <w:sz w:val="22"/>
          <w:szCs w:val="22"/>
          <w:lang w:val="en-GB"/>
        </w:rPr>
        <w:t>Institute of Chemistry, University of Miskolc, H-3515 Miskolc, Hungary</w:t>
      </w:r>
    </w:p>
    <w:p w14:paraId="2005B6B2" w14:textId="77777777" w:rsidR="00C831B9" w:rsidRPr="006224BC" w:rsidRDefault="00C831B9" w:rsidP="00C831B9">
      <w:pPr>
        <w:pStyle w:val="TEXT"/>
        <w:spacing w:line="276" w:lineRule="auto"/>
        <w:jc w:val="left"/>
        <w:rPr>
          <w:sz w:val="22"/>
          <w:szCs w:val="22"/>
          <w:lang w:val="en-GB"/>
        </w:rPr>
      </w:pPr>
      <w:r>
        <w:rPr>
          <w:sz w:val="22"/>
          <w:szCs w:val="22"/>
          <w:vertAlign w:val="superscript"/>
          <w:lang w:val="en-GB"/>
        </w:rPr>
        <w:t xml:space="preserve">c </w:t>
      </w:r>
      <w:r>
        <w:rPr>
          <w:sz w:val="22"/>
          <w:szCs w:val="22"/>
          <w:lang w:val="en-GB"/>
        </w:rPr>
        <w:t>Department of Combustion Technology and Thermal Energy</w:t>
      </w:r>
      <w:r w:rsidRPr="006224BC">
        <w:rPr>
          <w:sz w:val="22"/>
          <w:szCs w:val="22"/>
          <w:lang w:val="en-GB"/>
        </w:rPr>
        <w:t xml:space="preserve">, University of Miskolc, H-3515 Miskolc, Hungary </w:t>
      </w:r>
    </w:p>
    <w:p w14:paraId="163E9D3D" w14:textId="77777777" w:rsidR="00C831B9" w:rsidRPr="006224BC" w:rsidRDefault="00C831B9" w:rsidP="00C831B9">
      <w:pPr>
        <w:spacing w:after="0"/>
        <w:rPr>
          <w:rFonts w:ascii="Times New Roman" w:hAnsi="Times New Roman"/>
          <w:lang w:val="en-GB"/>
        </w:rPr>
      </w:pPr>
      <w:r>
        <w:rPr>
          <w:rFonts w:ascii="Times New Roman" w:hAnsi="Times New Roman"/>
          <w:vertAlign w:val="superscript"/>
          <w:lang w:val="en-GB"/>
        </w:rPr>
        <w:t xml:space="preserve">d </w:t>
      </w:r>
      <w:r w:rsidRPr="006224BC">
        <w:rPr>
          <w:rFonts w:ascii="Times New Roman" w:hAnsi="Times New Roman"/>
          <w:lang w:val="en-GB"/>
        </w:rPr>
        <w:t xml:space="preserve">Institute of Mineralogy and Geology, University of Miskolc, H-3515 Miskolc, Hungary </w:t>
      </w:r>
    </w:p>
    <w:p w14:paraId="7B22E714" w14:textId="77777777" w:rsidR="00C831B9" w:rsidRPr="006224BC" w:rsidRDefault="00C831B9" w:rsidP="00C831B9">
      <w:pPr>
        <w:pStyle w:val="TEXT"/>
        <w:spacing w:line="276" w:lineRule="auto"/>
        <w:jc w:val="left"/>
        <w:rPr>
          <w:sz w:val="22"/>
          <w:szCs w:val="22"/>
          <w:lang w:val="en-GB"/>
        </w:rPr>
      </w:pPr>
      <w:r>
        <w:rPr>
          <w:sz w:val="22"/>
          <w:szCs w:val="22"/>
          <w:vertAlign w:val="superscript"/>
          <w:lang w:val="en-GB"/>
        </w:rPr>
        <w:t xml:space="preserve">e </w:t>
      </w:r>
      <w:r w:rsidRPr="006224BC">
        <w:rPr>
          <w:sz w:val="22"/>
          <w:szCs w:val="22"/>
          <w:lang w:val="en-GB"/>
        </w:rPr>
        <w:t>Institute of Ceramic and Polymer Engineering, University of Miskolc, H-3515 Miskolc, Hungary</w:t>
      </w:r>
    </w:p>
    <w:p w14:paraId="0507D3C5" w14:textId="77777777" w:rsidR="00C831B9" w:rsidRPr="006224BC" w:rsidRDefault="00C831B9" w:rsidP="00C831B9">
      <w:pPr>
        <w:spacing w:after="0"/>
        <w:rPr>
          <w:rFonts w:ascii="Times New Roman" w:eastAsia="Times New Roman" w:hAnsi="Times New Roman"/>
          <w:lang w:val="en-GB" w:eastAsia="en-US"/>
        </w:rPr>
      </w:pPr>
      <w:r>
        <w:rPr>
          <w:rFonts w:ascii="Times New Roman" w:eastAsia="Times New Roman" w:hAnsi="Times New Roman"/>
          <w:vertAlign w:val="superscript"/>
          <w:lang w:val="en-GB" w:eastAsia="en-US"/>
        </w:rPr>
        <w:t xml:space="preserve">f </w:t>
      </w:r>
      <w:r w:rsidRPr="006224BC">
        <w:rPr>
          <w:rFonts w:ascii="Times New Roman" w:eastAsia="Times New Roman" w:hAnsi="Times New Roman"/>
          <w:lang w:val="en-GB" w:eastAsia="en-US"/>
        </w:rPr>
        <w:t xml:space="preserve">Institute of Nuclear Physics, Polish Academy of Sciences, PL 31-342 Krakow, Poland </w:t>
      </w:r>
    </w:p>
    <w:p w14:paraId="1853D674" w14:textId="77777777" w:rsidR="00C831B9" w:rsidRPr="006224BC" w:rsidRDefault="00C831B9" w:rsidP="00C831B9">
      <w:pPr>
        <w:pStyle w:val="TEXT"/>
        <w:spacing w:line="276" w:lineRule="auto"/>
        <w:jc w:val="left"/>
        <w:rPr>
          <w:rStyle w:val="FootnoteCharacters"/>
          <w:sz w:val="22"/>
          <w:szCs w:val="22"/>
          <w:lang w:val="en-GB"/>
        </w:rPr>
      </w:pPr>
      <w:r>
        <w:rPr>
          <w:sz w:val="22"/>
          <w:szCs w:val="22"/>
          <w:vertAlign w:val="superscript"/>
          <w:lang w:val="en-GB"/>
        </w:rPr>
        <w:t xml:space="preserve">g </w:t>
      </w:r>
      <w:r w:rsidRPr="006224BC">
        <w:rPr>
          <w:sz w:val="22"/>
          <w:szCs w:val="22"/>
          <w:lang w:val="en-GB"/>
        </w:rPr>
        <w:t xml:space="preserve">Institute of Physical Metallurgy, Metal Forming and Nanotechnology, University of Miskolc, H-3515 Miskolc, Hungary </w:t>
      </w:r>
    </w:p>
    <w:p w14:paraId="6356E838" w14:textId="77777777" w:rsidR="00C831B9" w:rsidRPr="00C41EB3" w:rsidRDefault="00C831B9" w:rsidP="00C831B9">
      <w:pPr>
        <w:spacing w:after="0"/>
        <w:rPr>
          <w:rStyle w:val="Hyperlink"/>
          <w:rFonts w:ascii="Times New Roman" w:hAnsi="Times New Roman"/>
          <w:u w:val="none"/>
          <w:lang w:val="en-GB"/>
        </w:rPr>
      </w:pPr>
      <w:r w:rsidRPr="006224BC">
        <w:rPr>
          <w:rStyle w:val="FootnoteCharacters"/>
          <w:rFonts w:ascii="Times New Roman" w:hAnsi="Times New Roman"/>
          <w:lang w:val="en-GB"/>
        </w:rPr>
        <w:t>*</w:t>
      </w:r>
      <w:r w:rsidRPr="006224BC">
        <w:rPr>
          <w:rFonts w:ascii="Times New Roman" w:hAnsi="Times New Roman"/>
          <w:lang w:val="en-GB"/>
        </w:rPr>
        <w:t xml:space="preserve">Corresponding author: Tel: +36 46 565 111/1380. E-mail: </w:t>
      </w:r>
      <w:hyperlink r:id="rId8" w:history="1">
        <w:r w:rsidRPr="00C41EB3">
          <w:rPr>
            <w:rStyle w:val="Hyperlink"/>
            <w:rFonts w:ascii="Times New Roman" w:hAnsi="Times New Roman"/>
            <w:u w:val="none"/>
            <w:lang w:val="en-GB"/>
          </w:rPr>
          <w:t>kemnemet@uni-miskolc.hu</w:t>
        </w:r>
      </w:hyperlink>
      <w:r w:rsidRPr="00C41EB3">
        <w:rPr>
          <w:rStyle w:val="Hyperlink"/>
          <w:rFonts w:ascii="Times New Roman" w:hAnsi="Times New Roman"/>
          <w:u w:val="none"/>
          <w:lang w:val="en-GB"/>
        </w:rPr>
        <w:t xml:space="preserve"> </w:t>
      </w:r>
    </w:p>
    <w:p w14:paraId="6AFB3A87" w14:textId="5841B188" w:rsidR="00462789" w:rsidRDefault="00462789" w:rsidP="00C831B9">
      <w:pPr>
        <w:spacing w:after="0"/>
        <w:rPr>
          <w:rStyle w:val="Hyperlink"/>
          <w:rFonts w:ascii="Times New Roman" w:hAnsi="Times New Roman"/>
          <w:u w:val="none"/>
          <w:lang w:val="en-GB"/>
        </w:rPr>
      </w:pPr>
      <w:r w:rsidRPr="00C41EB3">
        <w:rPr>
          <w:rStyle w:val="Hyperlink"/>
          <w:rFonts w:ascii="Times New Roman" w:hAnsi="Times New Roman"/>
          <w:u w:val="none"/>
          <w:lang w:val="en-GB"/>
        </w:rPr>
        <w:t xml:space="preserve"> </w:t>
      </w:r>
    </w:p>
    <w:p w14:paraId="75A64E53" w14:textId="532725E8" w:rsidR="00281F05" w:rsidRPr="00281F05" w:rsidRDefault="006C4076" w:rsidP="00281F05">
      <w:pPr>
        <w:pStyle w:val="ListParagraph"/>
        <w:numPr>
          <w:ilvl w:val="0"/>
          <w:numId w:val="2"/>
        </w:numPr>
        <w:spacing w:after="0"/>
        <w:jc w:val="both"/>
        <w:rPr>
          <w:rFonts w:ascii="Times New Roman" w:hAnsi="Times New Roman"/>
          <w:b/>
          <w:bCs/>
          <w:color w:val="000000"/>
          <w:sz w:val="24"/>
          <w:szCs w:val="24"/>
          <w:highlight w:val="yellow"/>
          <w:lang w:val="en-GB"/>
        </w:rPr>
      </w:pPr>
      <w:r>
        <w:rPr>
          <w:rFonts w:ascii="Times New Roman" w:hAnsi="Times New Roman"/>
          <w:b/>
          <w:bCs/>
          <w:color w:val="000000"/>
          <w:sz w:val="24"/>
          <w:szCs w:val="24"/>
          <w:highlight w:val="yellow"/>
          <w:lang w:val="en-GB"/>
        </w:rPr>
        <w:t>The d</w:t>
      </w:r>
      <w:r w:rsidR="00281F05" w:rsidRPr="00281F05">
        <w:rPr>
          <w:rFonts w:ascii="Times New Roman" w:hAnsi="Times New Roman"/>
          <w:b/>
          <w:bCs/>
          <w:color w:val="000000"/>
          <w:sz w:val="24"/>
          <w:szCs w:val="24"/>
          <w:highlight w:val="yellow"/>
          <w:lang w:val="en-GB"/>
        </w:rPr>
        <w:t>ensity of carbon foams</w:t>
      </w:r>
    </w:p>
    <w:p w14:paraId="756BE072" w14:textId="637B6F2E" w:rsidR="00ED0DC4" w:rsidRPr="00ED0DC4" w:rsidRDefault="00ED0DC4" w:rsidP="00ED0DC4">
      <w:pPr>
        <w:spacing w:after="0"/>
        <w:ind w:firstLine="357"/>
        <w:jc w:val="both"/>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The densitie</w:t>
      </w:r>
      <w:r w:rsidR="00281F05">
        <w:rPr>
          <w:rFonts w:ascii="Times New Roman" w:hAnsi="Times New Roman"/>
          <w:color w:val="000000"/>
          <w:sz w:val="24"/>
          <w:szCs w:val="24"/>
          <w:highlight w:val="yellow"/>
          <w:lang w:val="en-GB"/>
        </w:rPr>
        <w:t>s of the CF are given in Table S1</w:t>
      </w:r>
      <w:r w:rsidRPr="00ED0DC4">
        <w:rPr>
          <w:rFonts w:ascii="Times New Roman" w:hAnsi="Times New Roman"/>
          <w:color w:val="000000"/>
          <w:sz w:val="24"/>
          <w:szCs w:val="24"/>
          <w:highlight w:val="yellow"/>
          <w:lang w:val="en-GB"/>
        </w:rPr>
        <w:t>. The samples prepared through direct activation (EFAC1) were denser than the carbonized (EF900) and the activated CF (EFAC2) prepared in the two-step process.</w:t>
      </w:r>
    </w:p>
    <w:p w14:paraId="468E6163" w14:textId="77777777" w:rsidR="00ED0DC4" w:rsidRPr="00ED0DC4" w:rsidRDefault="00ED0DC4" w:rsidP="00ED0DC4">
      <w:pPr>
        <w:spacing w:after="0"/>
        <w:ind w:firstLine="641"/>
        <w:jc w:val="both"/>
        <w:rPr>
          <w:rFonts w:ascii="Times New Roman" w:hAnsi="Times New Roman"/>
          <w:color w:val="000000"/>
          <w:sz w:val="24"/>
          <w:szCs w:val="24"/>
          <w:highlight w:val="yellow"/>
          <w:lang w:val="en-GB"/>
        </w:rPr>
      </w:pPr>
    </w:p>
    <w:p w14:paraId="5F3AE310" w14:textId="66A1831A" w:rsidR="00ED0DC4" w:rsidRPr="00ED0DC4" w:rsidRDefault="00281F05" w:rsidP="00ED0DC4">
      <w:pPr>
        <w:spacing w:after="0"/>
        <w:jc w:val="both"/>
        <w:rPr>
          <w:rFonts w:ascii="Times New Roman" w:hAnsi="Times New Roman"/>
          <w:color w:val="000000"/>
          <w:sz w:val="24"/>
          <w:szCs w:val="24"/>
          <w:highlight w:val="yellow"/>
          <w:lang w:val="en-GB"/>
        </w:rPr>
      </w:pPr>
      <w:r>
        <w:rPr>
          <w:rFonts w:ascii="Times New Roman" w:hAnsi="Times New Roman"/>
          <w:b/>
          <w:color w:val="000000"/>
          <w:sz w:val="24"/>
          <w:szCs w:val="24"/>
          <w:highlight w:val="yellow"/>
          <w:lang w:val="en-GB"/>
        </w:rPr>
        <w:t>Table S1</w:t>
      </w:r>
      <w:r w:rsidR="00ED0DC4" w:rsidRPr="00ED0DC4">
        <w:rPr>
          <w:rFonts w:ascii="Times New Roman" w:hAnsi="Times New Roman"/>
          <w:b/>
          <w:color w:val="000000"/>
          <w:sz w:val="24"/>
          <w:szCs w:val="24"/>
          <w:highlight w:val="yellow"/>
          <w:lang w:val="en-GB"/>
        </w:rPr>
        <w:t xml:space="preserve">. </w:t>
      </w:r>
      <w:r w:rsidR="00ED0DC4" w:rsidRPr="00ED0DC4">
        <w:rPr>
          <w:rFonts w:ascii="Times New Roman" w:hAnsi="Times New Roman"/>
          <w:color w:val="000000"/>
          <w:sz w:val="24"/>
          <w:szCs w:val="24"/>
          <w:highlight w:val="yellow"/>
          <w:lang w:val="en-GB"/>
        </w:rPr>
        <w:t>The density of CF</w:t>
      </w:r>
    </w:p>
    <w:tbl>
      <w:tblPr>
        <w:tblW w:w="0" w:type="auto"/>
        <w:jc w:val="center"/>
        <w:tblLook w:val="04A0" w:firstRow="1" w:lastRow="0" w:firstColumn="1" w:lastColumn="0" w:noHBand="0" w:noVBand="1"/>
      </w:tblPr>
      <w:tblGrid>
        <w:gridCol w:w="2758"/>
        <w:gridCol w:w="2758"/>
      </w:tblGrid>
      <w:tr w:rsidR="00ED0DC4" w:rsidRPr="00ED0DC4" w14:paraId="645E1156" w14:textId="77777777" w:rsidTr="00B622E9">
        <w:trPr>
          <w:trHeight w:val="385"/>
          <w:jc w:val="center"/>
        </w:trPr>
        <w:tc>
          <w:tcPr>
            <w:tcW w:w="2758" w:type="dxa"/>
            <w:tcBorders>
              <w:top w:val="single" w:sz="4" w:space="0" w:color="auto"/>
              <w:bottom w:val="single" w:sz="12" w:space="0" w:color="auto"/>
            </w:tcBorders>
            <w:shd w:val="clear" w:color="auto" w:fill="auto"/>
            <w:vAlign w:val="center"/>
          </w:tcPr>
          <w:p w14:paraId="7125BD51"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Samples</w:t>
            </w:r>
          </w:p>
        </w:tc>
        <w:tc>
          <w:tcPr>
            <w:tcW w:w="2758" w:type="dxa"/>
            <w:tcBorders>
              <w:top w:val="single" w:sz="4" w:space="0" w:color="auto"/>
              <w:bottom w:val="single" w:sz="12" w:space="0" w:color="auto"/>
            </w:tcBorders>
            <w:shd w:val="clear" w:color="auto" w:fill="auto"/>
            <w:vAlign w:val="center"/>
          </w:tcPr>
          <w:p w14:paraId="4FDCCAD4"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Density (g/cm</w:t>
            </w:r>
            <w:r w:rsidRPr="00ED0DC4">
              <w:rPr>
                <w:rFonts w:ascii="Times New Roman" w:hAnsi="Times New Roman"/>
                <w:color w:val="000000"/>
                <w:sz w:val="24"/>
                <w:szCs w:val="24"/>
                <w:highlight w:val="yellow"/>
                <w:vertAlign w:val="superscript"/>
                <w:lang w:val="en-GB"/>
              </w:rPr>
              <w:t>3</w:t>
            </w:r>
            <w:r w:rsidRPr="00ED0DC4">
              <w:rPr>
                <w:rFonts w:ascii="Times New Roman" w:hAnsi="Times New Roman"/>
                <w:color w:val="000000"/>
                <w:sz w:val="24"/>
                <w:szCs w:val="24"/>
                <w:highlight w:val="yellow"/>
                <w:lang w:val="en-GB"/>
              </w:rPr>
              <w:t>)</w:t>
            </w:r>
          </w:p>
        </w:tc>
      </w:tr>
      <w:tr w:rsidR="00ED0DC4" w:rsidRPr="00ED0DC4" w14:paraId="0AC4447D" w14:textId="77777777" w:rsidTr="00B622E9">
        <w:trPr>
          <w:trHeight w:val="374"/>
          <w:jc w:val="center"/>
        </w:trPr>
        <w:tc>
          <w:tcPr>
            <w:tcW w:w="2758" w:type="dxa"/>
            <w:tcBorders>
              <w:top w:val="single" w:sz="12" w:space="0" w:color="auto"/>
            </w:tcBorders>
            <w:shd w:val="clear" w:color="auto" w:fill="auto"/>
            <w:vAlign w:val="center"/>
          </w:tcPr>
          <w:p w14:paraId="07CC06C8"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EF700</w:t>
            </w:r>
          </w:p>
        </w:tc>
        <w:tc>
          <w:tcPr>
            <w:tcW w:w="2758" w:type="dxa"/>
            <w:tcBorders>
              <w:top w:val="single" w:sz="12" w:space="0" w:color="auto"/>
            </w:tcBorders>
            <w:shd w:val="clear" w:color="auto" w:fill="auto"/>
            <w:vAlign w:val="center"/>
          </w:tcPr>
          <w:p w14:paraId="392CE7C5"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1.46</w:t>
            </w:r>
          </w:p>
        </w:tc>
      </w:tr>
      <w:tr w:rsidR="00ED0DC4" w:rsidRPr="00ED0DC4" w14:paraId="154F2F9E" w14:textId="77777777" w:rsidTr="00B622E9">
        <w:trPr>
          <w:trHeight w:val="374"/>
          <w:jc w:val="center"/>
        </w:trPr>
        <w:tc>
          <w:tcPr>
            <w:tcW w:w="2758" w:type="dxa"/>
            <w:shd w:val="clear" w:color="auto" w:fill="auto"/>
            <w:vAlign w:val="center"/>
          </w:tcPr>
          <w:p w14:paraId="268433AC"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EF900</w:t>
            </w:r>
          </w:p>
        </w:tc>
        <w:tc>
          <w:tcPr>
            <w:tcW w:w="2758" w:type="dxa"/>
            <w:shd w:val="clear" w:color="auto" w:fill="auto"/>
            <w:vAlign w:val="center"/>
          </w:tcPr>
          <w:p w14:paraId="38BF132B"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1.61</w:t>
            </w:r>
          </w:p>
        </w:tc>
      </w:tr>
      <w:tr w:rsidR="00ED0DC4" w:rsidRPr="00ED0DC4" w14:paraId="42138033" w14:textId="77777777" w:rsidTr="00B622E9">
        <w:trPr>
          <w:trHeight w:val="385"/>
          <w:jc w:val="center"/>
        </w:trPr>
        <w:tc>
          <w:tcPr>
            <w:tcW w:w="2758" w:type="dxa"/>
            <w:shd w:val="clear" w:color="auto" w:fill="auto"/>
            <w:vAlign w:val="center"/>
          </w:tcPr>
          <w:p w14:paraId="19E26F75"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EFAC1</w:t>
            </w:r>
          </w:p>
        </w:tc>
        <w:tc>
          <w:tcPr>
            <w:tcW w:w="2758" w:type="dxa"/>
            <w:shd w:val="clear" w:color="auto" w:fill="auto"/>
            <w:vAlign w:val="center"/>
          </w:tcPr>
          <w:p w14:paraId="1EDA91AE"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1.81</w:t>
            </w:r>
          </w:p>
        </w:tc>
      </w:tr>
      <w:tr w:rsidR="00ED0DC4" w:rsidRPr="00C61982" w14:paraId="13C84FE7" w14:textId="77777777" w:rsidTr="00B622E9">
        <w:trPr>
          <w:trHeight w:val="374"/>
          <w:jc w:val="center"/>
        </w:trPr>
        <w:tc>
          <w:tcPr>
            <w:tcW w:w="2758" w:type="dxa"/>
            <w:tcBorders>
              <w:bottom w:val="single" w:sz="4" w:space="0" w:color="auto"/>
            </w:tcBorders>
            <w:shd w:val="clear" w:color="auto" w:fill="auto"/>
            <w:vAlign w:val="center"/>
          </w:tcPr>
          <w:p w14:paraId="012A0304" w14:textId="77777777" w:rsidR="00ED0DC4" w:rsidRPr="00ED0DC4" w:rsidRDefault="00ED0DC4" w:rsidP="00B622E9">
            <w:pPr>
              <w:spacing w:after="0"/>
              <w:jc w:val="center"/>
              <w:rPr>
                <w:rFonts w:ascii="Times New Roman" w:hAnsi="Times New Roman"/>
                <w:color w:val="000000"/>
                <w:sz w:val="24"/>
                <w:szCs w:val="24"/>
                <w:highlight w:val="yellow"/>
                <w:lang w:val="en-GB"/>
              </w:rPr>
            </w:pPr>
            <w:r w:rsidRPr="00ED0DC4">
              <w:rPr>
                <w:rFonts w:ascii="Times New Roman" w:hAnsi="Times New Roman"/>
                <w:color w:val="000000"/>
                <w:sz w:val="24"/>
                <w:szCs w:val="24"/>
                <w:highlight w:val="yellow"/>
                <w:lang w:val="en-GB"/>
              </w:rPr>
              <w:t>EFAC2</w:t>
            </w:r>
          </w:p>
        </w:tc>
        <w:tc>
          <w:tcPr>
            <w:tcW w:w="2758" w:type="dxa"/>
            <w:tcBorders>
              <w:bottom w:val="single" w:sz="4" w:space="0" w:color="auto"/>
            </w:tcBorders>
            <w:shd w:val="clear" w:color="auto" w:fill="auto"/>
            <w:vAlign w:val="center"/>
          </w:tcPr>
          <w:p w14:paraId="43C265CD" w14:textId="77777777" w:rsidR="00ED0DC4" w:rsidRPr="00C61982" w:rsidRDefault="00ED0DC4" w:rsidP="00B622E9">
            <w:pPr>
              <w:spacing w:after="0"/>
              <w:jc w:val="center"/>
              <w:rPr>
                <w:rFonts w:ascii="Times New Roman" w:hAnsi="Times New Roman"/>
                <w:color w:val="000000"/>
                <w:sz w:val="24"/>
                <w:szCs w:val="24"/>
                <w:lang w:val="en-GB"/>
              </w:rPr>
            </w:pPr>
            <w:r w:rsidRPr="00ED0DC4">
              <w:rPr>
                <w:rFonts w:ascii="Times New Roman" w:hAnsi="Times New Roman"/>
                <w:color w:val="000000"/>
                <w:sz w:val="24"/>
                <w:szCs w:val="24"/>
                <w:highlight w:val="yellow"/>
                <w:lang w:val="en-GB"/>
              </w:rPr>
              <w:t>1.78</w:t>
            </w:r>
          </w:p>
        </w:tc>
      </w:tr>
    </w:tbl>
    <w:p w14:paraId="6B4484F2" w14:textId="77777777" w:rsidR="00ED0DC4" w:rsidRPr="00C41EB3" w:rsidRDefault="00ED0DC4" w:rsidP="00C831B9">
      <w:pPr>
        <w:spacing w:after="0"/>
        <w:rPr>
          <w:rFonts w:ascii="Times New Roman" w:hAnsi="Times New Roman"/>
          <w:color w:val="0000FF"/>
          <w:lang w:val="en-GB"/>
        </w:rPr>
      </w:pPr>
    </w:p>
    <w:p w14:paraId="6E309263" w14:textId="77D1C64D" w:rsidR="007A5E55" w:rsidRPr="00281F05" w:rsidRDefault="007A5E55" w:rsidP="00281F05">
      <w:pPr>
        <w:pStyle w:val="ListParagraph"/>
        <w:numPr>
          <w:ilvl w:val="0"/>
          <w:numId w:val="2"/>
        </w:numPr>
        <w:spacing w:after="0"/>
        <w:jc w:val="both"/>
        <w:rPr>
          <w:rFonts w:ascii="Times New Roman" w:hAnsi="Times New Roman"/>
          <w:b/>
          <w:color w:val="000000"/>
          <w:sz w:val="24"/>
          <w:szCs w:val="24"/>
          <w:lang w:val="en-GB"/>
        </w:rPr>
      </w:pPr>
      <w:r w:rsidRPr="00281F05">
        <w:rPr>
          <w:rFonts w:ascii="Times New Roman" w:hAnsi="Times New Roman"/>
          <w:b/>
          <w:color w:val="000000"/>
          <w:sz w:val="24"/>
          <w:szCs w:val="24"/>
          <w:lang w:val="en-GB"/>
        </w:rPr>
        <w:t>Raman spectroscopy</w:t>
      </w:r>
    </w:p>
    <w:p w14:paraId="0C2F63C3" w14:textId="77777777" w:rsidR="007A5E55" w:rsidRDefault="007A5E55" w:rsidP="0071403B">
      <w:pPr>
        <w:spacing w:after="0"/>
        <w:jc w:val="both"/>
        <w:rPr>
          <w:rFonts w:ascii="Times New Roman" w:hAnsi="Times New Roman"/>
          <w:b/>
          <w:color w:val="000000"/>
          <w:sz w:val="24"/>
          <w:szCs w:val="24"/>
          <w:lang w:val="en-GB"/>
        </w:rPr>
      </w:pPr>
    </w:p>
    <w:p w14:paraId="50A643B2" w14:textId="7EC1098C" w:rsidR="0003332E" w:rsidRPr="0071403B" w:rsidRDefault="00412C55" w:rsidP="0071403B">
      <w:pPr>
        <w:spacing w:after="0"/>
        <w:jc w:val="both"/>
        <w:rPr>
          <w:rFonts w:ascii="Times New Roman" w:hAnsi="Times New Roman"/>
          <w:color w:val="000000"/>
          <w:sz w:val="24"/>
          <w:szCs w:val="24"/>
          <w:lang w:val="en-GB"/>
        </w:rPr>
      </w:pPr>
      <w:r w:rsidRPr="007A5E55">
        <w:rPr>
          <w:rFonts w:ascii="Times New Roman" w:hAnsi="Times New Roman"/>
          <w:b/>
          <w:color w:val="000000"/>
          <w:sz w:val="24"/>
          <w:szCs w:val="24"/>
          <w:lang w:val="en-GB"/>
        </w:rPr>
        <w:t xml:space="preserve">Table </w:t>
      </w:r>
      <w:r w:rsidR="00281F05">
        <w:rPr>
          <w:rFonts w:ascii="Times New Roman" w:hAnsi="Times New Roman"/>
          <w:b/>
          <w:color w:val="000000"/>
          <w:sz w:val="24"/>
          <w:szCs w:val="24"/>
          <w:lang w:val="en-GB"/>
        </w:rPr>
        <w:t>S2</w:t>
      </w:r>
      <w:r w:rsidRPr="007A5E55">
        <w:rPr>
          <w:rFonts w:ascii="Times New Roman" w:hAnsi="Times New Roman"/>
          <w:b/>
          <w:color w:val="000000"/>
          <w:sz w:val="24"/>
          <w:szCs w:val="24"/>
          <w:lang w:val="en-GB"/>
        </w:rPr>
        <w:t>.</w:t>
      </w:r>
      <w:r w:rsidRPr="007A5E55">
        <w:rPr>
          <w:rFonts w:ascii="Times New Roman" w:hAnsi="Times New Roman"/>
          <w:color w:val="000000"/>
          <w:sz w:val="24"/>
          <w:szCs w:val="24"/>
          <w:lang w:val="en-GB"/>
        </w:rPr>
        <w:t xml:space="preserve"> </w:t>
      </w:r>
      <w:r w:rsidR="00C41EB3">
        <w:rPr>
          <w:rFonts w:ascii="Times New Roman" w:hAnsi="Times New Roman"/>
          <w:color w:val="000000"/>
          <w:sz w:val="24"/>
          <w:szCs w:val="24"/>
          <w:lang w:val="en-GB"/>
        </w:rPr>
        <w:t>The r</w:t>
      </w:r>
      <w:r w:rsidRPr="007A5E55">
        <w:rPr>
          <w:rFonts w:ascii="Times New Roman" w:hAnsi="Times New Roman"/>
          <w:color w:val="000000"/>
          <w:sz w:val="24"/>
          <w:szCs w:val="24"/>
          <w:lang w:val="en-GB"/>
        </w:rPr>
        <w:t>atio of Raman intensities.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72"/>
        <w:gridCol w:w="1672"/>
        <w:gridCol w:w="1674"/>
      </w:tblGrid>
      <w:tr w:rsidR="00412C55" w:rsidRPr="00C61982" w14:paraId="3923872B" w14:textId="77777777" w:rsidTr="00DA4786">
        <w:trPr>
          <w:trHeight w:val="385"/>
          <w:jc w:val="center"/>
        </w:trPr>
        <w:tc>
          <w:tcPr>
            <w:tcW w:w="1672" w:type="dxa"/>
            <w:tcBorders>
              <w:top w:val="single" w:sz="4" w:space="0" w:color="auto"/>
              <w:left w:val="nil"/>
              <w:bottom w:val="single" w:sz="12" w:space="0" w:color="auto"/>
              <w:right w:val="nil"/>
            </w:tcBorders>
            <w:shd w:val="clear" w:color="auto" w:fill="FFFFFF"/>
            <w:vAlign w:val="center"/>
          </w:tcPr>
          <w:p w14:paraId="16682E18"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Sample</w:t>
            </w:r>
          </w:p>
        </w:tc>
        <w:tc>
          <w:tcPr>
            <w:tcW w:w="1672" w:type="dxa"/>
            <w:tcBorders>
              <w:top w:val="single" w:sz="4" w:space="0" w:color="auto"/>
              <w:left w:val="nil"/>
              <w:bottom w:val="single" w:sz="12" w:space="0" w:color="auto"/>
              <w:right w:val="nil"/>
            </w:tcBorders>
            <w:shd w:val="clear" w:color="auto" w:fill="FFFFFF"/>
            <w:vAlign w:val="center"/>
          </w:tcPr>
          <w:p w14:paraId="35BCFC80"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I</w:t>
            </w:r>
            <w:r w:rsidRPr="00C61982">
              <w:rPr>
                <w:rFonts w:ascii="Times New Roman" w:hAnsi="Times New Roman"/>
                <w:sz w:val="24"/>
                <w:szCs w:val="24"/>
                <w:vertAlign w:val="subscript"/>
                <w:lang w:val="en-GB"/>
              </w:rPr>
              <w:t>D</w:t>
            </w:r>
          </w:p>
        </w:tc>
        <w:tc>
          <w:tcPr>
            <w:tcW w:w="1672" w:type="dxa"/>
            <w:tcBorders>
              <w:top w:val="single" w:sz="4" w:space="0" w:color="auto"/>
              <w:left w:val="nil"/>
              <w:bottom w:val="single" w:sz="12" w:space="0" w:color="auto"/>
              <w:right w:val="nil"/>
            </w:tcBorders>
            <w:shd w:val="clear" w:color="auto" w:fill="FFFFFF"/>
            <w:vAlign w:val="center"/>
          </w:tcPr>
          <w:p w14:paraId="2E2F93AB"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I</w:t>
            </w:r>
            <w:r w:rsidRPr="00C61982">
              <w:rPr>
                <w:rFonts w:ascii="Times New Roman" w:hAnsi="Times New Roman"/>
                <w:sz w:val="24"/>
                <w:szCs w:val="24"/>
                <w:vertAlign w:val="subscript"/>
                <w:lang w:val="en-GB"/>
              </w:rPr>
              <w:t>G</w:t>
            </w:r>
          </w:p>
        </w:tc>
        <w:tc>
          <w:tcPr>
            <w:tcW w:w="1674" w:type="dxa"/>
            <w:tcBorders>
              <w:top w:val="single" w:sz="4" w:space="0" w:color="auto"/>
              <w:left w:val="nil"/>
              <w:bottom w:val="single" w:sz="12" w:space="0" w:color="auto"/>
              <w:right w:val="nil"/>
            </w:tcBorders>
            <w:shd w:val="clear" w:color="auto" w:fill="FFFFFF"/>
            <w:vAlign w:val="center"/>
          </w:tcPr>
          <w:p w14:paraId="7240C070"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I</w:t>
            </w:r>
            <w:r w:rsidRPr="00C61982">
              <w:rPr>
                <w:rFonts w:ascii="Times New Roman" w:hAnsi="Times New Roman"/>
                <w:sz w:val="24"/>
                <w:szCs w:val="24"/>
                <w:vertAlign w:val="subscript"/>
                <w:lang w:val="en-GB"/>
              </w:rPr>
              <w:t>D</w:t>
            </w:r>
            <w:r w:rsidRPr="00C61982">
              <w:rPr>
                <w:rFonts w:ascii="Times New Roman" w:hAnsi="Times New Roman"/>
                <w:sz w:val="24"/>
                <w:szCs w:val="24"/>
                <w:lang w:val="en-GB"/>
              </w:rPr>
              <w:t>/I</w:t>
            </w:r>
            <w:r w:rsidRPr="00C61982">
              <w:rPr>
                <w:rFonts w:ascii="Times New Roman" w:hAnsi="Times New Roman"/>
                <w:sz w:val="24"/>
                <w:szCs w:val="24"/>
                <w:vertAlign w:val="subscript"/>
                <w:lang w:val="en-GB"/>
              </w:rPr>
              <w:t>G</w:t>
            </w:r>
            <w:r w:rsidRPr="00C61982">
              <w:rPr>
                <w:rFonts w:ascii="Times New Roman" w:hAnsi="Times New Roman"/>
                <w:sz w:val="24"/>
                <w:szCs w:val="24"/>
                <w:lang w:val="en-GB"/>
              </w:rPr>
              <w:t xml:space="preserve"> ratio</w:t>
            </w:r>
          </w:p>
        </w:tc>
      </w:tr>
      <w:tr w:rsidR="00412C55" w:rsidRPr="00C61982" w14:paraId="49911D3C" w14:textId="77777777" w:rsidTr="00DA4786">
        <w:trPr>
          <w:trHeight w:val="374"/>
          <w:jc w:val="center"/>
        </w:trPr>
        <w:tc>
          <w:tcPr>
            <w:tcW w:w="1672" w:type="dxa"/>
            <w:tcBorders>
              <w:top w:val="single" w:sz="12" w:space="0" w:color="auto"/>
              <w:left w:val="nil"/>
              <w:bottom w:val="nil"/>
              <w:right w:val="nil"/>
            </w:tcBorders>
            <w:shd w:val="clear" w:color="auto" w:fill="FFFFFF"/>
            <w:vAlign w:val="center"/>
          </w:tcPr>
          <w:p w14:paraId="2305477A"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EF700</w:t>
            </w:r>
          </w:p>
        </w:tc>
        <w:tc>
          <w:tcPr>
            <w:tcW w:w="1672" w:type="dxa"/>
            <w:tcBorders>
              <w:top w:val="single" w:sz="12" w:space="0" w:color="auto"/>
              <w:left w:val="nil"/>
              <w:bottom w:val="nil"/>
              <w:right w:val="nil"/>
            </w:tcBorders>
            <w:shd w:val="clear" w:color="auto" w:fill="FFFFFF"/>
            <w:vAlign w:val="center"/>
          </w:tcPr>
          <w:p w14:paraId="1C93D868"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0.899</w:t>
            </w:r>
          </w:p>
        </w:tc>
        <w:tc>
          <w:tcPr>
            <w:tcW w:w="1672" w:type="dxa"/>
            <w:tcBorders>
              <w:top w:val="single" w:sz="12" w:space="0" w:color="auto"/>
              <w:left w:val="nil"/>
              <w:bottom w:val="nil"/>
              <w:right w:val="nil"/>
            </w:tcBorders>
            <w:shd w:val="clear" w:color="auto" w:fill="FFFFFF"/>
            <w:vAlign w:val="center"/>
          </w:tcPr>
          <w:p w14:paraId="6EE1D363"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1.0</w:t>
            </w:r>
          </w:p>
        </w:tc>
        <w:tc>
          <w:tcPr>
            <w:tcW w:w="1674" w:type="dxa"/>
            <w:tcBorders>
              <w:top w:val="single" w:sz="12" w:space="0" w:color="auto"/>
              <w:left w:val="nil"/>
              <w:bottom w:val="nil"/>
              <w:right w:val="nil"/>
            </w:tcBorders>
            <w:shd w:val="clear" w:color="auto" w:fill="FFFFFF"/>
            <w:vAlign w:val="center"/>
          </w:tcPr>
          <w:p w14:paraId="68777359"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0.899</w:t>
            </w:r>
          </w:p>
        </w:tc>
      </w:tr>
      <w:tr w:rsidR="00412C55" w:rsidRPr="00C61982" w14:paraId="44E9DD36" w14:textId="77777777" w:rsidTr="00DA4786">
        <w:trPr>
          <w:trHeight w:val="374"/>
          <w:jc w:val="center"/>
        </w:trPr>
        <w:tc>
          <w:tcPr>
            <w:tcW w:w="1672" w:type="dxa"/>
            <w:tcBorders>
              <w:top w:val="nil"/>
              <w:left w:val="nil"/>
              <w:bottom w:val="nil"/>
              <w:right w:val="nil"/>
            </w:tcBorders>
            <w:shd w:val="clear" w:color="auto" w:fill="FFFFFF"/>
            <w:vAlign w:val="center"/>
          </w:tcPr>
          <w:p w14:paraId="5F1B62F5"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EF900</w:t>
            </w:r>
          </w:p>
        </w:tc>
        <w:tc>
          <w:tcPr>
            <w:tcW w:w="1672" w:type="dxa"/>
            <w:tcBorders>
              <w:top w:val="nil"/>
              <w:left w:val="nil"/>
              <w:bottom w:val="nil"/>
              <w:right w:val="nil"/>
            </w:tcBorders>
            <w:shd w:val="clear" w:color="auto" w:fill="FFFFFF"/>
            <w:vAlign w:val="center"/>
          </w:tcPr>
          <w:p w14:paraId="38B03AE1"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0.929</w:t>
            </w:r>
          </w:p>
        </w:tc>
        <w:tc>
          <w:tcPr>
            <w:tcW w:w="1672" w:type="dxa"/>
            <w:tcBorders>
              <w:top w:val="nil"/>
              <w:left w:val="nil"/>
              <w:bottom w:val="nil"/>
              <w:right w:val="nil"/>
            </w:tcBorders>
            <w:shd w:val="clear" w:color="auto" w:fill="FFFFFF"/>
          </w:tcPr>
          <w:p w14:paraId="5BCF9677"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1.0</w:t>
            </w:r>
          </w:p>
        </w:tc>
        <w:tc>
          <w:tcPr>
            <w:tcW w:w="1674" w:type="dxa"/>
            <w:tcBorders>
              <w:top w:val="nil"/>
              <w:left w:val="nil"/>
              <w:bottom w:val="nil"/>
              <w:right w:val="nil"/>
            </w:tcBorders>
            <w:shd w:val="clear" w:color="auto" w:fill="FFFFFF"/>
            <w:vAlign w:val="center"/>
          </w:tcPr>
          <w:p w14:paraId="45CC2D12"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0.929</w:t>
            </w:r>
          </w:p>
        </w:tc>
      </w:tr>
      <w:tr w:rsidR="00412C55" w:rsidRPr="00C61982" w14:paraId="23BC0F01" w14:textId="77777777" w:rsidTr="00DA4786">
        <w:trPr>
          <w:trHeight w:val="385"/>
          <w:jc w:val="center"/>
        </w:trPr>
        <w:tc>
          <w:tcPr>
            <w:tcW w:w="1672" w:type="dxa"/>
            <w:tcBorders>
              <w:top w:val="nil"/>
              <w:left w:val="nil"/>
              <w:bottom w:val="nil"/>
              <w:right w:val="nil"/>
            </w:tcBorders>
            <w:shd w:val="clear" w:color="auto" w:fill="FFFFFF"/>
            <w:vAlign w:val="center"/>
          </w:tcPr>
          <w:p w14:paraId="5AD83A01"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EFAC</w:t>
            </w:r>
          </w:p>
        </w:tc>
        <w:tc>
          <w:tcPr>
            <w:tcW w:w="1672" w:type="dxa"/>
            <w:tcBorders>
              <w:top w:val="nil"/>
              <w:left w:val="nil"/>
              <w:bottom w:val="nil"/>
              <w:right w:val="nil"/>
            </w:tcBorders>
            <w:shd w:val="clear" w:color="auto" w:fill="FFFFFF"/>
            <w:vAlign w:val="center"/>
          </w:tcPr>
          <w:p w14:paraId="34362CF4"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0.998</w:t>
            </w:r>
          </w:p>
        </w:tc>
        <w:tc>
          <w:tcPr>
            <w:tcW w:w="1672" w:type="dxa"/>
            <w:tcBorders>
              <w:top w:val="nil"/>
              <w:left w:val="nil"/>
              <w:bottom w:val="nil"/>
              <w:right w:val="nil"/>
            </w:tcBorders>
            <w:shd w:val="clear" w:color="auto" w:fill="FFFFFF"/>
          </w:tcPr>
          <w:p w14:paraId="1D675865"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0.965</w:t>
            </w:r>
          </w:p>
        </w:tc>
        <w:tc>
          <w:tcPr>
            <w:tcW w:w="1674" w:type="dxa"/>
            <w:tcBorders>
              <w:top w:val="nil"/>
              <w:left w:val="nil"/>
              <w:bottom w:val="nil"/>
              <w:right w:val="nil"/>
            </w:tcBorders>
            <w:shd w:val="clear" w:color="auto" w:fill="FFFFFF"/>
            <w:vAlign w:val="center"/>
          </w:tcPr>
          <w:p w14:paraId="20B6E6AC"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1.034</w:t>
            </w:r>
          </w:p>
        </w:tc>
      </w:tr>
      <w:tr w:rsidR="00412C55" w:rsidRPr="00C61982" w14:paraId="7EC33908" w14:textId="77777777" w:rsidTr="00DA4786">
        <w:trPr>
          <w:trHeight w:val="374"/>
          <w:jc w:val="center"/>
        </w:trPr>
        <w:tc>
          <w:tcPr>
            <w:tcW w:w="1672" w:type="dxa"/>
            <w:tcBorders>
              <w:top w:val="nil"/>
              <w:left w:val="nil"/>
              <w:bottom w:val="single" w:sz="4" w:space="0" w:color="auto"/>
              <w:right w:val="nil"/>
            </w:tcBorders>
            <w:shd w:val="clear" w:color="auto" w:fill="FFFFFF"/>
            <w:vAlign w:val="center"/>
          </w:tcPr>
          <w:p w14:paraId="00986DE3"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EF1500</w:t>
            </w:r>
          </w:p>
        </w:tc>
        <w:tc>
          <w:tcPr>
            <w:tcW w:w="1672" w:type="dxa"/>
            <w:tcBorders>
              <w:top w:val="nil"/>
              <w:left w:val="nil"/>
              <w:bottom w:val="single" w:sz="4" w:space="0" w:color="auto"/>
              <w:right w:val="nil"/>
            </w:tcBorders>
            <w:shd w:val="clear" w:color="auto" w:fill="FFFFFF"/>
            <w:vAlign w:val="center"/>
          </w:tcPr>
          <w:p w14:paraId="72BC4CBE"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0.998</w:t>
            </w:r>
          </w:p>
        </w:tc>
        <w:tc>
          <w:tcPr>
            <w:tcW w:w="1672" w:type="dxa"/>
            <w:tcBorders>
              <w:top w:val="nil"/>
              <w:left w:val="nil"/>
              <w:bottom w:val="single" w:sz="4" w:space="0" w:color="auto"/>
              <w:right w:val="nil"/>
            </w:tcBorders>
            <w:shd w:val="clear" w:color="auto" w:fill="FFFFFF"/>
            <w:vAlign w:val="center"/>
          </w:tcPr>
          <w:p w14:paraId="3CD90677"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0.947</w:t>
            </w:r>
          </w:p>
        </w:tc>
        <w:tc>
          <w:tcPr>
            <w:tcW w:w="1674" w:type="dxa"/>
            <w:tcBorders>
              <w:top w:val="nil"/>
              <w:left w:val="nil"/>
              <w:bottom w:val="single" w:sz="4" w:space="0" w:color="auto"/>
              <w:right w:val="nil"/>
            </w:tcBorders>
            <w:shd w:val="clear" w:color="auto" w:fill="FFFFFF"/>
            <w:vAlign w:val="center"/>
          </w:tcPr>
          <w:p w14:paraId="6CD9E8C2" w14:textId="77777777" w:rsidR="00412C55" w:rsidRPr="00C61982" w:rsidRDefault="00412C55" w:rsidP="00C41EB3">
            <w:pPr>
              <w:spacing w:after="0"/>
              <w:jc w:val="center"/>
              <w:rPr>
                <w:rFonts w:ascii="Times New Roman" w:hAnsi="Times New Roman"/>
                <w:sz w:val="24"/>
                <w:szCs w:val="24"/>
                <w:lang w:val="en-GB"/>
              </w:rPr>
            </w:pPr>
            <w:r w:rsidRPr="00C61982">
              <w:rPr>
                <w:rFonts w:ascii="Times New Roman" w:hAnsi="Times New Roman"/>
                <w:sz w:val="24"/>
                <w:szCs w:val="24"/>
                <w:lang w:val="en-GB"/>
              </w:rPr>
              <w:t>1.054</w:t>
            </w:r>
          </w:p>
        </w:tc>
      </w:tr>
    </w:tbl>
    <w:p w14:paraId="226FF11A" w14:textId="77777777" w:rsidR="00412C55" w:rsidRPr="00CB1CF9" w:rsidRDefault="00412C55" w:rsidP="0071403B">
      <w:pPr>
        <w:spacing w:after="0"/>
        <w:jc w:val="both"/>
        <w:rPr>
          <w:rFonts w:ascii="Times New Roman" w:hAnsi="Times New Roman"/>
          <w:color w:val="FF0000"/>
          <w:sz w:val="24"/>
          <w:szCs w:val="24"/>
          <w:lang w:val="en-GB"/>
        </w:rPr>
      </w:pPr>
    </w:p>
    <w:p w14:paraId="4608598A" w14:textId="77777777" w:rsidR="007A5E55" w:rsidRPr="007A5E55" w:rsidRDefault="007A5E55" w:rsidP="00281F05">
      <w:pPr>
        <w:pStyle w:val="HTMLPreformatted"/>
        <w:numPr>
          <w:ilvl w:val="0"/>
          <w:numId w:val="2"/>
        </w:numPr>
        <w:shd w:val="clear" w:color="auto" w:fill="FFFFFF"/>
        <w:spacing w:after="0" w:line="276" w:lineRule="auto"/>
        <w:jc w:val="both"/>
        <w:rPr>
          <w:rFonts w:ascii="Times New Roman" w:hAnsi="Times New Roman"/>
          <w:b/>
          <w:sz w:val="24"/>
          <w:szCs w:val="24"/>
          <w:lang w:val="en-GB"/>
        </w:rPr>
      </w:pPr>
      <w:r w:rsidRPr="007A5E55">
        <w:rPr>
          <w:rFonts w:ascii="Times New Roman" w:hAnsi="Times New Roman"/>
          <w:b/>
          <w:sz w:val="24"/>
          <w:szCs w:val="24"/>
          <w:lang w:val="en-GB"/>
        </w:rPr>
        <w:t>Wettability</w:t>
      </w:r>
    </w:p>
    <w:p w14:paraId="7D28D413" w14:textId="77777777" w:rsidR="007A5E55" w:rsidRDefault="007A5E55" w:rsidP="0071403B">
      <w:pPr>
        <w:pStyle w:val="HTMLPreformatted"/>
        <w:shd w:val="clear" w:color="auto" w:fill="FFFFFF"/>
        <w:spacing w:after="0" w:line="276" w:lineRule="auto"/>
        <w:jc w:val="both"/>
        <w:rPr>
          <w:rFonts w:ascii="Times New Roman" w:hAnsi="Times New Roman"/>
          <w:b/>
          <w:sz w:val="24"/>
          <w:szCs w:val="24"/>
          <w:lang w:val="en-GB"/>
        </w:rPr>
      </w:pPr>
    </w:p>
    <w:p w14:paraId="65A0ACB0" w14:textId="7DB3AF00" w:rsidR="0003332E" w:rsidRPr="00C61982" w:rsidRDefault="00412C55" w:rsidP="0071403B">
      <w:pPr>
        <w:pStyle w:val="HTMLPreformatted"/>
        <w:shd w:val="clear" w:color="auto" w:fill="FFFFFF"/>
        <w:spacing w:after="0" w:line="276" w:lineRule="auto"/>
        <w:jc w:val="both"/>
        <w:rPr>
          <w:rFonts w:ascii="Times New Roman" w:hAnsi="Times New Roman"/>
          <w:sz w:val="24"/>
          <w:szCs w:val="24"/>
          <w:lang w:val="en-GB"/>
        </w:rPr>
      </w:pPr>
      <w:r w:rsidRPr="00C61982">
        <w:rPr>
          <w:rFonts w:ascii="Times New Roman" w:hAnsi="Times New Roman"/>
          <w:b/>
          <w:sz w:val="24"/>
          <w:szCs w:val="24"/>
          <w:lang w:val="en-GB"/>
        </w:rPr>
        <w:lastRenderedPageBreak/>
        <w:t xml:space="preserve">Table </w:t>
      </w:r>
      <w:r w:rsidR="00281F05">
        <w:rPr>
          <w:rFonts w:ascii="Times New Roman" w:hAnsi="Times New Roman"/>
          <w:b/>
          <w:sz w:val="24"/>
          <w:szCs w:val="24"/>
          <w:lang w:val="en-GB"/>
        </w:rPr>
        <w:t>S3</w:t>
      </w:r>
      <w:r>
        <w:rPr>
          <w:rFonts w:ascii="Times New Roman" w:hAnsi="Times New Roman"/>
          <w:b/>
          <w:sz w:val="24"/>
          <w:szCs w:val="24"/>
          <w:lang w:val="en-GB"/>
        </w:rPr>
        <w:t>.</w:t>
      </w:r>
      <w:r w:rsidRPr="00C61982">
        <w:rPr>
          <w:rFonts w:ascii="Times New Roman" w:hAnsi="Times New Roman"/>
          <w:b/>
          <w:sz w:val="24"/>
          <w:szCs w:val="24"/>
          <w:lang w:val="en-GB"/>
        </w:rPr>
        <w:t xml:space="preserve"> </w:t>
      </w:r>
      <w:r>
        <w:rPr>
          <w:rFonts w:ascii="Times New Roman" w:hAnsi="Times New Roman"/>
          <w:sz w:val="24"/>
          <w:szCs w:val="24"/>
          <w:lang w:val="en-GB"/>
        </w:rPr>
        <w:t>C</w:t>
      </w:r>
      <w:r w:rsidRPr="00293DEE">
        <w:rPr>
          <w:rFonts w:ascii="Times New Roman" w:hAnsi="Times New Roman"/>
          <w:sz w:val="24"/>
          <w:szCs w:val="24"/>
          <w:lang w:val="en-GB"/>
        </w:rPr>
        <w:t>ontact angle</w:t>
      </w:r>
      <w:r>
        <w:rPr>
          <w:rFonts w:ascii="Times New Roman" w:hAnsi="Times New Roman"/>
          <w:sz w:val="24"/>
          <w:szCs w:val="24"/>
          <w:lang w:val="en-GB"/>
        </w:rPr>
        <w:t>s</w:t>
      </w:r>
      <w:r w:rsidRPr="00293DEE">
        <w:rPr>
          <w:rFonts w:ascii="Times New Roman" w:hAnsi="Times New Roman"/>
          <w:sz w:val="24"/>
          <w:szCs w:val="24"/>
          <w:lang w:val="en-GB"/>
        </w:rPr>
        <w:t xml:space="preserve"> of carbonized and activated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497"/>
        <w:gridCol w:w="2837"/>
      </w:tblGrid>
      <w:tr w:rsidR="00412C55" w:rsidRPr="0003332E" w14:paraId="6A2CAAA1" w14:textId="77777777" w:rsidTr="00DA4786">
        <w:trPr>
          <w:trHeight w:val="276"/>
          <w:jc w:val="center"/>
        </w:trPr>
        <w:tc>
          <w:tcPr>
            <w:tcW w:w="1569" w:type="dxa"/>
            <w:tcBorders>
              <w:top w:val="single" w:sz="4" w:space="0" w:color="auto"/>
              <w:left w:val="nil"/>
              <w:bottom w:val="single" w:sz="12" w:space="0" w:color="auto"/>
              <w:right w:val="nil"/>
            </w:tcBorders>
            <w:shd w:val="clear" w:color="auto" w:fill="auto"/>
            <w:vAlign w:val="center"/>
          </w:tcPr>
          <w:p w14:paraId="67F6F99B" w14:textId="77777777" w:rsidR="00412C55" w:rsidRPr="0003332E" w:rsidRDefault="00412C55" w:rsidP="00C41EB3">
            <w:pPr>
              <w:pStyle w:val="HTMLPreformatted"/>
              <w:spacing w:after="0" w:line="276" w:lineRule="auto"/>
              <w:jc w:val="center"/>
              <w:rPr>
                <w:rFonts w:ascii="Times New Roman" w:hAnsi="Times New Roman"/>
                <w:bCs/>
                <w:color w:val="212121"/>
                <w:sz w:val="24"/>
                <w:szCs w:val="24"/>
                <w:shd w:val="clear" w:color="auto" w:fill="FFFFFF"/>
                <w:lang w:val="en-GB"/>
              </w:rPr>
            </w:pPr>
            <w:r w:rsidRPr="0003332E">
              <w:rPr>
                <w:rFonts w:ascii="Times New Roman" w:hAnsi="Times New Roman"/>
                <w:bCs/>
                <w:color w:val="212121"/>
                <w:sz w:val="24"/>
                <w:szCs w:val="24"/>
                <w:shd w:val="clear" w:color="auto" w:fill="FFFFFF"/>
                <w:lang w:val="en-GB"/>
              </w:rPr>
              <w:t>Samples</w:t>
            </w:r>
          </w:p>
        </w:tc>
        <w:tc>
          <w:tcPr>
            <w:tcW w:w="2497" w:type="dxa"/>
            <w:tcBorders>
              <w:top w:val="single" w:sz="4" w:space="0" w:color="auto"/>
              <w:left w:val="nil"/>
              <w:bottom w:val="single" w:sz="12" w:space="0" w:color="auto"/>
              <w:right w:val="nil"/>
            </w:tcBorders>
            <w:shd w:val="clear" w:color="auto" w:fill="auto"/>
            <w:vAlign w:val="center"/>
          </w:tcPr>
          <w:p w14:paraId="08D2A660" w14:textId="77777777" w:rsidR="00412C55" w:rsidRPr="0003332E" w:rsidRDefault="00412C55" w:rsidP="00C41EB3">
            <w:pPr>
              <w:pStyle w:val="HTMLPreformatted"/>
              <w:spacing w:after="0" w:line="276" w:lineRule="auto"/>
              <w:jc w:val="center"/>
              <w:rPr>
                <w:rFonts w:ascii="Times New Roman" w:hAnsi="Times New Roman"/>
                <w:bCs/>
                <w:sz w:val="24"/>
                <w:szCs w:val="24"/>
                <w:lang w:val="en-GB"/>
              </w:rPr>
            </w:pPr>
            <w:r w:rsidRPr="0003332E">
              <w:rPr>
                <w:rFonts w:ascii="Times New Roman" w:hAnsi="Times New Roman"/>
                <w:bCs/>
                <w:sz w:val="24"/>
                <w:szCs w:val="24"/>
                <w:lang w:val="en-GB"/>
              </w:rPr>
              <w:t xml:space="preserve">Edge angle </w:t>
            </w:r>
          </w:p>
          <w:p w14:paraId="1445560B" w14:textId="77777777" w:rsidR="00412C55" w:rsidRPr="0003332E" w:rsidRDefault="00412C55" w:rsidP="00C41EB3">
            <w:pPr>
              <w:pStyle w:val="HTMLPreformatted"/>
              <w:spacing w:after="0" w:line="276" w:lineRule="auto"/>
              <w:jc w:val="center"/>
              <w:rPr>
                <w:rFonts w:ascii="Times New Roman" w:hAnsi="Times New Roman"/>
                <w:bCs/>
                <w:sz w:val="24"/>
                <w:szCs w:val="24"/>
                <w:lang w:val="en-GB"/>
              </w:rPr>
            </w:pPr>
            <w:r w:rsidRPr="0003332E">
              <w:rPr>
                <w:rFonts w:ascii="Times New Roman" w:hAnsi="Times New Roman"/>
                <w:bCs/>
                <w:sz w:val="24"/>
                <w:szCs w:val="24"/>
                <w:lang w:val="en-GB"/>
              </w:rPr>
              <w:t>(Circle), (°)</w:t>
            </w:r>
          </w:p>
        </w:tc>
        <w:tc>
          <w:tcPr>
            <w:tcW w:w="2837" w:type="dxa"/>
            <w:tcBorders>
              <w:top w:val="single" w:sz="4" w:space="0" w:color="auto"/>
              <w:left w:val="nil"/>
              <w:bottom w:val="single" w:sz="12" w:space="0" w:color="auto"/>
              <w:right w:val="nil"/>
            </w:tcBorders>
            <w:shd w:val="clear" w:color="auto" w:fill="auto"/>
            <w:vAlign w:val="center"/>
          </w:tcPr>
          <w:p w14:paraId="43029B12" w14:textId="77777777" w:rsidR="00412C55" w:rsidRPr="0003332E" w:rsidRDefault="00412C55" w:rsidP="00C41EB3">
            <w:pPr>
              <w:pStyle w:val="HTMLPreformatted"/>
              <w:spacing w:after="0" w:line="276" w:lineRule="auto"/>
              <w:jc w:val="center"/>
              <w:rPr>
                <w:rFonts w:ascii="Times New Roman" w:hAnsi="Times New Roman"/>
                <w:bCs/>
                <w:sz w:val="24"/>
                <w:szCs w:val="24"/>
                <w:lang w:val="en-GB"/>
              </w:rPr>
            </w:pPr>
            <w:r w:rsidRPr="0003332E">
              <w:rPr>
                <w:rFonts w:ascii="Times New Roman" w:hAnsi="Times New Roman"/>
                <w:bCs/>
                <w:sz w:val="24"/>
                <w:szCs w:val="24"/>
                <w:lang w:val="en-GB"/>
              </w:rPr>
              <w:t xml:space="preserve">Edge angle </w:t>
            </w:r>
          </w:p>
          <w:p w14:paraId="5603C86C" w14:textId="77777777" w:rsidR="00412C55" w:rsidRPr="0003332E" w:rsidRDefault="00412C55" w:rsidP="00C41EB3">
            <w:pPr>
              <w:pStyle w:val="HTMLPreformatted"/>
              <w:spacing w:after="0" w:line="276" w:lineRule="auto"/>
              <w:jc w:val="center"/>
              <w:rPr>
                <w:rFonts w:ascii="Times New Roman" w:hAnsi="Times New Roman"/>
                <w:bCs/>
                <w:color w:val="212121"/>
                <w:sz w:val="24"/>
                <w:szCs w:val="24"/>
                <w:shd w:val="clear" w:color="auto" w:fill="FFFFFF"/>
                <w:lang w:val="en-GB"/>
              </w:rPr>
            </w:pPr>
            <w:r w:rsidRPr="0003332E">
              <w:rPr>
                <w:rFonts w:ascii="Times New Roman" w:hAnsi="Times New Roman"/>
                <w:bCs/>
                <w:sz w:val="24"/>
                <w:szCs w:val="24"/>
                <w:lang w:val="en-GB"/>
              </w:rPr>
              <w:t>(Young-Laplace), (°)</w:t>
            </w:r>
          </w:p>
        </w:tc>
      </w:tr>
      <w:tr w:rsidR="00412C55" w:rsidRPr="00C61982" w14:paraId="03E72A7B" w14:textId="77777777" w:rsidTr="00DA4786">
        <w:trPr>
          <w:trHeight w:val="285"/>
          <w:jc w:val="center"/>
        </w:trPr>
        <w:tc>
          <w:tcPr>
            <w:tcW w:w="1569" w:type="dxa"/>
            <w:tcBorders>
              <w:top w:val="single" w:sz="12" w:space="0" w:color="auto"/>
              <w:left w:val="nil"/>
              <w:bottom w:val="nil"/>
              <w:right w:val="nil"/>
            </w:tcBorders>
            <w:shd w:val="clear" w:color="auto" w:fill="auto"/>
            <w:vAlign w:val="center"/>
          </w:tcPr>
          <w:p w14:paraId="4E9AC2B2"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EF700</w:t>
            </w:r>
          </w:p>
        </w:tc>
        <w:tc>
          <w:tcPr>
            <w:tcW w:w="2497" w:type="dxa"/>
            <w:tcBorders>
              <w:top w:val="single" w:sz="12" w:space="0" w:color="auto"/>
              <w:left w:val="nil"/>
              <w:bottom w:val="nil"/>
              <w:right w:val="nil"/>
            </w:tcBorders>
            <w:shd w:val="clear" w:color="auto" w:fill="auto"/>
            <w:vAlign w:val="center"/>
          </w:tcPr>
          <w:p w14:paraId="222C0932"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93</w:t>
            </w:r>
          </w:p>
        </w:tc>
        <w:tc>
          <w:tcPr>
            <w:tcW w:w="2837" w:type="dxa"/>
            <w:tcBorders>
              <w:top w:val="single" w:sz="12" w:space="0" w:color="auto"/>
              <w:left w:val="nil"/>
              <w:bottom w:val="nil"/>
              <w:right w:val="nil"/>
            </w:tcBorders>
            <w:shd w:val="clear" w:color="auto" w:fill="auto"/>
            <w:vAlign w:val="center"/>
          </w:tcPr>
          <w:p w14:paraId="0E699789"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88</w:t>
            </w:r>
          </w:p>
        </w:tc>
      </w:tr>
      <w:tr w:rsidR="00412C55" w:rsidRPr="00C61982" w14:paraId="16F3F6C3" w14:textId="77777777" w:rsidTr="00DA4786">
        <w:trPr>
          <w:trHeight w:val="276"/>
          <w:jc w:val="center"/>
        </w:trPr>
        <w:tc>
          <w:tcPr>
            <w:tcW w:w="1569" w:type="dxa"/>
            <w:tcBorders>
              <w:top w:val="nil"/>
              <w:left w:val="nil"/>
              <w:bottom w:val="nil"/>
              <w:right w:val="nil"/>
            </w:tcBorders>
            <w:shd w:val="clear" w:color="auto" w:fill="auto"/>
            <w:vAlign w:val="center"/>
          </w:tcPr>
          <w:p w14:paraId="56555DA4"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EF900</w:t>
            </w:r>
          </w:p>
        </w:tc>
        <w:tc>
          <w:tcPr>
            <w:tcW w:w="2497" w:type="dxa"/>
            <w:tcBorders>
              <w:top w:val="nil"/>
              <w:left w:val="nil"/>
              <w:bottom w:val="nil"/>
              <w:right w:val="nil"/>
            </w:tcBorders>
            <w:shd w:val="clear" w:color="auto" w:fill="auto"/>
            <w:vAlign w:val="center"/>
          </w:tcPr>
          <w:p w14:paraId="23F635D2"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65</w:t>
            </w:r>
          </w:p>
        </w:tc>
        <w:tc>
          <w:tcPr>
            <w:tcW w:w="2837" w:type="dxa"/>
            <w:tcBorders>
              <w:top w:val="nil"/>
              <w:left w:val="nil"/>
              <w:bottom w:val="nil"/>
              <w:right w:val="nil"/>
            </w:tcBorders>
            <w:shd w:val="clear" w:color="auto" w:fill="auto"/>
            <w:vAlign w:val="center"/>
          </w:tcPr>
          <w:p w14:paraId="377B7994"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56</w:t>
            </w:r>
          </w:p>
        </w:tc>
      </w:tr>
      <w:tr w:rsidR="00412C55" w:rsidRPr="00C61982" w14:paraId="6C064775" w14:textId="77777777" w:rsidTr="00DA4786">
        <w:trPr>
          <w:trHeight w:val="276"/>
          <w:jc w:val="center"/>
        </w:trPr>
        <w:tc>
          <w:tcPr>
            <w:tcW w:w="1569" w:type="dxa"/>
            <w:tcBorders>
              <w:top w:val="nil"/>
              <w:left w:val="nil"/>
              <w:bottom w:val="nil"/>
              <w:right w:val="nil"/>
            </w:tcBorders>
            <w:shd w:val="clear" w:color="auto" w:fill="auto"/>
            <w:vAlign w:val="center"/>
          </w:tcPr>
          <w:p w14:paraId="284E6212"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EFAC1</w:t>
            </w:r>
          </w:p>
        </w:tc>
        <w:tc>
          <w:tcPr>
            <w:tcW w:w="2497" w:type="dxa"/>
            <w:tcBorders>
              <w:top w:val="nil"/>
              <w:left w:val="nil"/>
              <w:bottom w:val="nil"/>
              <w:right w:val="nil"/>
            </w:tcBorders>
            <w:shd w:val="clear" w:color="auto" w:fill="auto"/>
            <w:vAlign w:val="center"/>
          </w:tcPr>
          <w:p w14:paraId="62150E19"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41</w:t>
            </w:r>
          </w:p>
        </w:tc>
        <w:tc>
          <w:tcPr>
            <w:tcW w:w="2837" w:type="dxa"/>
            <w:tcBorders>
              <w:top w:val="nil"/>
              <w:left w:val="nil"/>
              <w:bottom w:val="nil"/>
              <w:right w:val="nil"/>
            </w:tcBorders>
            <w:shd w:val="clear" w:color="auto" w:fill="auto"/>
            <w:vAlign w:val="center"/>
          </w:tcPr>
          <w:p w14:paraId="5CCAD2CF"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33</w:t>
            </w:r>
          </w:p>
        </w:tc>
      </w:tr>
      <w:tr w:rsidR="00412C55" w:rsidRPr="00C61982" w14:paraId="653465AC" w14:textId="77777777" w:rsidTr="00DA4786">
        <w:trPr>
          <w:trHeight w:val="276"/>
          <w:jc w:val="center"/>
        </w:trPr>
        <w:tc>
          <w:tcPr>
            <w:tcW w:w="1569" w:type="dxa"/>
            <w:tcBorders>
              <w:top w:val="nil"/>
              <w:left w:val="nil"/>
              <w:bottom w:val="single" w:sz="4" w:space="0" w:color="auto"/>
              <w:right w:val="nil"/>
            </w:tcBorders>
            <w:shd w:val="clear" w:color="auto" w:fill="auto"/>
            <w:vAlign w:val="center"/>
          </w:tcPr>
          <w:p w14:paraId="47F041CC"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EFAC2</w:t>
            </w:r>
          </w:p>
        </w:tc>
        <w:tc>
          <w:tcPr>
            <w:tcW w:w="2497" w:type="dxa"/>
            <w:tcBorders>
              <w:top w:val="nil"/>
              <w:left w:val="nil"/>
              <w:bottom w:val="single" w:sz="4" w:space="0" w:color="auto"/>
              <w:right w:val="nil"/>
            </w:tcBorders>
            <w:shd w:val="clear" w:color="auto" w:fill="auto"/>
            <w:vAlign w:val="center"/>
          </w:tcPr>
          <w:p w14:paraId="67191755"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0</w:t>
            </w:r>
          </w:p>
        </w:tc>
        <w:tc>
          <w:tcPr>
            <w:tcW w:w="2837" w:type="dxa"/>
            <w:tcBorders>
              <w:top w:val="nil"/>
              <w:left w:val="nil"/>
              <w:bottom w:val="single" w:sz="4" w:space="0" w:color="auto"/>
              <w:right w:val="nil"/>
            </w:tcBorders>
            <w:shd w:val="clear" w:color="auto" w:fill="auto"/>
            <w:vAlign w:val="center"/>
          </w:tcPr>
          <w:p w14:paraId="48A10B1E" w14:textId="77777777" w:rsidR="00412C55" w:rsidRPr="00C61982" w:rsidRDefault="00412C55" w:rsidP="00C41EB3">
            <w:pPr>
              <w:pStyle w:val="HTMLPreformatted"/>
              <w:spacing w:after="0" w:line="276" w:lineRule="auto"/>
              <w:jc w:val="center"/>
              <w:rPr>
                <w:rFonts w:ascii="Times New Roman" w:hAnsi="Times New Roman"/>
                <w:color w:val="212121"/>
                <w:sz w:val="24"/>
                <w:szCs w:val="24"/>
                <w:shd w:val="clear" w:color="auto" w:fill="FFFFFF"/>
                <w:lang w:val="en-GB"/>
              </w:rPr>
            </w:pPr>
            <w:r w:rsidRPr="00C61982">
              <w:rPr>
                <w:rFonts w:ascii="Times New Roman" w:hAnsi="Times New Roman"/>
                <w:color w:val="212121"/>
                <w:sz w:val="24"/>
                <w:szCs w:val="24"/>
                <w:shd w:val="clear" w:color="auto" w:fill="FFFFFF"/>
                <w:lang w:val="en-GB"/>
              </w:rPr>
              <w:t>0</w:t>
            </w:r>
          </w:p>
        </w:tc>
      </w:tr>
    </w:tbl>
    <w:p w14:paraId="016DE7E6" w14:textId="194B3039" w:rsidR="00412C55" w:rsidRDefault="00412C55" w:rsidP="0071403B">
      <w:pPr>
        <w:spacing w:after="0"/>
        <w:rPr>
          <w:rFonts w:ascii="Times New Roman" w:hAnsi="Times New Roman"/>
          <w:sz w:val="24"/>
          <w:szCs w:val="24"/>
          <w:lang w:val="en-GB"/>
        </w:rPr>
      </w:pPr>
    </w:p>
    <w:p w14:paraId="781982AA" w14:textId="734B1B40" w:rsidR="007A5E55" w:rsidRDefault="007A5E55" w:rsidP="00281F05">
      <w:pPr>
        <w:pStyle w:val="ListParagraph"/>
        <w:numPr>
          <w:ilvl w:val="0"/>
          <w:numId w:val="2"/>
        </w:numPr>
        <w:spacing w:after="0"/>
        <w:jc w:val="both"/>
        <w:rPr>
          <w:rFonts w:ascii="Times New Roman" w:hAnsi="Times New Roman"/>
          <w:b/>
          <w:bCs/>
          <w:sz w:val="24"/>
          <w:szCs w:val="24"/>
        </w:rPr>
      </w:pPr>
      <w:r w:rsidRPr="00462789">
        <w:rPr>
          <w:rFonts w:ascii="Times New Roman" w:hAnsi="Times New Roman"/>
          <w:b/>
          <w:bCs/>
          <w:sz w:val="24"/>
          <w:szCs w:val="24"/>
        </w:rPr>
        <w:t>Adsorption isotherm</w:t>
      </w:r>
    </w:p>
    <w:p w14:paraId="236167E1" w14:textId="77777777" w:rsidR="0071403B" w:rsidRPr="00462789" w:rsidRDefault="0071403B" w:rsidP="0071403B">
      <w:pPr>
        <w:pStyle w:val="ListParagraph"/>
        <w:spacing w:after="0"/>
        <w:ind w:left="360"/>
        <w:jc w:val="both"/>
        <w:rPr>
          <w:rFonts w:ascii="Times New Roman" w:hAnsi="Times New Roman"/>
          <w:b/>
          <w:bCs/>
          <w:sz w:val="24"/>
          <w:szCs w:val="24"/>
        </w:rPr>
      </w:pPr>
    </w:p>
    <w:p w14:paraId="05B6AE58" w14:textId="77777777" w:rsidR="007A5E55" w:rsidRPr="002D5D4D" w:rsidRDefault="007A5E55" w:rsidP="0071403B">
      <w:pPr>
        <w:spacing w:after="0"/>
        <w:jc w:val="both"/>
        <w:rPr>
          <w:rFonts w:ascii="Times New Roman" w:hAnsi="Times New Roman"/>
          <w:sz w:val="24"/>
          <w:szCs w:val="24"/>
        </w:rPr>
      </w:pPr>
      <w:r>
        <w:rPr>
          <w:rFonts w:ascii="Times New Roman" w:hAnsi="Times New Roman"/>
          <w:sz w:val="24"/>
          <w:szCs w:val="24"/>
        </w:rPr>
        <w:t xml:space="preserve">The equation of Langmuir isotherm is given </w:t>
      </w:r>
      <w:r w:rsidRPr="002D5D4D">
        <w:rPr>
          <w:rFonts w:ascii="Times New Roman" w:hAnsi="Times New Roman"/>
          <w:sz w:val="24"/>
          <w:szCs w:val="24"/>
        </w:rPr>
        <w:t>as follows:</w:t>
      </w:r>
    </w:p>
    <w:tbl>
      <w:tblPr>
        <w:tblW w:w="0" w:type="auto"/>
        <w:jc w:val="center"/>
        <w:tblLook w:val="04A0" w:firstRow="1" w:lastRow="0" w:firstColumn="1" w:lastColumn="0" w:noHBand="0" w:noVBand="1"/>
      </w:tblPr>
      <w:tblGrid>
        <w:gridCol w:w="8260"/>
        <w:gridCol w:w="766"/>
      </w:tblGrid>
      <w:tr w:rsidR="007A5E55" w:rsidRPr="002D5D4D" w14:paraId="13BD7033" w14:textId="77777777" w:rsidTr="007369A4">
        <w:trPr>
          <w:jc w:val="center"/>
        </w:trPr>
        <w:tc>
          <w:tcPr>
            <w:tcW w:w="8472" w:type="dxa"/>
            <w:shd w:val="clear" w:color="auto" w:fill="auto"/>
            <w:vAlign w:val="center"/>
          </w:tcPr>
          <w:p w14:paraId="4C4B1FBD" w14:textId="77777777" w:rsidR="007A5E55" w:rsidRPr="00BF4FCA" w:rsidRDefault="00565C61" w:rsidP="0071403B">
            <w:pPr>
              <w:spacing w:after="0"/>
              <w:jc w:val="center"/>
              <w:rPr>
                <w:rFonts w:ascii="Times New Roman" w:hAnsi="Times New Roman"/>
                <w:iCs/>
                <w:sz w:val="24"/>
                <w:szCs w:val="24"/>
              </w:rPr>
            </w:pPr>
            <m:oMathPara>
              <m:oMath>
                <m:sSub>
                  <m:sSubPr>
                    <m:ctrlPr>
                      <w:rPr>
                        <w:rFonts w:ascii="Cambria Math" w:eastAsia="Calibri" w:hAnsi="Cambria Math"/>
                        <w:b/>
                        <w:iCs/>
                        <w:lang w:eastAsia="en-US"/>
                      </w:rPr>
                    </m:ctrlPr>
                  </m:sSubPr>
                  <m:e>
                    <m:r>
                      <m:rPr>
                        <m:sty m:val="b"/>
                      </m:rPr>
                      <w:rPr>
                        <w:rFonts w:ascii="Cambria Math" w:hAnsi="Cambria Math"/>
                      </w:rPr>
                      <m:t>q</m:t>
                    </m:r>
                  </m:e>
                  <m:sub>
                    <m:r>
                      <m:rPr>
                        <m:sty m:val="b"/>
                      </m:rPr>
                      <w:rPr>
                        <w:rFonts w:ascii="Cambria Math" w:hAnsi="Cambria Math"/>
                      </w:rPr>
                      <m:t>e</m:t>
                    </m:r>
                  </m:sub>
                </m:sSub>
                <m:r>
                  <m:rPr>
                    <m:sty m:val="b"/>
                  </m:rPr>
                  <w:rPr>
                    <w:rFonts w:ascii="Cambria Math" w:hAnsi="Cambria Math"/>
                  </w:rPr>
                  <m:t>=</m:t>
                </m:r>
                <m:f>
                  <m:fPr>
                    <m:ctrlPr>
                      <w:rPr>
                        <w:rFonts w:ascii="Cambria Math" w:eastAsia="Calibri" w:hAnsi="Cambria Math"/>
                        <w:b/>
                        <w:iCs/>
                        <w:lang w:eastAsia="en-US"/>
                      </w:rPr>
                    </m:ctrlPr>
                  </m:fPr>
                  <m:num>
                    <m:sSub>
                      <m:sSubPr>
                        <m:ctrlPr>
                          <w:rPr>
                            <w:rFonts w:ascii="Cambria Math" w:eastAsia="Calibri" w:hAnsi="Cambria Math"/>
                            <w:b/>
                            <w:iCs/>
                            <w:lang w:eastAsia="en-US"/>
                          </w:rPr>
                        </m:ctrlPr>
                      </m:sSubPr>
                      <m:e>
                        <m:r>
                          <m:rPr>
                            <m:sty m:val="b"/>
                          </m:rPr>
                          <w:rPr>
                            <w:rFonts w:ascii="Cambria Math" w:hAnsi="Cambria Math"/>
                          </w:rPr>
                          <m:t>q</m:t>
                        </m:r>
                      </m:e>
                      <m:sub>
                        <m:r>
                          <m:rPr>
                            <m:sty m:val="b"/>
                          </m:rPr>
                          <w:rPr>
                            <w:rFonts w:ascii="Cambria Math" w:hAnsi="Cambria Math"/>
                          </w:rPr>
                          <m:t>m</m:t>
                        </m:r>
                      </m:sub>
                    </m:sSub>
                    <m:r>
                      <m:rPr>
                        <m:sty m:val="b"/>
                      </m:rPr>
                      <w:rPr>
                        <w:rFonts w:ascii="Cambria Math" w:hAnsi="Cambria Math"/>
                      </w:rPr>
                      <m:t>×</m:t>
                    </m:r>
                    <m:sSub>
                      <m:sSubPr>
                        <m:ctrlPr>
                          <w:rPr>
                            <w:rFonts w:ascii="Cambria Math" w:eastAsia="Calibri" w:hAnsi="Cambria Math"/>
                            <w:b/>
                            <w:iCs/>
                            <w:lang w:eastAsia="en-US"/>
                          </w:rPr>
                        </m:ctrlPr>
                      </m:sSubPr>
                      <m:e>
                        <m:r>
                          <m:rPr>
                            <m:sty m:val="b"/>
                          </m:rPr>
                          <w:rPr>
                            <w:rFonts w:ascii="Cambria Math" w:hAnsi="Cambria Math"/>
                          </w:rPr>
                          <m:t>K</m:t>
                        </m:r>
                      </m:e>
                      <m:sub>
                        <m:r>
                          <m:rPr>
                            <m:sty m:val="b"/>
                          </m:rPr>
                          <w:rPr>
                            <w:rFonts w:ascii="Cambria Math" w:hAnsi="Cambria Math"/>
                          </w:rPr>
                          <m:t>L</m:t>
                        </m:r>
                      </m:sub>
                    </m:sSub>
                    <m:r>
                      <m:rPr>
                        <m:sty m:val="b"/>
                      </m:rPr>
                      <w:rPr>
                        <w:rFonts w:ascii="Cambria Math" w:hAnsi="Cambria Math"/>
                      </w:rPr>
                      <m:t>×</m:t>
                    </m:r>
                    <m:sSub>
                      <m:sSubPr>
                        <m:ctrlPr>
                          <w:rPr>
                            <w:rFonts w:ascii="Cambria Math" w:eastAsia="Calibri" w:hAnsi="Cambria Math"/>
                            <w:b/>
                            <w:iCs/>
                            <w:lang w:eastAsia="en-US"/>
                          </w:rPr>
                        </m:ctrlPr>
                      </m:sSubPr>
                      <m:e>
                        <m:r>
                          <m:rPr>
                            <m:sty m:val="b"/>
                          </m:rPr>
                          <w:rPr>
                            <w:rFonts w:ascii="Cambria Math" w:hAnsi="Cambria Math"/>
                          </w:rPr>
                          <m:t>C</m:t>
                        </m:r>
                      </m:e>
                      <m:sub>
                        <m:r>
                          <m:rPr>
                            <m:sty m:val="b"/>
                          </m:rPr>
                          <w:rPr>
                            <w:rFonts w:ascii="Cambria Math" w:hAnsi="Cambria Math"/>
                          </w:rPr>
                          <m:t>e</m:t>
                        </m:r>
                      </m:sub>
                    </m:sSub>
                  </m:num>
                  <m:den>
                    <m:r>
                      <m:rPr>
                        <m:sty m:val="b"/>
                      </m:rPr>
                      <w:rPr>
                        <w:rFonts w:ascii="Cambria Math" w:hAnsi="Cambria Math"/>
                      </w:rPr>
                      <m:t>1+</m:t>
                    </m:r>
                    <m:sSub>
                      <m:sSubPr>
                        <m:ctrlPr>
                          <w:rPr>
                            <w:rFonts w:ascii="Cambria Math" w:eastAsia="Calibri" w:hAnsi="Cambria Math"/>
                            <w:b/>
                            <w:iCs/>
                            <w:lang w:eastAsia="en-US"/>
                          </w:rPr>
                        </m:ctrlPr>
                      </m:sSubPr>
                      <m:e>
                        <m:r>
                          <m:rPr>
                            <m:sty m:val="b"/>
                          </m:rPr>
                          <w:rPr>
                            <w:rFonts w:ascii="Cambria Math" w:hAnsi="Cambria Math"/>
                          </w:rPr>
                          <m:t>C</m:t>
                        </m:r>
                      </m:e>
                      <m:sub>
                        <m:r>
                          <m:rPr>
                            <m:sty m:val="b"/>
                          </m:rPr>
                          <w:rPr>
                            <w:rFonts w:ascii="Cambria Math" w:hAnsi="Cambria Math"/>
                          </w:rPr>
                          <m:t>e</m:t>
                        </m:r>
                      </m:sub>
                    </m:sSub>
                    <m:r>
                      <m:rPr>
                        <m:sty m:val="b"/>
                      </m:rPr>
                      <w:rPr>
                        <w:rFonts w:ascii="Cambria Math" w:hAnsi="Cambria Math"/>
                      </w:rPr>
                      <m:t>×</m:t>
                    </m:r>
                    <m:sSub>
                      <m:sSubPr>
                        <m:ctrlPr>
                          <w:rPr>
                            <w:rFonts w:ascii="Cambria Math" w:eastAsia="Calibri" w:hAnsi="Cambria Math"/>
                            <w:b/>
                            <w:iCs/>
                            <w:lang w:eastAsia="en-US"/>
                          </w:rPr>
                        </m:ctrlPr>
                      </m:sSubPr>
                      <m:e>
                        <m:r>
                          <m:rPr>
                            <m:sty m:val="b"/>
                          </m:rPr>
                          <w:rPr>
                            <w:rFonts w:ascii="Cambria Math" w:hAnsi="Cambria Math"/>
                          </w:rPr>
                          <m:t>K</m:t>
                        </m:r>
                      </m:e>
                      <m:sub>
                        <m:r>
                          <m:rPr>
                            <m:sty m:val="b"/>
                          </m:rPr>
                          <w:rPr>
                            <w:rFonts w:ascii="Cambria Math" w:hAnsi="Cambria Math"/>
                          </w:rPr>
                          <m:t>L</m:t>
                        </m:r>
                      </m:sub>
                    </m:sSub>
                  </m:den>
                </m:f>
                <m:r>
                  <m:rPr>
                    <m:sty m:val="bi"/>
                  </m:rPr>
                  <w:rPr>
                    <w:rFonts w:ascii="Cambria Math" w:eastAsia="Calibri" w:hAnsi="Cambria Math"/>
                    <w:lang w:eastAsia="en-US"/>
                  </w:rPr>
                  <m:t>,</m:t>
                </m:r>
              </m:oMath>
            </m:oMathPara>
          </w:p>
        </w:tc>
        <w:tc>
          <w:tcPr>
            <w:tcW w:w="770" w:type="dxa"/>
            <w:shd w:val="clear" w:color="auto" w:fill="auto"/>
            <w:vAlign w:val="center"/>
          </w:tcPr>
          <w:p w14:paraId="790D7138" w14:textId="41C92402" w:rsidR="007A5E55" w:rsidRPr="002D5D4D" w:rsidRDefault="007A5E55" w:rsidP="0071403B">
            <w:pPr>
              <w:spacing w:after="0"/>
              <w:jc w:val="center"/>
              <w:rPr>
                <w:rFonts w:ascii="Times New Roman" w:hAnsi="Times New Roman"/>
                <w:sz w:val="24"/>
                <w:szCs w:val="24"/>
              </w:rPr>
            </w:pPr>
            <w:r w:rsidRPr="002D5D4D">
              <w:rPr>
                <w:rFonts w:ascii="Times New Roman" w:hAnsi="Times New Roman"/>
                <w:sz w:val="24"/>
                <w:szCs w:val="24"/>
              </w:rPr>
              <w:t>(</w:t>
            </w:r>
            <w:r w:rsidR="00F837D8">
              <w:rPr>
                <w:rFonts w:ascii="Times New Roman" w:hAnsi="Times New Roman"/>
                <w:sz w:val="24"/>
                <w:szCs w:val="24"/>
              </w:rPr>
              <w:t>S</w:t>
            </w:r>
            <w:r w:rsidRPr="002D5D4D">
              <w:rPr>
                <w:rFonts w:ascii="Times New Roman" w:hAnsi="Times New Roman"/>
                <w:sz w:val="24"/>
                <w:szCs w:val="24"/>
              </w:rPr>
              <w:t>1)</w:t>
            </w:r>
          </w:p>
        </w:tc>
      </w:tr>
    </w:tbl>
    <w:p w14:paraId="65861BEF" w14:textId="77777777" w:rsidR="007A5E55" w:rsidRPr="002D5D4D" w:rsidRDefault="007A5E55" w:rsidP="0071403B">
      <w:pPr>
        <w:spacing w:after="0"/>
        <w:jc w:val="both"/>
        <w:rPr>
          <w:rFonts w:ascii="Times New Roman" w:hAnsi="Times New Roman"/>
          <w:sz w:val="24"/>
          <w:szCs w:val="24"/>
        </w:rPr>
      </w:pPr>
    </w:p>
    <w:tbl>
      <w:tblPr>
        <w:tblW w:w="0" w:type="auto"/>
        <w:jc w:val="center"/>
        <w:tblLook w:val="04A0" w:firstRow="1" w:lastRow="0" w:firstColumn="1" w:lastColumn="0" w:noHBand="0" w:noVBand="1"/>
      </w:tblPr>
      <w:tblGrid>
        <w:gridCol w:w="8260"/>
        <w:gridCol w:w="766"/>
      </w:tblGrid>
      <w:tr w:rsidR="007A5E55" w:rsidRPr="002D5D4D" w14:paraId="1A2A818F" w14:textId="77777777" w:rsidTr="007369A4">
        <w:trPr>
          <w:jc w:val="center"/>
        </w:trPr>
        <w:tc>
          <w:tcPr>
            <w:tcW w:w="8472" w:type="dxa"/>
            <w:shd w:val="clear" w:color="auto" w:fill="auto"/>
            <w:vAlign w:val="center"/>
          </w:tcPr>
          <w:p w14:paraId="64EA7DA2" w14:textId="77777777" w:rsidR="007A5E55" w:rsidRPr="00BF4FCA" w:rsidRDefault="00565C61" w:rsidP="0071403B">
            <w:pPr>
              <w:spacing w:after="0"/>
              <w:jc w:val="center"/>
              <w:rPr>
                <w:rFonts w:ascii="Times New Roman" w:hAnsi="Times New Roman"/>
                <w:iCs/>
                <w:sz w:val="24"/>
                <w:szCs w:val="24"/>
              </w:rPr>
            </w:pPr>
            <m:oMathPara>
              <m:oMath>
                <m:sSub>
                  <m:sSubPr>
                    <m:ctrlPr>
                      <w:rPr>
                        <w:rFonts w:ascii="Cambria Math" w:eastAsia="Calibri" w:hAnsi="Cambria Math"/>
                        <w:b/>
                        <w:iCs/>
                        <w:lang w:eastAsia="en-US"/>
                      </w:rPr>
                    </m:ctrlPr>
                  </m:sSubPr>
                  <m:e>
                    <m:r>
                      <m:rPr>
                        <m:sty m:val="b"/>
                      </m:rPr>
                      <w:rPr>
                        <w:rFonts w:ascii="Cambria Math" w:hAnsi="Cambria Math"/>
                      </w:rPr>
                      <m:t>R</m:t>
                    </m:r>
                  </m:e>
                  <m:sub>
                    <m:r>
                      <m:rPr>
                        <m:sty m:val="b"/>
                      </m:rPr>
                      <w:rPr>
                        <w:rFonts w:ascii="Cambria Math" w:hAnsi="Cambria Math"/>
                      </w:rPr>
                      <m:t>L</m:t>
                    </m:r>
                  </m:sub>
                </m:sSub>
                <m:r>
                  <m:rPr>
                    <m:sty m:val="b"/>
                  </m:rPr>
                  <w:rPr>
                    <w:rFonts w:ascii="Cambria Math" w:hAnsi="Cambria Math"/>
                  </w:rPr>
                  <m:t>=</m:t>
                </m:r>
                <m:f>
                  <m:fPr>
                    <m:ctrlPr>
                      <w:rPr>
                        <w:rFonts w:ascii="Cambria Math" w:eastAsia="Calibri" w:hAnsi="Cambria Math"/>
                        <w:b/>
                        <w:iCs/>
                        <w:lang w:eastAsia="en-US"/>
                      </w:rPr>
                    </m:ctrlPr>
                  </m:fPr>
                  <m:num>
                    <m:r>
                      <m:rPr>
                        <m:sty m:val="b"/>
                      </m:rPr>
                      <w:rPr>
                        <w:rFonts w:ascii="Cambria Math" w:hAnsi="Cambria Math"/>
                      </w:rPr>
                      <m:t>1</m:t>
                    </m:r>
                  </m:num>
                  <m:den>
                    <m:r>
                      <m:rPr>
                        <m:sty m:val="b"/>
                      </m:rPr>
                      <w:rPr>
                        <w:rFonts w:ascii="Cambria Math" w:hAnsi="Cambria Math"/>
                      </w:rPr>
                      <m:t>1+</m:t>
                    </m:r>
                    <m:sSub>
                      <m:sSubPr>
                        <m:ctrlPr>
                          <w:rPr>
                            <w:rFonts w:ascii="Cambria Math" w:eastAsia="Calibri" w:hAnsi="Cambria Math"/>
                            <w:b/>
                            <w:iCs/>
                            <w:lang w:eastAsia="en-US"/>
                          </w:rPr>
                        </m:ctrlPr>
                      </m:sSubPr>
                      <m:e>
                        <m:r>
                          <m:rPr>
                            <m:sty m:val="b"/>
                          </m:rPr>
                          <w:rPr>
                            <w:rFonts w:ascii="Cambria Math" w:hAnsi="Cambria Math"/>
                          </w:rPr>
                          <m:t>K</m:t>
                        </m:r>
                      </m:e>
                      <m:sub>
                        <m:r>
                          <m:rPr>
                            <m:sty m:val="b"/>
                          </m:rPr>
                          <w:rPr>
                            <w:rFonts w:ascii="Cambria Math" w:hAnsi="Cambria Math"/>
                          </w:rPr>
                          <m:t>L</m:t>
                        </m:r>
                      </m:sub>
                    </m:sSub>
                    <m:r>
                      <m:rPr>
                        <m:sty m:val="b"/>
                      </m:rPr>
                      <w:rPr>
                        <w:rFonts w:ascii="Cambria Math" w:hAnsi="Cambria Math"/>
                      </w:rPr>
                      <m:t>×</m:t>
                    </m:r>
                    <m:sSub>
                      <m:sSubPr>
                        <m:ctrlPr>
                          <w:rPr>
                            <w:rFonts w:ascii="Cambria Math" w:eastAsia="Calibri" w:hAnsi="Cambria Math"/>
                            <w:b/>
                            <w:iCs/>
                            <w:lang w:eastAsia="en-US"/>
                          </w:rPr>
                        </m:ctrlPr>
                      </m:sSubPr>
                      <m:e>
                        <m:r>
                          <m:rPr>
                            <m:sty m:val="b"/>
                          </m:rPr>
                          <w:rPr>
                            <w:rFonts w:ascii="Cambria Math" w:hAnsi="Cambria Math"/>
                          </w:rPr>
                          <m:t>C</m:t>
                        </m:r>
                      </m:e>
                      <m:sub>
                        <m:r>
                          <m:rPr>
                            <m:sty m:val="b"/>
                          </m:rPr>
                          <w:rPr>
                            <w:rFonts w:ascii="Cambria Math" w:hAnsi="Cambria Math"/>
                          </w:rPr>
                          <m:t>i</m:t>
                        </m:r>
                      </m:sub>
                    </m:sSub>
                  </m:den>
                </m:f>
                <m:r>
                  <m:rPr>
                    <m:sty m:val="bi"/>
                  </m:rPr>
                  <w:rPr>
                    <w:rFonts w:ascii="Cambria Math" w:eastAsia="Calibri" w:hAnsi="Cambria Math"/>
                    <w:lang w:eastAsia="en-US"/>
                  </w:rPr>
                  <m:t>,</m:t>
                </m:r>
              </m:oMath>
            </m:oMathPara>
          </w:p>
        </w:tc>
        <w:tc>
          <w:tcPr>
            <w:tcW w:w="770" w:type="dxa"/>
            <w:shd w:val="clear" w:color="auto" w:fill="auto"/>
            <w:vAlign w:val="center"/>
          </w:tcPr>
          <w:p w14:paraId="12E29994" w14:textId="4F0F5879" w:rsidR="007A5E55" w:rsidRPr="002D5D4D" w:rsidRDefault="007A5E55" w:rsidP="0071403B">
            <w:pPr>
              <w:spacing w:after="0"/>
              <w:jc w:val="center"/>
              <w:rPr>
                <w:rFonts w:ascii="Times New Roman" w:hAnsi="Times New Roman"/>
                <w:sz w:val="24"/>
                <w:szCs w:val="24"/>
              </w:rPr>
            </w:pPr>
            <w:r w:rsidRPr="002D5D4D">
              <w:rPr>
                <w:rFonts w:ascii="Times New Roman" w:hAnsi="Times New Roman"/>
                <w:sz w:val="24"/>
                <w:szCs w:val="24"/>
              </w:rPr>
              <w:t>(</w:t>
            </w:r>
            <w:r w:rsidR="00F837D8">
              <w:rPr>
                <w:rFonts w:ascii="Times New Roman" w:hAnsi="Times New Roman"/>
                <w:sz w:val="24"/>
                <w:szCs w:val="24"/>
              </w:rPr>
              <w:t>S</w:t>
            </w:r>
            <w:r w:rsidRPr="002D5D4D">
              <w:rPr>
                <w:rFonts w:ascii="Times New Roman" w:hAnsi="Times New Roman"/>
                <w:sz w:val="24"/>
                <w:szCs w:val="24"/>
              </w:rPr>
              <w:t>2)</w:t>
            </w:r>
          </w:p>
        </w:tc>
      </w:tr>
    </w:tbl>
    <w:p w14:paraId="3032CA9B" w14:textId="77777777" w:rsidR="0071403B" w:rsidRDefault="0071403B" w:rsidP="0071403B">
      <w:pPr>
        <w:spacing w:after="0"/>
        <w:jc w:val="both"/>
        <w:rPr>
          <w:rFonts w:ascii="Times New Roman" w:hAnsi="Times New Roman"/>
          <w:sz w:val="24"/>
          <w:szCs w:val="24"/>
        </w:rPr>
      </w:pPr>
    </w:p>
    <w:p w14:paraId="6BB906AA" w14:textId="30080EAD" w:rsidR="007A5E55" w:rsidRPr="002D5D4D" w:rsidRDefault="007A5E55" w:rsidP="0071403B">
      <w:pPr>
        <w:spacing w:after="0"/>
        <w:jc w:val="both"/>
        <w:rPr>
          <w:rFonts w:ascii="Times New Roman" w:hAnsi="Times New Roman"/>
          <w:sz w:val="24"/>
          <w:szCs w:val="24"/>
        </w:rPr>
      </w:pPr>
      <w:r>
        <w:rPr>
          <w:rFonts w:ascii="Times New Roman" w:hAnsi="Times New Roman"/>
          <w:sz w:val="24"/>
          <w:szCs w:val="24"/>
        </w:rPr>
        <w:t>w</w:t>
      </w:r>
      <w:r w:rsidRPr="002D5D4D">
        <w:rPr>
          <w:rFonts w:ascii="Times New Roman" w:hAnsi="Times New Roman"/>
          <w:sz w:val="24"/>
          <w:szCs w:val="24"/>
        </w:rPr>
        <w:t>here q</w:t>
      </w:r>
      <w:r w:rsidRPr="002D5D4D">
        <w:rPr>
          <w:rFonts w:ascii="Times New Roman" w:hAnsi="Times New Roman"/>
          <w:sz w:val="24"/>
          <w:szCs w:val="24"/>
          <w:vertAlign w:val="subscript"/>
        </w:rPr>
        <w:t>e</w:t>
      </w:r>
      <w:r w:rsidRPr="002D5D4D">
        <w:rPr>
          <w:rFonts w:ascii="Times New Roman" w:hAnsi="Times New Roman"/>
          <w:sz w:val="24"/>
          <w:szCs w:val="24"/>
        </w:rPr>
        <w:t xml:space="preserve"> is the amount of MB adsorbed at equilibrium (mg/g), C</w:t>
      </w:r>
      <w:r w:rsidRPr="002D5D4D">
        <w:rPr>
          <w:rFonts w:ascii="Times New Roman" w:hAnsi="Times New Roman"/>
          <w:sz w:val="24"/>
          <w:szCs w:val="24"/>
          <w:vertAlign w:val="subscript"/>
        </w:rPr>
        <w:t>e</w:t>
      </w:r>
      <w:r w:rsidRPr="002D5D4D">
        <w:rPr>
          <w:rFonts w:ascii="Times New Roman" w:hAnsi="Times New Roman"/>
          <w:sz w:val="24"/>
          <w:szCs w:val="24"/>
        </w:rPr>
        <w:t xml:space="preserve"> is the equilibrium concentration of the MB (mg/L), q</w:t>
      </w:r>
      <w:r w:rsidRPr="002D5D4D">
        <w:rPr>
          <w:rFonts w:ascii="Times New Roman" w:hAnsi="Times New Roman"/>
          <w:sz w:val="24"/>
          <w:szCs w:val="24"/>
          <w:vertAlign w:val="subscript"/>
        </w:rPr>
        <w:t>m</w:t>
      </w:r>
      <w:r w:rsidRPr="002D5D4D">
        <w:rPr>
          <w:rFonts w:ascii="Times New Roman" w:hAnsi="Times New Roman"/>
          <w:sz w:val="24"/>
          <w:szCs w:val="24"/>
        </w:rPr>
        <w:t xml:space="preserve"> is the maximum adsorption capacity (mg/g) and K</w:t>
      </w:r>
      <w:r w:rsidRPr="002D5D4D">
        <w:rPr>
          <w:rFonts w:ascii="Times New Roman" w:hAnsi="Times New Roman"/>
          <w:sz w:val="24"/>
          <w:szCs w:val="24"/>
          <w:vertAlign w:val="subscript"/>
        </w:rPr>
        <w:t>L</w:t>
      </w:r>
      <w:r w:rsidRPr="002D5D4D">
        <w:rPr>
          <w:rFonts w:ascii="Times New Roman" w:hAnsi="Times New Roman"/>
          <w:sz w:val="24"/>
          <w:szCs w:val="24"/>
        </w:rPr>
        <w:t xml:space="preserve"> is the Langmuir equilibrium constant (L/mg). R</w:t>
      </w:r>
      <w:r w:rsidRPr="002D5D4D">
        <w:rPr>
          <w:rFonts w:ascii="Times New Roman" w:hAnsi="Times New Roman"/>
          <w:sz w:val="24"/>
          <w:szCs w:val="24"/>
          <w:vertAlign w:val="subscript"/>
        </w:rPr>
        <w:t>L</w:t>
      </w:r>
      <w:r w:rsidRPr="002D5D4D">
        <w:rPr>
          <w:rFonts w:ascii="Times New Roman" w:hAnsi="Times New Roman"/>
          <w:sz w:val="24"/>
          <w:szCs w:val="24"/>
        </w:rPr>
        <w:t xml:space="preserve"> is the </w:t>
      </w:r>
      <w:r w:rsidRPr="0072629B">
        <w:rPr>
          <w:rFonts w:ascii="Times New Roman" w:hAnsi="Times New Roman"/>
          <w:sz w:val="24"/>
          <w:szCs w:val="24"/>
        </w:rPr>
        <w:t>separation factor and C</w:t>
      </w:r>
      <w:r w:rsidRPr="0072629B">
        <w:rPr>
          <w:rFonts w:ascii="Times New Roman" w:hAnsi="Times New Roman"/>
          <w:sz w:val="24"/>
          <w:szCs w:val="24"/>
          <w:vertAlign w:val="subscript"/>
        </w:rPr>
        <w:t>i</w:t>
      </w:r>
      <w:r w:rsidRPr="0072629B">
        <w:rPr>
          <w:rFonts w:ascii="Times New Roman" w:hAnsi="Times New Roman"/>
          <w:sz w:val="24"/>
          <w:szCs w:val="24"/>
        </w:rPr>
        <w:t xml:space="preserve"> is the</w:t>
      </w:r>
      <w:r w:rsidRPr="002D5D4D">
        <w:rPr>
          <w:rFonts w:ascii="Times New Roman" w:hAnsi="Times New Roman"/>
          <w:sz w:val="24"/>
          <w:szCs w:val="24"/>
        </w:rPr>
        <w:t xml:space="preserve"> initial concentration of MB (mg/L). The value of R</w:t>
      </w:r>
      <w:r w:rsidRPr="002D5D4D">
        <w:rPr>
          <w:rFonts w:ascii="Times New Roman" w:hAnsi="Times New Roman"/>
          <w:sz w:val="24"/>
          <w:szCs w:val="24"/>
          <w:vertAlign w:val="subscript"/>
        </w:rPr>
        <w:t>L</w:t>
      </w:r>
      <w:r w:rsidRPr="002D5D4D">
        <w:rPr>
          <w:rFonts w:ascii="Times New Roman" w:hAnsi="Times New Roman"/>
          <w:sz w:val="24"/>
          <w:szCs w:val="24"/>
        </w:rPr>
        <w:t xml:space="preserve"> indicates the type of the isotherm to be either unfavourable (R</w:t>
      </w:r>
      <w:r w:rsidRPr="002D5D4D">
        <w:rPr>
          <w:rFonts w:ascii="Times New Roman" w:hAnsi="Times New Roman"/>
          <w:sz w:val="24"/>
          <w:szCs w:val="24"/>
          <w:vertAlign w:val="subscript"/>
        </w:rPr>
        <w:t>L</w:t>
      </w:r>
      <w:r w:rsidRPr="002D5D4D">
        <w:rPr>
          <w:rFonts w:ascii="Times New Roman" w:hAnsi="Times New Roman"/>
          <w:sz w:val="24"/>
          <w:szCs w:val="24"/>
        </w:rPr>
        <w:t xml:space="preserve"> &gt; 1), linear (R</w:t>
      </w:r>
      <w:r w:rsidRPr="002D5D4D">
        <w:rPr>
          <w:rFonts w:ascii="Times New Roman" w:hAnsi="Times New Roman"/>
          <w:sz w:val="24"/>
          <w:szCs w:val="24"/>
          <w:vertAlign w:val="subscript"/>
        </w:rPr>
        <w:t>L</w:t>
      </w:r>
      <w:r w:rsidRPr="002D5D4D">
        <w:rPr>
          <w:rFonts w:ascii="Times New Roman" w:hAnsi="Times New Roman"/>
          <w:sz w:val="24"/>
          <w:szCs w:val="24"/>
        </w:rPr>
        <w:t xml:space="preserve"> = 1), favourable (0 &lt; R</w:t>
      </w:r>
      <w:r w:rsidRPr="002D5D4D">
        <w:rPr>
          <w:rFonts w:ascii="Times New Roman" w:hAnsi="Times New Roman"/>
          <w:sz w:val="24"/>
          <w:szCs w:val="24"/>
          <w:vertAlign w:val="subscript"/>
        </w:rPr>
        <w:t>L</w:t>
      </w:r>
      <w:r w:rsidRPr="002D5D4D">
        <w:rPr>
          <w:rFonts w:ascii="Times New Roman" w:hAnsi="Times New Roman"/>
          <w:sz w:val="24"/>
          <w:szCs w:val="24"/>
        </w:rPr>
        <w:t xml:space="preserve"> &lt; 1) or irreversible (R</w:t>
      </w:r>
      <w:r w:rsidRPr="002D5D4D">
        <w:rPr>
          <w:rFonts w:ascii="Times New Roman" w:hAnsi="Times New Roman"/>
          <w:sz w:val="24"/>
          <w:szCs w:val="24"/>
          <w:vertAlign w:val="subscript"/>
        </w:rPr>
        <w:t>L</w:t>
      </w:r>
      <w:r w:rsidRPr="002D5D4D">
        <w:rPr>
          <w:rFonts w:ascii="Times New Roman" w:hAnsi="Times New Roman"/>
          <w:sz w:val="24"/>
          <w:szCs w:val="24"/>
        </w:rPr>
        <w:t xml:space="preserve"> = 0)</w:t>
      </w:r>
      <w:r w:rsidR="00E0391C">
        <w:rPr>
          <w:rFonts w:ascii="Times New Roman" w:hAnsi="Times New Roman"/>
          <w:sz w:val="24"/>
          <w:szCs w:val="24"/>
        </w:rPr>
        <w:t xml:space="preserve"> </w:t>
      </w:r>
      <w:r w:rsidR="00E0391C">
        <w:rPr>
          <w:rFonts w:ascii="Times New Roman" w:hAnsi="Times New Roman"/>
          <w:sz w:val="24"/>
          <w:szCs w:val="24"/>
        </w:rPr>
        <w:fldChar w:fldCharType="begin" w:fldLock="1"/>
      </w:r>
      <w:r w:rsidR="00E0391C">
        <w:rPr>
          <w:rFonts w:ascii="Times New Roman" w:hAnsi="Times New Roman"/>
          <w:sz w:val="24"/>
          <w:szCs w:val="24"/>
        </w:rPr>
        <w:instrText>ADDIN CSL_CITATION {"citationItems":[{"id":"ITEM-1","itemData":{"DOI":"10.1155/2013/614083","ISSN":"20909063","abstract":"An activated carbon was prepared from pea shells and used for the removal of methylene blue (MB) from aqueous solutions. The influence of various factors such as adsorbent concentration, initial dye concentration, temperature, contact time, pH, and surfactant was studied. The experimental data were analyzed by the Langmuir and Freundlich models of adsorption. The adsorption isotherm was found to follow the Langmuir model. The monolayer sorption capacity of activated carbon prepared from pea shell for MB was found to be 246.91 mg g -1 at 25 °C. Two simplified kinetic models including pseudo-first-order and pseudo-second-order equation were selected to follow the adsorption processes. Kinetic studies showed that the adsorption followed pseudo-second-order kinetic model. Various thermodynamic parameters such as ΔH°, ΔS°, and ΔG° were evaluated. The results in this study indicated that activated carbon prepared from pea shell could be employed as an adsorbent for the removal of MB from aqueous solutions. © 2013 Ünal Geçgel et al.","author":[{"dropping-particle":"","family":"Geçgel","given":"Ünal","non-dropping-particle":"","parse-names":false,"suffix":""},{"dropping-particle":"","family":"Özcan","given":"Gülce","non-dropping-particle":"","parse-names":false,"suffix":""},{"dropping-particle":"","family":"Gürpnar","given":"Gizem Çala","non-dropping-particle":"","parse-names":false,"suffix":""}],"container-title":"Journal of Chemistry","id":"ITEM-1","issued":{"date-parts":[["2013"]]},"title":"Removal of methylene blue from aqueous solution by activated carbon prepared from pea shells (Pisum sativum)","type":"article-journal"},"uris":["http://www.mendeley.com/documents/?uuid=39e055d0-a4c3-3a43-8e9e-81d340793a6f"]}],"mendeley":{"formattedCitation":"(Geçgel et al., 2013)","plainTextFormattedCitation":"(Geçgel et al., 2013)"},"properties":{"noteIndex":0},"schema":"https://github.com/citation-style-language/schema/raw/master/csl-citation.json"}</w:instrText>
      </w:r>
      <w:r w:rsidR="00E0391C">
        <w:rPr>
          <w:rFonts w:ascii="Times New Roman" w:hAnsi="Times New Roman"/>
          <w:sz w:val="24"/>
          <w:szCs w:val="24"/>
        </w:rPr>
        <w:fldChar w:fldCharType="separate"/>
      </w:r>
      <w:r w:rsidR="00E0391C" w:rsidRPr="00E0391C">
        <w:rPr>
          <w:rFonts w:ascii="Times New Roman" w:hAnsi="Times New Roman"/>
          <w:noProof/>
          <w:sz w:val="24"/>
          <w:szCs w:val="24"/>
        </w:rPr>
        <w:t>(Geçgel et al., 2013)</w:t>
      </w:r>
      <w:r w:rsidR="00E0391C">
        <w:rPr>
          <w:rFonts w:ascii="Times New Roman" w:hAnsi="Times New Roman"/>
          <w:sz w:val="24"/>
          <w:szCs w:val="24"/>
        </w:rPr>
        <w:fldChar w:fldCharType="end"/>
      </w:r>
      <w:r w:rsidRPr="002D5D4D">
        <w:rPr>
          <w:rFonts w:ascii="Times New Roman" w:hAnsi="Times New Roman"/>
          <w:sz w:val="24"/>
          <w:szCs w:val="24"/>
        </w:rPr>
        <w:t>.</w:t>
      </w:r>
    </w:p>
    <w:p w14:paraId="34419F0B" w14:textId="77777777" w:rsidR="007A5E55" w:rsidRDefault="007A5E55" w:rsidP="0071403B">
      <w:pPr>
        <w:spacing w:after="0"/>
        <w:ind w:firstLine="720"/>
        <w:jc w:val="both"/>
        <w:rPr>
          <w:rFonts w:ascii="Times New Roman" w:hAnsi="Times New Roman"/>
          <w:sz w:val="24"/>
          <w:szCs w:val="24"/>
        </w:rPr>
      </w:pPr>
      <w:r w:rsidRPr="002D5D4D">
        <w:rPr>
          <w:rFonts w:ascii="Times New Roman" w:hAnsi="Times New Roman"/>
          <w:sz w:val="24"/>
          <w:szCs w:val="24"/>
        </w:rPr>
        <w:t>The Freundlich isotherm can be described as follows:</w:t>
      </w:r>
    </w:p>
    <w:p w14:paraId="547F496E" w14:textId="77777777" w:rsidR="007A5E55" w:rsidRPr="002D5D4D" w:rsidRDefault="007A5E55" w:rsidP="0071403B">
      <w:pPr>
        <w:spacing w:after="0"/>
        <w:ind w:firstLine="720"/>
        <w:jc w:val="both"/>
        <w:rPr>
          <w:rFonts w:ascii="Times New Roman" w:hAnsi="Times New Roman"/>
          <w:sz w:val="24"/>
          <w:szCs w:val="24"/>
        </w:rPr>
      </w:pPr>
    </w:p>
    <w:tbl>
      <w:tblPr>
        <w:tblW w:w="0" w:type="auto"/>
        <w:jc w:val="center"/>
        <w:tblLook w:val="04A0" w:firstRow="1" w:lastRow="0" w:firstColumn="1" w:lastColumn="0" w:noHBand="0" w:noVBand="1"/>
      </w:tblPr>
      <w:tblGrid>
        <w:gridCol w:w="8122"/>
        <w:gridCol w:w="904"/>
      </w:tblGrid>
      <w:tr w:rsidR="007A5E55" w:rsidRPr="002D5D4D" w14:paraId="297E4BA0" w14:textId="77777777" w:rsidTr="007369A4">
        <w:trPr>
          <w:jc w:val="center"/>
        </w:trPr>
        <w:tc>
          <w:tcPr>
            <w:tcW w:w="8330" w:type="dxa"/>
            <w:shd w:val="clear" w:color="auto" w:fill="auto"/>
            <w:vAlign w:val="center"/>
          </w:tcPr>
          <w:p w14:paraId="3230D209" w14:textId="77777777" w:rsidR="007A5E55" w:rsidRPr="00BF4FCA" w:rsidRDefault="00565C61" w:rsidP="0071403B">
            <w:pPr>
              <w:spacing w:after="0"/>
              <w:jc w:val="center"/>
              <w:rPr>
                <w:rFonts w:ascii="Times New Roman" w:hAnsi="Times New Roman"/>
                <w:iCs/>
                <w:sz w:val="24"/>
                <w:szCs w:val="24"/>
              </w:rPr>
            </w:pPr>
            <m:oMathPara>
              <m:oMath>
                <m:sSub>
                  <m:sSubPr>
                    <m:ctrlPr>
                      <w:rPr>
                        <w:rFonts w:ascii="Cambria Math" w:eastAsia="Calibri" w:hAnsi="Cambria Math"/>
                        <w:b/>
                        <w:iCs/>
                        <w:lang w:eastAsia="en-US"/>
                      </w:rPr>
                    </m:ctrlPr>
                  </m:sSubPr>
                  <m:e>
                    <m:r>
                      <m:rPr>
                        <m:sty m:val="b"/>
                      </m:rPr>
                      <w:rPr>
                        <w:rFonts w:ascii="Cambria Math" w:hAnsi="Cambria Math"/>
                      </w:rPr>
                      <m:t>q</m:t>
                    </m:r>
                  </m:e>
                  <m:sub>
                    <m:r>
                      <m:rPr>
                        <m:sty m:val="b"/>
                      </m:rPr>
                      <w:rPr>
                        <w:rFonts w:ascii="Cambria Math" w:hAnsi="Cambria Math"/>
                      </w:rPr>
                      <m:t>e</m:t>
                    </m:r>
                  </m:sub>
                </m:sSub>
                <m:r>
                  <m:rPr>
                    <m:sty m:val="b"/>
                  </m:rPr>
                  <w:rPr>
                    <w:rFonts w:ascii="Cambria Math" w:hAnsi="Cambria Math"/>
                  </w:rPr>
                  <m:t>=</m:t>
                </m:r>
                <m:sSub>
                  <m:sSubPr>
                    <m:ctrlPr>
                      <w:rPr>
                        <w:rFonts w:ascii="Cambria Math" w:eastAsia="Calibri" w:hAnsi="Cambria Math"/>
                        <w:b/>
                        <w:iCs/>
                        <w:lang w:eastAsia="en-US"/>
                      </w:rPr>
                    </m:ctrlPr>
                  </m:sSubPr>
                  <m:e>
                    <m:r>
                      <m:rPr>
                        <m:sty m:val="b"/>
                      </m:rPr>
                      <w:rPr>
                        <w:rFonts w:ascii="Cambria Math" w:hAnsi="Cambria Math"/>
                      </w:rPr>
                      <m:t>K</m:t>
                    </m:r>
                  </m:e>
                  <m:sub>
                    <m:r>
                      <m:rPr>
                        <m:sty m:val="b"/>
                      </m:rPr>
                      <w:rPr>
                        <w:rFonts w:ascii="Cambria Math" w:hAnsi="Cambria Math"/>
                      </w:rPr>
                      <m:t>F</m:t>
                    </m:r>
                  </m:sub>
                </m:sSub>
                <m:r>
                  <m:rPr>
                    <m:sty m:val="b"/>
                  </m:rPr>
                  <w:rPr>
                    <w:rFonts w:ascii="Cambria Math" w:hAnsi="Cambria Math"/>
                  </w:rPr>
                  <m:t>×</m:t>
                </m:r>
                <m:sSubSup>
                  <m:sSubSupPr>
                    <m:ctrlPr>
                      <w:rPr>
                        <w:rFonts w:ascii="Cambria Math" w:eastAsia="Calibri" w:hAnsi="Cambria Math"/>
                        <w:b/>
                        <w:iCs/>
                        <w:lang w:eastAsia="en-US"/>
                      </w:rPr>
                    </m:ctrlPr>
                  </m:sSubSupPr>
                  <m:e>
                    <m:r>
                      <m:rPr>
                        <m:sty m:val="b"/>
                      </m:rPr>
                      <w:rPr>
                        <w:rFonts w:ascii="Cambria Math" w:hAnsi="Cambria Math"/>
                      </w:rPr>
                      <m:t>C</m:t>
                    </m:r>
                  </m:e>
                  <m:sub>
                    <m:r>
                      <m:rPr>
                        <m:sty m:val="b"/>
                      </m:rPr>
                      <w:rPr>
                        <w:rFonts w:ascii="Cambria Math" w:hAnsi="Cambria Math"/>
                      </w:rPr>
                      <m:t>e</m:t>
                    </m:r>
                  </m:sub>
                  <m:sup>
                    <m:f>
                      <m:fPr>
                        <m:ctrlPr>
                          <w:rPr>
                            <w:rFonts w:ascii="Cambria Math" w:eastAsia="Calibri" w:hAnsi="Cambria Math"/>
                            <w:b/>
                            <w:iCs/>
                            <w:lang w:eastAsia="en-US"/>
                          </w:rPr>
                        </m:ctrlPr>
                      </m:fPr>
                      <m:num>
                        <m:r>
                          <m:rPr>
                            <m:sty m:val="b"/>
                          </m:rPr>
                          <w:rPr>
                            <w:rFonts w:ascii="Cambria Math" w:hAnsi="Cambria Math"/>
                          </w:rPr>
                          <m:t>1</m:t>
                        </m:r>
                      </m:num>
                      <m:den>
                        <m:r>
                          <m:rPr>
                            <m:sty m:val="b"/>
                          </m:rPr>
                          <w:rPr>
                            <w:rFonts w:ascii="Cambria Math" w:hAnsi="Cambria Math"/>
                          </w:rPr>
                          <m:t>n</m:t>
                        </m:r>
                      </m:den>
                    </m:f>
                  </m:sup>
                </m:sSubSup>
                <m:r>
                  <m:rPr>
                    <m:sty m:val="bi"/>
                  </m:rPr>
                  <w:rPr>
                    <w:rFonts w:ascii="Cambria Math" w:eastAsia="Calibri" w:hAnsi="Cambria Math"/>
                    <w:lang w:eastAsia="en-US"/>
                  </w:rPr>
                  <m:t>,</m:t>
                </m:r>
              </m:oMath>
            </m:oMathPara>
          </w:p>
        </w:tc>
        <w:tc>
          <w:tcPr>
            <w:tcW w:w="912" w:type="dxa"/>
            <w:shd w:val="clear" w:color="auto" w:fill="auto"/>
            <w:vAlign w:val="center"/>
          </w:tcPr>
          <w:p w14:paraId="15F66B47" w14:textId="0F2DF0B3" w:rsidR="007A5E55" w:rsidRPr="002D5D4D" w:rsidRDefault="007A5E55" w:rsidP="0071403B">
            <w:pPr>
              <w:spacing w:after="0"/>
              <w:jc w:val="center"/>
              <w:rPr>
                <w:rFonts w:ascii="Times New Roman" w:hAnsi="Times New Roman"/>
                <w:sz w:val="24"/>
                <w:szCs w:val="24"/>
              </w:rPr>
            </w:pPr>
            <w:r w:rsidRPr="002D5D4D">
              <w:rPr>
                <w:rFonts w:ascii="Times New Roman" w:hAnsi="Times New Roman"/>
                <w:sz w:val="24"/>
                <w:szCs w:val="24"/>
              </w:rPr>
              <w:t>(</w:t>
            </w:r>
            <w:r w:rsidR="00F837D8">
              <w:rPr>
                <w:rFonts w:ascii="Times New Roman" w:hAnsi="Times New Roman"/>
                <w:sz w:val="24"/>
                <w:szCs w:val="24"/>
              </w:rPr>
              <w:t>S</w:t>
            </w:r>
            <w:r w:rsidRPr="002D5D4D">
              <w:rPr>
                <w:rFonts w:ascii="Times New Roman" w:hAnsi="Times New Roman"/>
                <w:sz w:val="24"/>
                <w:szCs w:val="24"/>
              </w:rPr>
              <w:t>3)</w:t>
            </w:r>
          </w:p>
        </w:tc>
      </w:tr>
    </w:tbl>
    <w:p w14:paraId="7FF06E16" w14:textId="77777777" w:rsidR="0071403B" w:rsidRDefault="0071403B" w:rsidP="0071403B">
      <w:pPr>
        <w:spacing w:after="0"/>
        <w:jc w:val="both"/>
        <w:rPr>
          <w:rFonts w:ascii="Times New Roman" w:hAnsi="Times New Roman"/>
          <w:noProof/>
          <w:sz w:val="24"/>
          <w:szCs w:val="24"/>
        </w:rPr>
      </w:pPr>
    </w:p>
    <w:p w14:paraId="196DB538" w14:textId="6FAFB0DD" w:rsidR="0071403B" w:rsidRDefault="007A5E55" w:rsidP="0071403B">
      <w:pPr>
        <w:spacing w:after="0"/>
        <w:jc w:val="both"/>
        <w:rPr>
          <w:rFonts w:ascii="Times New Roman" w:hAnsi="Times New Roman"/>
          <w:noProof/>
          <w:sz w:val="24"/>
          <w:szCs w:val="24"/>
        </w:rPr>
      </w:pPr>
      <w:r>
        <w:rPr>
          <w:rFonts w:ascii="Times New Roman" w:hAnsi="Times New Roman"/>
          <w:noProof/>
          <w:sz w:val="24"/>
          <w:szCs w:val="24"/>
        </w:rPr>
        <w:t xml:space="preserve">where </w:t>
      </w:r>
      <w:r w:rsidRPr="002D5D4D">
        <w:rPr>
          <w:rFonts w:ascii="Times New Roman" w:hAnsi="Times New Roman"/>
          <w:noProof/>
          <w:sz w:val="24"/>
          <w:szCs w:val="24"/>
        </w:rPr>
        <w:t>K</w:t>
      </w:r>
      <w:r w:rsidRPr="002D5D4D">
        <w:rPr>
          <w:rFonts w:ascii="Times New Roman" w:hAnsi="Times New Roman"/>
          <w:noProof/>
          <w:sz w:val="24"/>
          <w:szCs w:val="24"/>
          <w:vertAlign w:val="subscript"/>
        </w:rPr>
        <w:t>F</w:t>
      </w:r>
      <w:r w:rsidRPr="002D5D4D">
        <w:rPr>
          <w:rFonts w:ascii="Times New Roman" w:hAnsi="Times New Roman"/>
          <w:noProof/>
          <w:sz w:val="24"/>
          <w:szCs w:val="24"/>
        </w:rPr>
        <w:t xml:space="preserve"> and n are the Freundlich characteristic constants</w:t>
      </w:r>
      <w:r>
        <w:rPr>
          <w:rFonts w:ascii="Times New Roman" w:hAnsi="Times New Roman"/>
          <w:noProof/>
          <w:sz w:val="24"/>
          <w:szCs w:val="24"/>
        </w:rPr>
        <w:t xml:space="preserve"> that </w:t>
      </w:r>
      <w:r w:rsidRPr="002D5D4D">
        <w:rPr>
          <w:rFonts w:ascii="Times New Roman" w:hAnsi="Times New Roman"/>
          <w:noProof/>
          <w:sz w:val="24"/>
          <w:szCs w:val="24"/>
        </w:rPr>
        <w:t>represent the adsorption capacity and the adso</w:t>
      </w:r>
      <w:r>
        <w:rPr>
          <w:rFonts w:ascii="Times New Roman" w:hAnsi="Times New Roman"/>
          <w:noProof/>
          <w:sz w:val="24"/>
          <w:szCs w:val="24"/>
        </w:rPr>
        <w:t>rption intensity, respectively.</w:t>
      </w:r>
    </w:p>
    <w:p w14:paraId="4220F456" w14:textId="77777777" w:rsidR="00A55EC3" w:rsidRDefault="00A55EC3" w:rsidP="0071403B">
      <w:pPr>
        <w:spacing w:after="0"/>
        <w:jc w:val="both"/>
        <w:rPr>
          <w:rFonts w:ascii="Times New Roman" w:hAnsi="Times New Roman"/>
          <w:noProof/>
          <w:sz w:val="24"/>
          <w:szCs w:val="24"/>
        </w:rPr>
      </w:pPr>
    </w:p>
    <w:p w14:paraId="7ED92536" w14:textId="77777777" w:rsidR="0079016A" w:rsidRPr="007A5E55" w:rsidRDefault="0079016A" w:rsidP="0071403B">
      <w:pPr>
        <w:spacing w:after="0"/>
        <w:jc w:val="both"/>
        <w:rPr>
          <w:rFonts w:ascii="Times New Roman" w:hAnsi="Times New Roman"/>
          <w:noProof/>
          <w:sz w:val="24"/>
          <w:szCs w:val="24"/>
        </w:rPr>
      </w:pPr>
    </w:p>
    <w:tbl>
      <w:tblPr>
        <w:tblW w:w="10076" w:type="dxa"/>
        <w:jc w:val="center"/>
        <w:tblLook w:val="04A0" w:firstRow="1" w:lastRow="0" w:firstColumn="1" w:lastColumn="0" w:noHBand="0" w:noVBand="1"/>
      </w:tblPr>
      <w:tblGrid>
        <w:gridCol w:w="5318"/>
        <w:gridCol w:w="5318"/>
      </w:tblGrid>
      <w:tr w:rsidR="00477196" w:rsidRPr="002D5D4D" w14:paraId="724F642F" w14:textId="77777777" w:rsidTr="000B0EC2">
        <w:trPr>
          <w:trHeight w:val="3158"/>
          <w:jc w:val="center"/>
        </w:trPr>
        <w:tc>
          <w:tcPr>
            <w:tcW w:w="5038" w:type="dxa"/>
            <w:shd w:val="clear" w:color="auto" w:fill="auto"/>
            <w:vAlign w:val="center"/>
          </w:tcPr>
          <w:p w14:paraId="3B658C5C" w14:textId="7636CEF5" w:rsidR="00477196" w:rsidRPr="002D5D4D" w:rsidRDefault="0079016A" w:rsidP="0071403B">
            <w:pPr>
              <w:spacing w:after="0"/>
              <w:jc w:val="center"/>
              <w:rPr>
                <w:rFonts w:ascii="Times New Roman" w:hAnsi="Times New Roman"/>
                <w:b/>
                <w:sz w:val="24"/>
                <w:szCs w:val="24"/>
              </w:rPr>
            </w:pPr>
            <w:r w:rsidRPr="0079016A">
              <w:rPr>
                <w:rFonts w:ascii="Times New Roman" w:hAnsi="Times New Roman"/>
                <w:b/>
                <w:noProof/>
                <w:sz w:val="24"/>
                <w:szCs w:val="24"/>
                <w:lang w:val="en-GB" w:eastAsia="en-GB" w:bidi="ta-IN"/>
              </w:rPr>
              <w:lastRenderedPageBreak/>
              <w:drawing>
                <wp:inline distT="0" distB="0" distL="0" distR="0" wp14:anchorId="11AC4E2D" wp14:editId="25ECEB8A">
                  <wp:extent cx="3240000" cy="2520000"/>
                  <wp:effectExtent l="0" t="0" r="0" b="0"/>
                  <wp:docPr id="2" name="Picture 2" descr="D:\Primary files\Carbon article_Final\Submitted journals - carbon foam\Arabian journal of chemistry\Final\Revision\linear curve LANGMUIR EFAC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Primary files\Carbon article_Final\Submitted journals - carbon foam\Arabian journal of chemistry\Final\Revision\linear curve LANGMUIR EFAC2.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27" t="5008" r="4827"/>
                          <a:stretch/>
                        </pic:blipFill>
                        <pic:spPr bwMode="auto">
                          <a:xfrm>
                            <a:off x="0" y="0"/>
                            <a:ext cx="324000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41C66F14" w14:textId="77777777" w:rsidR="00477196" w:rsidRPr="002D5D4D" w:rsidRDefault="00477196" w:rsidP="0071403B">
            <w:pPr>
              <w:spacing w:after="0"/>
              <w:jc w:val="center"/>
              <w:rPr>
                <w:rFonts w:ascii="Times New Roman" w:hAnsi="Times New Roman"/>
                <w:b/>
                <w:sz w:val="24"/>
                <w:szCs w:val="24"/>
              </w:rPr>
            </w:pPr>
            <w:r w:rsidRPr="002D5D4D">
              <w:rPr>
                <w:rFonts w:ascii="Times New Roman" w:hAnsi="Times New Roman"/>
                <w:b/>
                <w:sz w:val="24"/>
                <w:szCs w:val="24"/>
              </w:rPr>
              <w:t>(a)</w:t>
            </w:r>
          </w:p>
        </w:tc>
        <w:tc>
          <w:tcPr>
            <w:tcW w:w="5038" w:type="dxa"/>
            <w:shd w:val="clear" w:color="auto" w:fill="auto"/>
            <w:vAlign w:val="center"/>
          </w:tcPr>
          <w:p w14:paraId="74A01AF1" w14:textId="53258D5C" w:rsidR="00477196" w:rsidRPr="002D5D4D" w:rsidRDefault="0079016A" w:rsidP="0071403B">
            <w:pPr>
              <w:spacing w:after="0"/>
              <w:jc w:val="center"/>
              <w:rPr>
                <w:rFonts w:ascii="Times New Roman" w:hAnsi="Times New Roman"/>
                <w:b/>
                <w:sz w:val="24"/>
                <w:szCs w:val="24"/>
              </w:rPr>
            </w:pPr>
            <w:r w:rsidRPr="0079016A">
              <w:rPr>
                <w:rFonts w:ascii="Times New Roman" w:hAnsi="Times New Roman"/>
                <w:b/>
                <w:noProof/>
                <w:sz w:val="24"/>
                <w:szCs w:val="24"/>
                <w:lang w:val="en-GB" w:eastAsia="en-GB" w:bidi="ta-IN"/>
              </w:rPr>
              <w:drawing>
                <wp:inline distT="0" distB="0" distL="0" distR="0" wp14:anchorId="622E13B2" wp14:editId="108259FC">
                  <wp:extent cx="3240000" cy="2520000"/>
                  <wp:effectExtent l="0" t="0" r="0" b="0"/>
                  <wp:docPr id="1" name="Picture 1" descr="D:\Primary files\Carbon article_Final\Submitted journals - carbon foam\Arabian journal of chemistry\Final\Revision\linear curve LANGMUIR EFAC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rimary files\Carbon article_Final\Submitted journals - carbon foam\Arabian journal of chemistry\Final\Revision\linear curve LANGMUIR EFAC1.t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87" t="5001" r="6064"/>
                          <a:stretch/>
                        </pic:blipFill>
                        <pic:spPr bwMode="auto">
                          <a:xfrm>
                            <a:off x="0" y="0"/>
                            <a:ext cx="324000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3D369719" w14:textId="77777777" w:rsidR="00477196" w:rsidRPr="002D5D4D" w:rsidRDefault="00477196" w:rsidP="0071403B">
            <w:pPr>
              <w:spacing w:after="0"/>
              <w:jc w:val="center"/>
              <w:rPr>
                <w:rFonts w:ascii="Times New Roman" w:hAnsi="Times New Roman"/>
                <w:b/>
                <w:sz w:val="24"/>
                <w:szCs w:val="24"/>
              </w:rPr>
            </w:pPr>
            <w:r w:rsidRPr="002D5D4D">
              <w:rPr>
                <w:rFonts w:ascii="Times New Roman" w:hAnsi="Times New Roman"/>
                <w:b/>
                <w:sz w:val="24"/>
                <w:szCs w:val="24"/>
              </w:rPr>
              <w:t>(b)</w:t>
            </w:r>
          </w:p>
        </w:tc>
      </w:tr>
      <w:tr w:rsidR="00477196" w:rsidRPr="002D5D4D" w14:paraId="5C90B423" w14:textId="77777777" w:rsidTr="000B0EC2">
        <w:trPr>
          <w:trHeight w:val="328"/>
          <w:jc w:val="center"/>
        </w:trPr>
        <w:tc>
          <w:tcPr>
            <w:tcW w:w="5038" w:type="dxa"/>
            <w:shd w:val="clear" w:color="auto" w:fill="auto"/>
            <w:vAlign w:val="center"/>
          </w:tcPr>
          <w:p w14:paraId="6AC35190" w14:textId="00809786" w:rsidR="00477196" w:rsidRPr="002D5D4D" w:rsidRDefault="00C94B22" w:rsidP="0071403B">
            <w:pPr>
              <w:spacing w:after="0"/>
              <w:jc w:val="center"/>
              <w:rPr>
                <w:rFonts w:ascii="Times New Roman" w:hAnsi="Times New Roman"/>
                <w:b/>
                <w:sz w:val="24"/>
                <w:szCs w:val="24"/>
              </w:rPr>
            </w:pPr>
            <w:r w:rsidRPr="00C94B22">
              <w:rPr>
                <w:rFonts w:ascii="Times New Roman" w:hAnsi="Times New Roman"/>
                <w:b/>
                <w:noProof/>
                <w:sz w:val="24"/>
                <w:szCs w:val="24"/>
                <w:lang w:val="en-GB" w:eastAsia="en-GB" w:bidi="ta-IN"/>
              </w:rPr>
              <w:drawing>
                <wp:inline distT="0" distB="0" distL="0" distR="0" wp14:anchorId="102E7073" wp14:editId="26DBB71E">
                  <wp:extent cx="3240000" cy="2520000"/>
                  <wp:effectExtent l="0" t="0" r="0" b="0"/>
                  <wp:docPr id="3" name="Picture 3" descr="D:\Primary files\Carbon article_Final\Submitted journals - carbon foam\Arabian journal of chemistry\Final\Revision\New folder\linear curve FREUNDLICH EFAC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Primary files\Carbon article_Final\Submitted journals - carbon foam\Arabian journal of chemistry\Final\Revision\New folder\linear curve FREUNDLICH EFAC1.t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06" t="2641" r="8074" b="1329"/>
                          <a:stretch/>
                        </pic:blipFill>
                        <pic:spPr bwMode="auto">
                          <a:xfrm>
                            <a:off x="0" y="0"/>
                            <a:ext cx="324000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621CF021" w14:textId="77777777" w:rsidR="00477196" w:rsidRPr="002D5D4D" w:rsidRDefault="00477196" w:rsidP="0071403B">
            <w:pPr>
              <w:spacing w:after="0"/>
              <w:jc w:val="center"/>
              <w:rPr>
                <w:rFonts w:ascii="Times New Roman" w:hAnsi="Times New Roman"/>
                <w:b/>
                <w:sz w:val="24"/>
                <w:szCs w:val="24"/>
              </w:rPr>
            </w:pPr>
            <w:r w:rsidRPr="002D5D4D">
              <w:rPr>
                <w:rFonts w:ascii="Times New Roman" w:hAnsi="Times New Roman"/>
                <w:b/>
                <w:sz w:val="24"/>
                <w:szCs w:val="24"/>
              </w:rPr>
              <w:t>(c)</w:t>
            </w:r>
          </w:p>
        </w:tc>
        <w:tc>
          <w:tcPr>
            <w:tcW w:w="5038" w:type="dxa"/>
            <w:shd w:val="clear" w:color="auto" w:fill="auto"/>
            <w:vAlign w:val="center"/>
          </w:tcPr>
          <w:p w14:paraId="0B3514A2" w14:textId="152AA548" w:rsidR="00477196" w:rsidRPr="002D5D4D" w:rsidRDefault="00A55EC3" w:rsidP="0071403B">
            <w:pPr>
              <w:spacing w:after="0"/>
              <w:jc w:val="center"/>
              <w:rPr>
                <w:rFonts w:ascii="Times New Roman" w:hAnsi="Times New Roman"/>
                <w:b/>
                <w:sz w:val="24"/>
                <w:szCs w:val="24"/>
              </w:rPr>
            </w:pPr>
            <w:r w:rsidRPr="00A55EC3">
              <w:rPr>
                <w:rFonts w:ascii="Times New Roman" w:hAnsi="Times New Roman"/>
                <w:b/>
                <w:noProof/>
                <w:sz w:val="24"/>
                <w:szCs w:val="24"/>
                <w:lang w:val="en-GB" w:eastAsia="en-GB" w:bidi="ta-IN"/>
              </w:rPr>
              <w:drawing>
                <wp:inline distT="0" distB="0" distL="0" distR="0" wp14:anchorId="24437BAE" wp14:editId="559FD004">
                  <wp:extent cx="3239589" cy="2520000"/>
                  <wp:effectExtent l="0" t="0" r="0" b="0"/>
                  <wp:docPr id="4" name="Picture 4" descr="D:\Primary files\Carbon article_Final\Submitted journals - carbon foam\Arabian journal of chemistry\Final\Revision\New folder\linear curve FREUNDLICH EFAC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Primary files\Carbon article_Final\Submitted journals - carbon foam\Arabian journal of chemistry\Final\Revision\New folder\linear curve FREUNDLICH EFAC2.ti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62" t="2133" r="9172" b="-145"/>
                          <a:stretch/>
                        </pic:blipFill>
                        <pic:spPr bwMode="auto">
                          <a:xfrm>
                            <a:off x="0" y="0"/>
                            <a:ext cx="3239589"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0E653AE2" w14:textId="77777777" w:rsidR="00477196" w:rsidRPr="002D5D4D" w:rsidRDefault="00477196" w:rsidP="0071403B">
            <w:pPr>
              <w:spacing w:after="0"/>
              <w:jc w:val="center"/>
              <w:rPr>
                <w:rFonts w:ascii="Times New Roman" w:hAnsi="Times New Roman"/>
                <w:b/>
                <w:sz w:val="24"/>
                <w:szCs w:val="24"/>
              </w:rPr>
            </w:pPr>
            <w:r w:rsidRPr="002D5D4D">
              <w:rPr>
                <w:rFonts w:ascii="Times New Roman" w:hAnsi="Times New Roman"/>
                <w:b/>
                <w:sz w:val="24"/>
                <w:szCs w:val="24"/>
              </w:rPr>
              <w:t>(d)</w:t>
            </w:r>
          </w:p>
        </w:tc>
      </w:tr>
    </w:tbl>
    <w:p w14:paraId="365B79DB" w14:textId="4727F9A9" w:rsidR="00477196" w:rsidRDefault="0003332E" w:rsidP="0071403B">
      <w:pPr>
        <w:spacing w:after="0"/>
        <w:rPr>
          <w:rFonts w:ascii="Times New Roman" w:hAnsi="Times New Roman"/>
          <w:sz w:val="24"/>
          <w:szCs w:val="24"/>
        </w:rPr>
      </w:pPr>
      <w:r>
        <w:rPr>
          <w:rFonts w:ascii="Times New Roman" w:hAnsi="Times New Roman"/>
          <w:b/>
          <w:sz w:val="24"/>
          <w:szCs w:val="24"/>
        </w:rPr>
        <w:t>Figure S1</w:t>
      </w:r>
      <w:r w:rsidR="00477196" w:rsidRPr="000258F9">
        <w:rPr>
          <w:rFonts w:ascii="Times New Roman" w:hAnsi="Times New Roman"/>
          <w:b/>
          <w:sz w:val="24"/>
          <w:szCs w:val="24"/>
        </w:rPr>
        <w:t xml:space="preserve">. </w:t>
      </w:r>
      <w:r w:rsidR="00477196" w:rsidRPr="000258F9">
        <w:rPr>
          <w:rFonts w:ascii="Times New Roman" w:hAnsi="Times New Roman"/>
          <w:sz w:val="24"/>
          <w:szCs w:val="24"/>
        </w:rPr>
        <w:t>Langmuir (</w:t>
      </w:r>
      <w:r w:rsidR="00477196" w:rsidRPr="000258F9">
        <w:rPr>
          <w:rFonts w:ascii="Times New Roman" w:hAnsi="Times New Roman"/>
          <w:b/>
          <w:sz w:val="24"/>
          <w:szCs w:val="24"/>
        </w:rPr>
        <w:t>a</w:t>
      </w:r>
      <w:r w:rsidR="00477196" w:rsidRPr="000258F9">
        <w:rPr>
          <w:rFonts w:ascii="Times New Roman" w:hAnsi="Times New Roman"/>
          <w:sz w:val="24"/>
          <w:szCs w:val="24"/>
        </w:rPr>
        <w:t xml:space="preserve"> and </w:t>
      </w:r>
      <w:r w:rsidR="00477196" w:rsidRPr="000258F9">
        <w:rPr>
          <w:rFonts w:ascii="Times New Roman" w:hAnsi="Times New Roman"/>
          <w:b/>
          <w:sz w:val="24"/>
          <w:szCs w:val="24"/>
        </w:rPr>
        <w:t>b</w:t>
      </w:r>
      <w:r w:rsidR="00477196" w:rsidRPr="000258F9">
        <w:rPr>
          <w:rFonts w:ascii="Times New Roman" w:hAnsi="Times New Roman"/>
          <w:sz w:val="24"/>
          <w:szCs w:val="24"/>
        </w:rPr>
        <w:t>) and Freundlich (</w:t>
      </w:r>
      <w:r w:rsidR="00477196" w:rsidRPr="000258F9">
        <w:rPr>
          <w:rFonts w:ascii="Times New Roman" w:hAnsi="Times New Roman"/>
          <w:b/>
          <w:sz w:val="24"/>
          <w:szCs w:val="24"/>
        </w:rPr>
        <w:t>c</w:t>
      </w:r>
      <w:r w:rsidR="00477196" w:rsidRPr="000258F9">
        <w:rPr>
          <w:rFonts w:ascii="Times New Roman" w:hAnsi="Times New Roman"/>
          <w:sz w:val="24"/>
          <w:szCs w:val="24"/>
        </w:rPr>
        <w:t xml:space="preserve"> and </w:t>
      </w:r>
      <w:r w:rsidR="00477196" w:rsidRPr="000258F9">
        <w:rPr>
          <w:rFonts w:ascii="Times New Roman" w:hAnsi="Times New Roman"/>
          <w:b/>
          <w:sz w:val="24"/>
          <w:szCs w:val="24"/>
        </w:rPr>
        <w:t>d</w:t>
      </w:r>
      <w:r w:rsidR="00477196" w:rsidRPr="000258F9">
        <w:rPr>
          <w:rFonts w:ascii="Times New Roman" w:hAnsi="Times New Roman"/>
          <w:sz w:val="24"/>
          <w:szCs w:val="24"/>
        </w:rPr>
        <w:t xml:space="preserve">) linear </w:t>
      </w:r>
      <w:r w:rsidR="00477196">
        <w:rPr>
          <w:rFonts w:ascii="Times New Roman" w:hAnsi="Times New Roman"/>
          <w:sz w:val="24"/>
          <w:szCs w:val="24"/>
        </w:rPr>
        <w:t>fits</w:t>
      </w:r>
      <w:r w:rsidR="00477196" w:rsidRPr="000258F9">
        <w:rPr>
          <w:rFonts w:ascii="Times New Roman" w:hAnsi="Times New Roman"/>
          <w:sz w:val="24"/>
          <w:szCs w:val="24"/>
        </w:rPr>
        <w:t xml:space="preserve"> for MB adsorption </w:t>
      </w:r>
      <w:r w:rsidR="00477196">
        <w:rPr>
          <w:rFonts w:ascii="Times New Roman" w:hAnsi="Times New Roman"/>
          <w:sz w:val="24"/>
          <w:szCs w:val="24"/>
        </w:rPr>
        <w:t>on the obtained</w:t>
      </w:r>
      <w:r w:rsidR="00477196" w:rsidRPr="000258F9">
        <w:rPr>
          <w:rFonts w:ascii="Times New Roman" w:hAnsi="Times New Roman"/>
          <w:sz w:val="24"/>
          <w:szCs w:val="24"/>
        </w:rPr>
        <w:t xml:space="preserve"> </w:t>
      </w:r>
      <w:r w:rsidR="00477196">
        <w:rPr>
          <w:rFonts w:ascii="Times New Roman" w:hAnsi="Times New Roman"/>
          <w:sz w:val="24"/>
          <w:szCs w:val="24"/>
        </w:rPr>
        <w:t>ACF.</w:t>
      </w:r>
    </w:p>
    <w:p w14:paraId="63A1A049" w14:textId="77777777" w:rsidR="00E0391C" w:rsidRPr="00E0391C" w:rsidRDefault="00E0391C" w:rsidP="00E0391C">
      <w:pPr>
        <w:spacing w:after="0"/>
        <w:jc w:val="both"/>
        <w:rPr>
          <w:rFonts w:ascii="Times New Roman" w:hAnsi="Times New Roman"/>
          <w:sz w:val="24"/>
          <w:szCs w:val="24"/>
        </w:rPr>
      </w:pPr>
    </w:p>
    <w:p w14:paraId="15811902" w14:textId="6AB9BE49" w:rsidR="00E0391C" w:rsidRPr="00E0391C" w:rsidRDefault="00E0391C" w:rsidP="00E0391C">
      <w:pPr>
        <w:spacing w:after="0"/>
        <w:jc w:val="both"/>
        <w:rPr>
          <w:rFonts w:ascii="Times New Roman" w:hAnsi="Times New Roman"/>
          <w:b/>
          <w:bCs/>
          <w:sz w:val="24"/>
          <w:szCs w:val="24"/>
        </w:rPr>
      </w:pPr>
      <w:r w:rsidRPr="00E0391C">
        <w:rPr>
          <w:rFonts w:ascii="Times New Roman" w:hAnsi="Times New Roman"/>
          <w:b/>
          <w:bCs/>
          <w:sz w:val="24"/>
          <w:szCs w:val="24"/>
        </w:rPr>
        <w:t>Reference</w:t>
      </w:r>
    </w:p>
    <w:p w14:paraId="4E7BFE11" w14:textId="017DF273" w:rsidR="00E0391C" w:rsidRPr="00E0391C" w:rsidRDefault="00E0391C" w:rsidP="00E0391C">
      <w:pPr>
        <w:widowControl w:val="0"/>
        <w:autoSpaceDE w:val="0"/>
        <w:autoSpaceDN w:val="0"/>
        <w:adjustRightInd w:val="0"/>
        <w:spacing w:after="0" w:line="240" w:lineRule="auto"/>
        <w:ind w:left="480" w:hanging="480"/>
        <w:jc w:val="both"/>
        <w:rPr>
          <w:rFonts w:ascii="Times New Roman" w:hAnsi="Times New Roman"/>
          <w:noProof/>
          <w:sz w:val="24"/>
          <w:szCs w:val="24"/>
        </w:rPr>
      </w:pPr>
      <w:r w:rsidRPr="00E0391C">
        <w:rPr>
          <w:rFonts w:ascii="Times New Roman" w:hAnsi="Times New Roman"/>
          <w:sz w:val="24"/>
          <w:szCs w:val="24"/>
        </w:rPr>
        <w:fldChar w:fldCharType="begin" w:fldLock="1"/>
      </w:r>
      <w:r w:rsidRPr="00E0391C">
        <w:rPr>
          <w:rFonts w:ascii="Times New Roman" w:hAnsi="Times New Roman"/>
          <w:sz w:val="24"/>
          <w:szCs w:val="24"/>
        </w:rPr>
        <w:instrText xml:space="preserve">ADDIN Mendeley Bibliography CSL_BIBLIOGRAPHY </w:instrText>
      </w:r>
      <w:r w:rsidRPr="00E0391C">
        <w:rPr>
          <w:rFonts w:ascii="Times New Roman" w:hAnsi="Times New Roman"/>
          <w:sz w:val="24"/>
          <w:szCs w:val="24"/>
        </w:rPr>
        <w:fldChar w:fldCharType="separate"/>
      </w:r>
      <w:r w:rsidRPr="00E0391C">
        <w:rPr>
          <w:rFonts w:ascii="Times New Roman" w:hAnsi="Times New Roman"/>
          <w:noProof/>
          <w:sz w:val="24"/>
          <w:szCs w:val="24"/>
        </w:rPr>
        <w:t>Geçgel, Ü., Özcan, G., Gürpnar, G.Ç., 2013. Removal of methylene blue from aqueous solution by activated carbon prepared from pea shells (Pisum sativum). J. Chem. https://doi.org/10.1155/2013/614083</w:t>
      </w:r>
    </w:p>
    <w:p w14:paraId="72C5E363" w14:textId="00C5687C" w:rsidR="00E0391C" w:rsidRDefault="00E0391C" w:rsidP="00E0391C">
      <w:pPr>
        <w:spacing w:after="0"/>
        <w:jc w:val="both"/>
      </w:pPr>
      <w:r w:rsidRPr="00E0391C">
        <w:rPr>
          <w:rFonts w:ascii="Times New Roman" w:hAnsi="Times New Roman"/>
          <w:sz w:val="24"/>
          <w:szCs w:val="24"/>
        </w:rPr>
        <w:fldChar w:fldCharType="end"/>
      </w:r>
    </w:p>
    <w:sectPr w:rsidR="00E0391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D6B7" w14:textId="77777777" w:rsidR="00565C61" w:rsidRDefault="00565C61" w:rsidP="002A3B08">
      <w:pPr>
        <w:spacing w:after="0" w:line="240" w:lineRule="auto"/>
      </w:pPr>
      <w:r>
        <w:separator/>
      </w:r>
    </w:p>
  </w:endnote>
  <w:endnote w:type="continuationSeparator" w:id="0">
    <w:p w14:paraId="30FF7482" w14:textId="77777777" w:rsidR="00565C61" w:rsidRDefault="00565C61" w:rsidP="002A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809777"/>
      <w:docPartObj>
        <w:docPartGallery w:val="Page Numbers (Bottom of Page)"/>
        <w:docPartUnique/>
      </w:docPartObj>
    </w:sdtPr>
    <w:sdtEndPr>
      <w:rPr>
        <w:noProof/>
      </w:rPr>
    </w:sdtEndPr>
    <w:sdtContent>
      <w:p w14:paraId="48B39024" w14:textId="13EC651B" w:rsidR="002A3B08" w:rsidRDefault="002A3B08">
        <w:pPr>
          <w:pStyle w:val="Footer"/>
          <w:jc w:val="center"/>
        </w:pPr>
        <w:r>
          <w:fldChar w:fldCharType="begin"/>
        </w:r>
        <w:r>
          <w:instrText xml:space="preserve"> PAGE   \* MERGEFORMAT </w:instrText>
        </w:r>
        <w:r>
          <w:fldChar w:fldCharType="separate"/>
        </w:r>
        <w:r w:rsidR="002C1803">
          <w:rPr>
            <w:noProof/>
          </w:rPr>
          <w:t>1</w:t>
        </w:r>
        <w:r>
          <w:rPr>
            <w:noProof/>
          </w:rPr>
          <w:fldChar w:fldCharType="end"/>
        </w:r>
      </w:p>
    </w:sdtContent>
  </w:sdt>
  <w:p w14:paraId="2985F3FF" w14:textId="77777777" w:rsidR="002A3B08" w:rsidRDefault="002A3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A1E08" w14:textId="77777777" w:rsidR="00565C61" w:rsidRDefault="00565C61" w:rsidP="002A3B08">
      <w:pPr>
        <w:spacing w:after="0" w:line="240" w:lineRule="auto"/>
      </w:pPr>
      <w:r>
        <w:separator/>
      </w:r>
    </w:p>
  </w:footnote>
  <w:footnote w:type="continuationSeparator" w:id="0">
    <w:p w14:paraId="6E844343" w14:textId="77777777" w:rsidR="00565C61" w:rsidRDefault="00565C61" w:rsidP="002A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86DAD"/>
    <w:multiLevelType w:val="hybridMultilevel"/>
    <w:tmpl w:val="348422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38E5C12"/>
    <w:multiLevelType w:val="hybridMultilevel"/>
    <w:tmpl w:val="F21E24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Mje3MLYwMTeyNDVT0lEKTi0uzszPAykwNKwFAHeulQUtAAAA"/>
  </w:docVars>
  <w:rsids>
    <w:rsidRoot w:val="00596EFA"/>
    <w:rsid w:val="00020F34"/>
    <w:rsid w:val="0003332E"/>
    <w:rsid w:val="00193A5C"/>
    <w:rsid w:val="002605BA"/>
    <w:rsid w:val="00281F05"/>
    <w:rsid w:val="002A3B08"/>
    <w:rsid w:val="002C1803"/>
    <w:rsid w:val="00313247"/>
    <w:rsid w:val="00412C55"/>
    <w:rsid w:val="00462789"/>
    <w:rsid w:val="00477196"/>
    <w:rsid w:val="00565C61"/>
    <w:rsid w:val="00596EFA"/>
    <w:rsid w:val="00682940"/>
    <w:rsid w:val="006C4076"/>
    <w:rsid w:val="0071403B"/>
    <w:rsid w:val="0079016A"/>
    <w:rsid w:val="007A5E55"/>
    <w:rsid w:val="007B7983"/>
    <w:rsid w:val="007B7FCB"/>
    <w:rsid w:val="007F1530"/>
    <w:rsid w:val="008C1540"/>
    <w:rsid w:val="008E729F"/>
    <w:rsid w:val="009B1BC6"/>
    <w:rsid w:val="00A55EC3"/>
    <w:rsid w:val="00A703B7"/>
    <w:rsid w:val="00A87FBB"/>
    <w:rsid w:val="00B111AE"/>
    <w:rsid w:val="00B471E8"/>
    <w:rsid w:val="00C41EB3"/>
    <w:rsid w:val="00C831B9"/>
    <w:rsid w:val="00C94B22"/>
    <w:rsid w:val="00CC7B33"/>
    <w:rsid w:val="00E0391C"/>
    <w:rsid w:val="00ED0DC4"/>
    <w:rsid w:val="00F837D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12CCE"/>
  <w15:chartTrackingRefBased/>
  <w15:docId w15:val="{8E0FF36D-C271-435A-9506-40B53726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FA"/>
    <w:pPr>
      <w:suppressAutoHyphens/>
      <w:spacing w:after="200" w:line="276" w:lineRule="auto"/>
    </w:pPr>
    <w:rPr>
      <w:rFonts w:ascii="Calibri" w:eastAsia="SimSun" w:hAnsi="Calibri" w:cs="Times New Roman"/>
      <w:lang w:val="hu-H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77196"/>
    <w:rPr>
      <w:sz w:val="16"/>
      <w:szCs w:val="16"/>
    </w:rPr>
  </w:style>
  <w:style w:type="paragraph" w:styleId="CommentText">
    <w:name w:val="annotation text"/>
    <w:basedOn w:val="Normal"/>
    <w:link w:val="CommentTextChar"/>
    <w:uiPriority w:val="99"/>
    <w:semiHidden/>
    <w:unhideWhenUsed/>
    <w:rsid w:val="00477196"/>
    <w:rPr>
      <w:sz w:val="20"/>
      <w:szCs w:val="20"/>
    </w:rPr>
  </w:style>
  <w:style w:type="character" w:customStyle="1" w:styleId="CommentTextChar">
    <w:name w:val="Comment Text Char"/>
    <w:basedOn w:val="DefaultParagraphFont"/>
    <w:link w:val="CommentText"/>
    <w:uiPriority w:val="99"/>
    <w:semiHidden/>
    <w:rsid w:val="00477196"/>
    <w:rPr>
      <w:rFonts w:ascii="Calibri" w:eastAsia="SimSun" w:hAnsi="Calibri" w:cs="Times New Roman"/>
      <w:sz w:val="20"/>
      <w:szCs w:val="20"/>
      <w:lang w:val="hu-HU" w:eastAsia="zh-CN"/>
    </w:rPr>
  </w:style>
  <w:style w:type="paragraph" w:styleId="BalloonText">
    <w:name w:val="Balloon Text"/>
    <w:basedOn w:val="Normal"/>
    <w:link w:val="BalloonTextChar"/>
    <w:uiPriority w:val="99"/>
    <w:semiHidden/>
    <w:unhideWhenUsed/>
    <w:rsid w:val="00477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196"/>
    <w:rPr>
      <w:rFonts w:ascii="Segoe UI" w:eastAsia="SimSun" w:hAnsi="Segoe UI" w:cs="Segoe UI"/>
      <w:sz w:val="18"/>
      <w:szCs w:val="18"/>
      <w:lang w:val="hu-HU" w:eastAsia="zh-CN"/>
    </w:rPr>
  </w:style>
  <w:style w:type="paragraph" w:styleId="HTMLPreformatted">
    <w:name w:val="HTML Preformatted"/>
    <w:link w:val="HTMLPreformattedChar"/>
    <w:rsid w:val="00412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val="en-US" w:eastAsia="zh-CN"/>
    </w:rPr>
  </w:style>
  <w:style w:type="character" w:customStyle="1" w:styleId="HTMLPreformattedChar">
    <w:name w:val="HTML Preformatted Char"/>
    <w:basedOn w:val="DefaultParagraphFont"/>
    <w:link w:val="HTMLPreformatted"/>
    <w:rsid w:val="00412C55"/>
    <w:rPr>
      <w:rFonts w:ascii="Courier New" w:eastAsia="SimSun" w:hAnsi="Courier New" w:cs="Times New Roman"/>
      <w:sz w:val="20"/>
      <w:szCs w:val="20"/>
      <w:lang w:val="en-US" w:eastAsia="zh-CN"/>
    </w:rPr>
  </w:style>
  <w:style w:type="character" w:styleId="Hyperlink">
    <w:name w:val="Hyperlink"/>
    <w:rsid w:val="00462789"/>
    <w:rPr>
      <w:color w:val="0000FF"/>
      <w:u w:val="single"/>
    </w:rPr>
  </w:style>
  <w:style w:type="paragraph" w:customStyle="1" w:styleId="AU">
    <w:name w:val="AU"/>
    <w:basedOn w:val="Normal"/>
    <w:rsid w:val="00462789"/>
    <w:pPr>
      <w:suppressAutoHyphens w:val="0"/>
      <w:spacing w:before="120" w:after="120" w:line="240" w:lineRule="auto"/>
      <w:jc w:val="both"/>
    </w:pPr>
    <w:rPr>
      <w:rFonts w:ascii="Times New Roman" w:eastAsia="Times New Roman" w:hAnsi="Times New Roman"/>
      <w:color w:val="00823B"/>
      <w:sz w:val="32"/>
      <w:szCs w:val="24"/>
      <w:lang w:val="en-US" w:eastAsia="en-US"/>
    </w:rPr>
  </w:style>
  <w:style w:type="paragraph" w:customStyle="1" w:styleId="TEXT">
    <w:name w:val="TEXT"/>
    <w:basedOn w:val="Normal"/>
    <w:rsid w:val="00462789"/>
    <w:pPr>
      <w:suppressAutoHyphens w:val="0"/>
      <w:spacing w:after="0" w:line="240" w:lineRule="auto"/>
      <w:jc w:val="both"/>
    </w:pPr>
    <w:rPr>
      <w:rFonts w:ascii="Times New Roman" w:eastAsia="Times New Roman" w:hAnsi="Times New Roman"/>
      <w:sz w:val="24"/>
      <w:szCs w:val="24"/>
      <w:lang w:val="en-US" w:eastAsia="en-US"/>
    </w:rPr>
  </w:style>
  <w:style w:type="character" w:customStyle="1" w:styleId="FootnoteCharacters">
    <w:name w:val="Footnote Characters"/>
    <w:rsid w:val="00462789"/>
    <w:rPr>
      <w:vertAlign w:val="superscript"/>
    </w:rPr>
  </w:style>
  <w:style w:type="paragraph" w:styleId="ListParagraph">
    <w:name w:val="List Paragraph"/>
    <w:basedOn w:val="Normal"/>
    <w:uiPriority w:val="34"/>
    <w:qFormat/>
    <w:rsid w:val="00462789"/>
    <w:pPr>
      <w:ind w:left="720"/>
      <w:contextualSpacing/>
    </w:pPr>
  </w:style>
  <w:style w:type="paragraph" w:styleId="Header">
    <w:name w:val="header"/>
    <w:basedOn w:val="Normal"/>
    <w:link w:val="HeaderChar"/>
    <w:uiPriority w:val="99"/>
    <w:unhideWhenUsed/>
    <w:rsid w:val="002A3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B08"/>
    <w:rPr>
      <w:rFonts w:ascii="Calibri" w:eastAsia="SimSun" w:hAnsi="Calibri" w:cs="Times New Roman"/>
      <w:lang w:val="hu-HU" w:eastAsia="zh-CN"/>
    </w:rPr>
  </w:style>
  <w:style w:type="paragraph" w:styleId="Footer">
    <w:name w:val="footer"/>
    <w:basedOn w:val="Normal"/>
    <w:link w:val="FooterChar"/>
    <w:uiPriority w:val="99"/>
    <w:unhideWhenUsed/>
    <w:rsid w:val="002A3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B08"/>
    <w:rPr>
      <w:rFonts w:ascii="Calibri" w:eastAsia="SimSun" w:hAnsi="Calibri" w:cs="Times New Roman"/>
      <w:lang w:val="hu-H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nemet@uni-miskolc.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B07E-E1B9-44E6-9B48-7FDFABD8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Mahitha</dc:creator>
  <cp:keywords/>
  <dc:description/>
  <cp:lastModifiedBy>Mahitha </cp:lastModifiedBy>
  <cp:revision>19</cp:revision>
  <dcterms:created xsi:type="dcterms:W3CDTF">2021-02-28T11:08:00Z</dcterms:created>
  <dcterms:modified xsi:type="dcterms:W3CDTF">2021-05-10T12:20:00Z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http://www.zotero.org/styles/arabian-journal-of-chemistry</vt:lpwstr>
  </property>
  <property fmtid="{D5CDD505-2E9C-101B-9397-08002B2CF9AE}" pid="5" name="Mendeley Recent Style Name 1_1">
    <vt:lpwstr>Arabian Journal of Chemistry</vt:lpwstr>
  </property>
  <property fmtid="{D5CDD505-2E9C-101B-9397-08002B2CF9AE}" pid="6" name="Mendeley Recent Style Id 2_1">
    <vt:lpwstr>http://www.zotero.org/styles/carbon</vt:lpwstr>
  </property>
  <property fmtid="{D5CDD505-2E9C-101B-9397-08002B2CF9AE}" pid="7" name="Mendeley Recent Style Name 2_1">
    <vt:lpwstr>Carbon</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http://www.zotero.org/styles/materials-and-design</vt:lpwstr>
  </property>
  <property fmtid="{D5CDD505-2E9C-101B-9397-08002B2CF9AE}" pid="11" name="Mendeley Recent Style Name 4_1">
    <vt:lpwstr>Materials &amp; Design</vt:lpwstr>
  </property>
  <property fmtid="{D5CDD505-2E9C-101B-9397-08002B2CF9AE}" pid="12" name="Mendeley Recent Style Id 5_1">
    <vt:lpwstr>http://www.zotero.org/styles/microporous-and-mesoporous-materials</vt:lpwstr>
  </property>
  <property fmtid="{D5CDD505-2E9C-101B-9397-08002B2CF9AE}" pid="13" name="Mendeley Recent Style Name 5_1">
    <vt:lpwstr>Microporous and Mesoporous Materials</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http://www.zotero.org/styles/nano-micro-letters</vt:lpwstr>
  </property>
  <property fmtid="{D5CDD505-2E9C-101B-9397-08002B2CF9AE}" pid="17" name="Mendeley Recent Style Name 7_1">
    <vt:lpwstr>Nano-Micro Letters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http://www.zotero.org/styles/royal-society-open-science</vt:lpwstr>
  </property>
  <property fmtid="{D5CDD505-2E9C-101B-9397-08002B2CF9AE}" pid="21" name="Mendeley Recent Style Name 9_1">
    <vt:lpwstr>Royal Society Open Science</vt:lpwstr>
  </property>
  <property fmtid="{D5CDD505-2E9C-101B-9397-08002B2CF9AE}" pid="22" name="Mendeley Document_1">
    <vt:lpwstr>True</vt:lpwstr>
  </property>
  <property fmtid="{D5CDD505-2E9C-101B-9397-08002B2CF9AE}" pid="23" name="Mendeley Unique User Id_1">
    <vt:lpwstr>48552cf8-8a1d-3635-a392-7d41d8fbe536</vt:lpwstr>
  </property>
  <property fmtid="{D5CDD505-2E9C-101B-9397-08002B2CF9AE}" pid="24" name="Mendeley Citation Style_1">
    <vt:lpwstr>http://www.zotero.org/styles/arabian-journal-of-chemistry</vt:lpwstr>
  </property>
</Properties>
</file>