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F106" w14:textId="30B11368" w:rsidR="0034064F" w:rsidRPr="0034064F" w:rsidRDefault="0034064F" w:rsidP="0034064F">
      <w:pPr>
        <w:spacing w:line="480" w:lineRule="auto"/>
        <w:jc w:val="both"/>
        <w:rPr>
          <w:rFonts w:ascii="Calibri" w:eastAsia="Calibri" w:hAnsi="Calibri" w:cs="Arial"/>
          <w:sz w:val="24"/>
          <w:szCs w:val="24"/>
        </w:rPr>
      </w:pPr>
      <w:r w:rsidRPr="0034064F">
        <w:rPr>
          <w:rFonts w:ascii="Calibri" w:eastAsia="Calibri" w:hAnsi="Calibri" w:cs="Arial"/>
          <w:sz w:val="24"/>
          <w:szCs w:val="24"/>
        </w:rPr>
        <w:t xml:space="preserve">Figure </w:t>
      </w:r>
      <w:r>
        <w:rPr>
          <w:rFonts w:ascii="Calibri" w:eastAsia="Calibri" w:hAnsi="Calibri" w:cs="Arial"/>
          <w:sz w:val="24"/>
          <w:szCs w:val="24"/>
        </w:rPr>
        <w:t>SI-1</w:t>
      </w:r>
      <w:r w:rsidRPr="0034064F">
        <w:rPr>
          <w:rFonts w:ascii="Calibri" w:eastAsia="Calibri" w:hAnsi="Calibri" w:cs="Arial"/>
          <w:sz w:val="24"/>
          <w:szCs w:val="24"/>
        </w:rPr>
        <w:t xml:space="preserve">a shows the </w:t>
      </w:r>
      <w:r>
        <w:rPr>
          <w:rFonts w:ascii="Calibri" w:eastAsia="Calibri" w:hAnsi="Calibri" w:cs="Arial"/>
          <w:sz w:val="24"/>
          <w:szCs w:val="24"/>
        </w:rPr>
        <w:t>UV</w:t>
      </w:r>
      <w:r w:rsidRPr="0034064F">
        <w:rPr>
          <w:rFonts w:ascii="Calibri" w:eastAsia="Calibri" w:hAnsi="Calibri" w:cs="Arial"/>
          <w:sz w:val="24"/>
          <w:szCs w:val="24"/>
        </w:rPr>
        <w:t xml:space="preserve">-visible spectra of </w:t>
      </w:r>
      <w:r w:rsidRPr="0034064F">
        <w:rPr>
          <w:rFonts w:ascii="Calibri" w:eastAsia="Calibri" w:hAnsi="Calibri" w:cs="Arial"/>
          <w:i/>
          <w:iCs/>
          <w:sz w:val="24"/>
          <w:szCs w:val="24"/>
        </w:rPr>
        <w:t>o-</w:t>
      </w:r>
      <w:r w:rsidRPr="0034064F">
        <w:rPr>
          <w:rFonts w:ascii="Calibri" w:eastAsia="Calibri" w:hAnsi="Calibri" w:cs="Arial"/>
          <w:sz w:val="24"/>
          <w:szCs w:val="24"/>
        </w:rPr>
        <w:t>NP aqueous solution before and after addition of NaBH</w:t>
      </w:r>
      <w:r w:rsidRPr="0034064F">
        <w:rPr>
          <w:rFonts w:ascii="Calibri" w:eastAsia="Calibri" w:hAnsi="Calibri" w:cs="Arial"/>
          <w:sz w:val="24"/>
          <w:szCs w:val="24"/>
          <w:vertAlign w:val="subscript"/>
        </w:rPr>
        <w:t>4</w:t>
      </w:r>
      <w:r w:rsidRPr="0034064F">
        <w:rPr>
          <w:rFonts w:ascii="Calibri" w:eastAsia="Calibri" w:hAnsi="Calibri" w:cs="Arial"/>
          <w:sz w:val="24"/>
          <w:szCs w:val="24"/>
        </w:rPr>
        <w:t xml:space="preserve">. The spectrum of </w:t>
      </w:r>
      <w:r w:rsidRPr="0034064F">
        <w:rPr>
          <w:rFonts w:ascii="Calibri" w:eastAsia="Calibri" w:hAnsi="Calibri" w:cs="Arial"/>
          <w:i/>
          <w:iCs/>
          <w:sz w:val="24"/>
          <w:szCs w:val="24"/>
        </w:rPr>
        <w:t>o</w:t>
      </w:r>
      <w:r w:rsidRPr="0034064F">
        <w:rPr>
          <w:rFonts w:ascii="Calibri" w:eastAsia="Calibri" w:hAnsi="Calibri" w:cs="Arial"/>
          <w:sz w:val="24"/>
          <w:szCs w:val="24"/>
        </w:rPr>
        <w:t xml:space="preserve">-NP solution without </w:t>
      </w:r>
      <w:bookmarkStart w:id="0" w:name="_Hlk44224377"/>
      <w:r w:rsidRPr="0034064F">
        <w:rPr>
          <w:rFonts w:ascii="Calibri" w:eastAsia="Calibri" w:hAnsi="Calibri" w:cs="Arial"/>
          <w:sz w:val="24"/>
          <w:szCs w:val="24"/>
        </w:rPr>
        <w:t>NaBH</w:t>
      </w:r>
      <w:r w:rsidRPr="0034064F">
        <w:rPr>
          <w:rFonts w:ascii="Calibri" w:eastAsia="Calibri" w:hAnsi="Calibri" w:cs="Arial"/>
          <w:sz w:val="24"/>
          <w:szCs w:val="24"/>
          <w:vertAlign w:val="subscript"/>
        </w:rPr>
        <w:t>4</w:t>
      </w:r>
      <w:bookmarkEnd w:id="0"/>
      <w:r w:rsidRPr="0034064F">
        <w:rPr>
          <w:rFonts w:ascii="Calibri" w:eastAsia="Calibri" w:hAnsi="Calibri" w:cs="Arial"/>
          <w:sz w:val="24"/>
          <w:szCs w:val="24"/>
        </w:rPr>
        <w:t xml:space="preserve"> has two peaks at 280 and 350nm, </w:t>
      </w:r>
      <w:r>
        <w:rPr>
          <w:rFonts w:ascii="Calibri" w:eastAsia="Calibri" w:hAnsi="Calibri" w:cs="Arial"/>
          <w:sz w:val="24"/>
          <w:szCs w:val="24"/>
        </w:rPr>
        <w:t>which</w:t>
      </w:r>
      <w:r w:rsidRPr="0034064F">
        <w:rPr>
          <w:rFonts w:ascii="Calibri" w:eastAsia="Calibri" w:hAnsi="Calibri" w:cs="Arial"/>
          <w:sz w:val="24"/>
          <w:szCs w:val="24"/>
        </w:rPr>
        <w:t xml:space="preserve"> rearranged to the new positions of 283 and 415nm</w:t>
      </w:r>
      <w:r>
        <w:rPr>
          <w:rFonts w:ascii="Calibri" w:eastAsia="Calibri" w:hAnsi="Calibri" w:cs="Arial"/>
          <w:sz w:val="24"/>
          <w:szCs w:val="24"/>
        </w:rPr>
        <w:t>, respectively</w:t>
      </w:r>
      <w:r w:rsidRPr="0034064F">
        <w:rPr>
          <w:rFonts w:ascii="Calibri" w:eastAsia="Calibri" w:hAnsi="Calibri" w:cs="Arial"/>
          <w:sz w:val="24"/>
          <w:szCs w:val="24"/>
        </w:rPr>
        <w:t xml:space="preserve">. Similarly, the spectrum of </w:t>
      </w:r>
      <w:r w:rsidRPr="0034064F">
        <w:rPr>
          <w:rFonts w:ascii="Calibri" w:eastAsia="Calibri" w:hAnsi="Calibri" w:cs="Arial"/>
          <w:i/>
          <w:iCs/>
          <w:sz w:val="24"/>
          <w:szCs w:val="24"/>
        </w:rPr>
        <w:t>p</w:t>
      </w:r>
      <w:r w:rsidRPr="0034064F">
        <w:rPr>
          <w:rFonts w:ascii="Calibri" w:eastAsia="Calibri" w:hAnsi="Calibri" w:cs="Arial"/>
          <w:sz w:val="24"/>
          <w:szCs w:val="24"/>
        </w:rPr>
        <w:t>-NP solution without NaBH</w:t>
      </w:r>
      <w:r w:rsidRPr="0034064F">
        <w:rPr>
          <w:rFonts w:ascii="Calibri" w:eastAsia="Calibri" w:hAnsi="Calibri" w:cs="Arial"/>
          <w:sz w:val="24"/>
          <w:szCs w:val="24"/>
          <w:vertAlign w:val="subscript"/>
        </w:rPr>
        <w:t>4</w:t>
      </w:r>
      <w:r w:rsidRPr="0034064F">
        <w:rPr>
          <w:rFonts w:ascii="Calibri" w:eastAsia="Calibri" w:hAnsi="Calibri" w:cs="Arial"/>
          <w:sz w:val="24"/>
          <w:szCs w:val="24"/>
        </w:rPr>
        <w:t xml:space="preserve"> has a peak at 317nm. This peak completely </w:t>
      </w:r>
      <w:proofErr w:type="gramStart"/>
      <w:r w:rsidRPr="0034064F">
        <w:rPr>
          <w:rFonts w:ascii="Calibri" w:eastAsia="Calibri" w:hAnsi="Calibri" w:cs="Arial"/>
          <w:sz w:val="24"/>
          <w:szCs w:val="24"/>
        </w:rPr>
        <w:t>vanished</w:t>
      </w:r>
      <w:proofErr w:type="gramEnd"/>
      <w:r w:rsidRPr="0034064F">
        <w:rPr>
          <w:rFonts w:ascii="Calibri" w:eastAsia="Calibri" w:hAnsi="Calibri" w:cs="Arial"/>
          <w:sz w:val="24"/>
          <w:szCs w:val="24"/>
        </w:rPr>
        <w:t xml:space="preserve"> and a single broad peak was there at 400 nm in the UV-vis spectrum recorded from </w:t>
      </w:r>
      <w:r w:rsidRPr="0034064F">
        <w:rPr>
          <w:rFonts w:ascii="Calibri" w:eastAsia="Calibri" w:hAnsi="Calibri" w:cs="Arial"/>
          <w:i/>
          <w:iCs/>
          <w:sz w:val="24"/>
          <w:szCs w:val="24"/>
        </w:rPr>
        <w:t>p</w:t>
      </w:r>
      <w:r w:rsidRPr="0034064F">
        <w:rPr>
          <w:rFonts w:ascii="Calibri" w:eastAsia="Calibri" w:hAnsi="Calibri" w:cs="Arial"/>
          <w:sz w:val="24"/>
          <w:szCs w:val="24"/>
        </w:rPr>
        <w:t>-NP solution with NaBH</w:t>
      </w:r>
      <w:r w:rsidRPr="0034064F">
        <w:rPr>
          <w:rFonts w:ascii="Calibri" w:eastAsia="Calibri" w:hAnsi="Calibri" w:cs="Arial"/>
          <w:sz w:val="24"/>
          <w:szCs w:val="24"/>
          <w:vertAlign w:val="subscript"/>
        </w:rPr>
        <w:t>4</w:t>
      </w:r>
      <w:r w:rsidRPr="0034064F">
        <w:rPr>
          <w:rFonts w:ascii="Calibri" w:eastAsia="Calibri" w:hAnsi="Calibri" w:cs="Arial"/>
          <w:sz w:val="24"/>
          <w:szCs w:val="24"/>
        </w:rPr>
        <w:t xml:space="preserve">. Next, the </w:t>
      </w:r>
      <w:r w:rsidRPr="0034064F">
        <w:rPr>
          <w:rFonts w:ascii="Calibri" w:eastAsia="Calibri" w:hAnsi="Calibri" w:cs="Arial"/>
          <w:i/>
          <w:iCs/>
          <w:sz w:val="24"/>
          <w:szCs w:val="24"/>
        </w:rPr>
        <w:t>o-</w:t>
      </w:r>
      <w:r w:rsidRPr="0034064F">
        <w:rPr>
          <w:rFonts w:ascii="Calibri" w:eastAsia="Calibri" w:hAnsi="Calibri" w:cs="Arial"/>
          <w:sz w:val="24"/>
          <w:szCs w:val="24"/>
        </w:rPr>
        <w:t xml:space="preserve">NP and </w:t>
      </w:r>
      <w:r w:rsidRPr="0034064F">
        <w:rPr>
          <w:rFonts w:ascii="Calibri" w:eastAsia="Calibri" w:hAnsi="Calibri" w:cs="Arial"/>
          <w:i/>
          <w:iCs/>
          <w:sz w:val="24"/>
          <w:szCs w:val="24"/>
        </w:rPr>
        <w:t>p</w:t>
      </w:r>
      <w:r w:rsidRPr="0034064F">
        <w:rPr>
          <w:rFonts w:ascii="Calibri" w:eastAsia="Calibri" w:hAnsi="Calibri" w:cs="Arial"/>
          <w:sz w:val="24"/>
          <w:szCs w:val="24"/>
        </w:rPr>
        <w:t>-NP mixed with NaBH</w:t>
      </w:r>
      <w:r w:rsidRPr="0034064F">
        <w:rPr>
          <w:rFonts w:ascii="Calibri" w:eastAsia="Calibri" w:hAnsi="Calibri" w:cs="Arial"/>
          <w:sz w:val="24"/>
          <w:szCs w:val="24"/>
          <w:vertAlign w:val="subscript"/>
        </w:rPr>
        <w:t>4</w:t>
      </w:r>
      <w:r w:rsidRPr="0034064F">
        <w:rPr>
          <w:rFonts w:ascii="Calibri" w:eastAsia="Calibri" w:hAnsi="Calibri" w:cs="Arial"/>
          <w:sz w:val="24"/>
          <w:szCs w:val="24"/>
        </w:rPr>
        <w:t xml:space="preserve"> solutions were monitored constantly by spectrophotometer in the presence of pure CC. Figure </w:t>
      </w:r>
      <w:r>
        <w:rPr>
          <w:rFonts w:ascii="Calibri" w:eastAsia="Calibri" w:hAnsi="Calibri" w:cs="Arial"/>
          <w:sz w:val="24"/>
          <w:szCs w:val="24"/>
        </w:rPr>
        <w:t xml:space="preserve">SI-1c </w:t>
      </w:r>
      <w:r w:rsidRPr="0034064F">
        <w:rPr>
          <w:rFonts w:ascii="Calibri" w:eastAsia="Calibri" w:hAnsi="Calibri" w:cs="Arial"/>
          <w:sz w:val="24"/>
          <w:szCs w:val="24"/>
        </w:rPr>
        <w:t>and d show the UV-vis spectra of the two solutions. Merely, a slight change could be observed in the peaks. This evidently suggests that the pure CC has no catalytic activity for reduction of both the nitrophenols.</w:t>
      </w:r>
    </w:p>
    <w:p w14:paraId="02F76C1E" w14:textId="77777777" w:rsidR="0034064F" w:rsidRPr="0034064F" w:rsidRDefault="0034064F" w:rsidP="0034064F">
      <w:pPr>
        <w:keepNext/>
        <w:spacing w:line="480" w:lineRule="auto"/>
        <w:ind w:left="27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4064F">
        <w:rPr>
          <w:rFonts w:ascii="Calibri" w:eastAsia="Calibri" w:hAnsi="Calibri" w:cs="Arial"/>
          <w:noProof/>
          <w:sz w:val="24"/>
          <w:szCs w:val="24"/>
        </w:rPr>
        <w:drawing>
          <wp:inline distT="0" distB="0" distL="0" distR="0" wp14:anchorId="11C31F2C" wp14:editId="00BD0FFB">
            <wp:extent cx="5108331" cy="3968923"/>
            <wp:effectExtent l="0" t="0" r="0" b="0"/>
            <wp:docPr id="8" name="Picture 8" descr="Chart, line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28" cy="399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08ACE" w14:textId="40BBB827" w:rsidR="0047261D" w:rsidRDefault="0034064F" w:rsidP="00CE106D">
      <w:pPr>
        <w:spacing w:after="200" w:line="480" w:lineRule="auto"/>
        <w:jc w:val="both"/>
      </w:pPr>
      <w:r w:rsidRPr="0034064F">
        <w:rPr>
          <w:rFonts w:ascii="Calibri" w:eastAsia="Calibri" w:hAnsi="Calibri" w:cs="Arial"/>
          <w:i/>
          <w:iCs/>
          <w:sz w:val="24"/>
          <w:szCs w:val="24"/>
        </w:rPr>
        <w:t>Figure</w:t>
      </w:r>
      <w:r>
        <w:rPr>
          <w:rFonts w:ascii="Calibri" w:eastAsia="Calibri" w:hAnsi="Calibri" w:cs="Arial"/>
          <w:i/>
          <w:iCs/>
          <w:sz w:val="24"/>
          <w:szCs w:val="24"/>
        </w:rPr>
        <w:t xml:space="preserve"> SI-1</w:t>
      </w:r>
      <w:r w:rsidRPr="0034064F">
        <w:rPr>
          <w:rFonts w:ascii="Calibri" w:eastAsia="Calibri" w:hAnsi="Calibri" w:cs="Arial"/>
          <w:i/>
          <w:iCs/>
          <w:sz w:val="24"/>
          <w:szCs w:val="24"/>
        </w:rPr>
        <w:t>. Effect of addition of NaBH</w:t>
      </w:r>
      <w:r w:rsidRPr="0034064F">
        <w:rPr>
          <w:rFonts w:ascii="Calibri" w:eastAsia="Calibri" w:hAnsi="Calibri" w:cs="Arial"/>
          <w:i/>
          <w:iCs/>
          <w:sz w:val="24"/>
          <w:szCs w:val="24"/>
          <w:vertAlign w:val="subscript"/>
        </w:rPr>
        <w:t>4</w:t>
      </w:r>
      <w:r w:rsidRPr="0034064F">
        <w:rPr>
          <w:rFonts w:ascii="Calibri" w:eastAsia="Calibri" w:hAnsi="Calibri" w:cs="Arial"/>
          <w:i/>
          <w:iCs/>
          <w:sz w:val="24"/>
          <w:szCs w:val="24"/>
        </w:rPr>
        <w:t xml:space="preserve"> to the (</w:t>
      </w:r>
      <w:proofErr w:type="spellStart"/>
      <w:proofErr w:type="gramStart"/>
      <w:r w:rsidRPr="0034064F">
        <w:rPr>
          <w:rFonts w:ascii="Calibri" w:eastAsia="Calibri" w:hAnsi="Calibri" w:cs="Arial"/>
          <w:i/>
          <w:iCs/>
          <w:sz w:val="24"/>
          <w:szCs w:val="24"/>
        </w:rPr>
        <w:t>a,b</w:t>
      </w:r>
      <w:proofErr w:type="spellEnd"/>
      <w:proofErr w:type="gramEnd"/>
      <w:r w:rsidRPr="0034064F">
        <w:rPr>
          <w:rFonts w:ascii="Calibri" w:eastAsia="Calibri" w:hAnsi="Calibri" w:cs="Arial"/>
          <w:i/>
          <w:iCs/>
          <w:sz w:val="24"/>
          <w:szCs w:val="24"/>
        </w:rPr>
        <w:t>) nitrophenols on their UV-visible spectra and (</w:t>
      </w:r>
      <w:proofErr w:type="spellStart"/>
      <w:r w:rsidRPr="0034064F">
        <w:rPr>
          <w:rFonts w:ascii="Calibri" w:eastAsia="Calibri" w:hAnsi="Calibri" w:cs="Arial"/>
          <w:i/>
          <w:iCs/>
          <w:sz w:val="24"/>
          <w:szCs w:val="24"/>
        </w:rPr>
        <w:t>c,d</w:t>
      </w:r>
      <w:proofErr w:type="spellEnd"/>
      <w:r w:rsidRPr="0034064F">
        <w:rPr>
          <w:rFonts w:ascii="Calibri" w:eastAsia="Calibri" w:hAnsi="Calibri" w:cs="Arial"/>
          <w:i/>
          <w:iCs/>
          <w:sz w:val="24"/>
          <w:szCs w:val="24"/>
        </w:rPr>
        <w:t>) progress of reactions in the presence of a bare-CC catalyst.</w:t>
      </w:r>
    </w:p>
    <w:sectPr w:rsidR="00472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87"/>
    <w:rsid w:val="00181D23"/>
    <w:rsid w:val="00291A87"/>
    <w:rsid w:val="002A3C20"/>
    <w:rsid w:val="0034064F"/>
    <w:rsid w:val="0047261D"/>
    <w:rsid w:val="00CE106D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E33D"/>
  <w15:chartTrackingRefBased/>
  <w15:docId w15:val="{00D95C2D-20DC-40F2-9B7C-CF9F59E3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Kamal</dc:creator>
  <cp:keywords/>
  <dc:description/>
  <cp:lastModifiedBy>Tahseen Kamal</cp:lastModifiedBy>
  <cp:revision>3</cp:revision>
  <dcterms:created xsi:type="dcterms:W3CDTF">2021-07-04T16:57:00Z</dcterms:created>
  <dcterms:modified xsi:type="dcterms:W3CDTF">2021-07-05T14:23:00Z</dcterms:modified>
</cp:coreProperties>
</file>