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A5" w:rsidRPr="00F94455" w:rsidRDefault="00DB258D" w:rsidP="00DB43A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3A5" w:rsidRPr="00F94455">
        <w:rPr>
          <w:rFonts w:ascii="Times New Roman" w:hAnsi="Times New Roman" w:cs="Times New Roman"/>
          <w:b/>
          <w:bCs/>
          <w:sz w:val="24"/>
          <w:szCs w:val="24"/>
        </w:rPr>
        <w:t>Synergy Effect of Nitrogen and Molybdenum on Activated Carbon Matrix for Selective Adsorptive Desulfurization:  Insights into Surface Chemistry Modification</w:t>
      </w:r>
    </w:p>
    <w:p w:rsidR="00DB43A5" w:rsidRPr="00F94455" w:rsidRDefault="00DB43A5" w:rsidP="00DB43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>Musa O. Azeez, Abdulkadir Tanimu, Khalid Alhooshani, Saheed A. Ganiyu</w:t>
      </w:r>
      <w:r w:rsidRPr="00F944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F944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43A5" w:rsidRPr="00F94455" w:rsidRDefault="00DB43A5" w:rsidP="00DB43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>Department of Chemistry, King Fahd University of Petroleum &amp; Minerals, 31261, Dhahran, Saudi Arabia.</w:t>
      </w:r>
    </w:p>
    <w:p w:rsidR="00DB43A5" w:rsidRPr="00F94455" w:rsidRDefault="00DB43A5" w:rsidP="007E50E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B0194" w:rsidRPr="00F94455" w:rsidRDefault="00273FD3" w:rsidP="007E50E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Theme="majorBidi" w:hAnsiTheme="majorBidi" w:cstheme="majorBidi"/>
          <w:b/>
          <w:bCs/>
          <w:sz w:val="24"/>
          <w:szCs w:val="24"/>
        </w:rPr>
        <w:t>Supplementary Information</w:t>
      </w: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Theme="majorBidi" w:hAnsiTheme="majorBidi" w:cstheme="majorBidi"/>
          <w:b/>
          <w:bCs/>
          <w:sz w:val="24"/>
          <w:szCs w:val="24"/>
        </w:rPr>
        <w:t>EDX analysis of adsorbents</w:t>
      </w: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noProof/>
          <w:lang w:val="en-IN" w:eastAsia="en-IN"/>
        </w:rPr>
        <w:drawing>
          <wp:inline distT="0" distB="0" distL="0" distR="0" wp14:anchorId="3540252B" wp14:editId="78DEC094">
            <wp:extent cx="5943600" cy="3738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3E" w:rsidRPr="00F94455" w:rsidRDefault="00CA7B3E" w:rsidP="00CA7B3E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Theme="majorBidi" w:hAnsiTheme="majorBidi" w:cstheme="majorBidi"/>
          <w:b/>
          <w:bCs/>
          <w:sz w:val="24"/>
          <w:szCs w:val="24"/>
        </w:rPr>
        <w:t>Fig. SI-1:  EDS images of (a) AC (b) AC-N (c) AC-N-Mo and (d) AC-Mo</w:t>
      </w:r>
    </w:p>
    <w:p w:rsidR="00CA7B3E" w:rsidRPr="00F94455" w:rsidRDefault="00CA7B3E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2868" w:rsidRPr="00F94455" w:rsidRDefault="00CA7B3E" w:rsidP="00E32868">
      <w:pPr>
        <w:spacing w:line="240" w:lineRule="auto"/>
        <w:rPr>
          <w:rFonts w:ascii="Times New Roman" w:hAnsi="Times New Roman" w:cs="Times New Roman"/>
          <w:b/>
        </w:rPr>
      </w:pPr>
      <w:r w:rsidRPr="00F94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 SI-1</w:t>
      </w:r>
      <w:r w:rsidR="00E32868" w:rsidRPr="00F94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="00E32868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Surface atomic percent of elements present in modified carbon.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86"/>
        <w:gridCol w:w="711"/>
        <w:gridCol w:w="601"/>
        <w:gridCol w:w="602"/>
        <w:gridCol w:w="725"/>
        <w:gridCol w:w="725"/>
        <w:gridCol w:w="725"/>
        <w:gridCol w:w="725"/>
        <w:gridCol w:w="711"/>
        <w:gridCol w:w="773"/>
        <w:gridCol w:w="773"/>
        <w:gridCol w:w="773"/>
      </w:tblGrid>
      <w:tr w:rsidR="00E32868" w:rsidRPr="00F94455" w:rsidTr="00D44815"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States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C1s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C1s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N1s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N1s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N1s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O1s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O1s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O1s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O1s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Mod3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Mod3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Mod3</w:t>
            </w:r>
          </w:p>
        </w:tc>
      </w:tr>
      <w:tr w:rsidR="00E32868" w:rsidRPr="00F94455" w:rsidTr="00D44815"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94455">
              <w:rPr>
                <w:rFonts w:ascii="Times New Roman" w:hAnsi="Times New Roman" w:cs="Times New Roman"/>
                <w:b/>
              </w:rPr>
              <w:t>BE (eV)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284.5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283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396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398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401.6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530.2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530.8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530.9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531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227.8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230.8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233</w:t>
            </w:r>
          </w:p>
        </w:tc>
      </w:tr>
      <w:tr w:rsidR="00E32868" w:rsidRPr="00F94455" w:rsidTr="00D44815">
        <w:tc>
          <w:tcPr>
            <w:tcW w:w="1170" w:type="dxa"/>
            <w:tcBorders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AC-N</w:t>
            </w: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23.7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33.66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3.33</w:t>
            </w:r>
          </w:p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39.31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3" w:type="dxa"/>
            <w:tcBorders>
              <w:left w:val="nil"/>
              <w:bottom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32868" w:rsidRPr="00F94455" w:rsidTr="00D44815">
        <w:tc>
          <w:tcPr>
            <w:tcW w:w="1170" w:type="dxa"/>
            <w:tcBorders>
              <w:top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55">
              <w:rPr>
                <w:rFonts w:ascii="Times New Roman" w:hAnsi="Times New Roman" w:cs="Times New Roman"/>
                <w:b/>
                <w:bCs/>
              </w:rPr>
              <w:t>AC-N-Mo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16.89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32.83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1.97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0.93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0.28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46.8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0.18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0.09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E32868" w:rsidRPr="00F94455" w:rsidRDefault="00E32868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455">
              <w:rPr>
                <w:rFonts w:ascii="Times New Roman" w:hAnsi="Times New Roman" w:cs="Times New Roman"/>
                <w:bCs/>
              </w:rPr>
              <w:t>0.03</w:t>
            </w:r>
          </w:p>
        </w:tc>
      </w:tr>
    </w:tbl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A7B3E" w:rsidRPr="00F94455" w:rsidRDefault="00CA7B3E" w:rsidP="00E328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Theme="majorBidi" w:hAnsiTheme="majorBidi" w:cstheme="majorBidi"/>
          <w:b/>
          <w:bCs/>
          <w:sz w:val="24"/>
          <w:szCs w:val="24"/>
        </w:rPr>
        <w:t>NH</w:t>
      </w:r>
      <w:r w:rsidRPr="00F9445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F94455">
        <w:rPr>
          <w:rFonts w:asciiTheme="majorBidi" w:hAnsiTheme="majorBidi" w:cstheme="majorBidi"/>
          <w:b/>
          <w:bCs/>
          <w:sz w:val="24"/>
          <w:szCs w:val="24"/>
        </w:rPr>
        <w:t>-TPD analysis of sorbents</w:t>
      </w:r>
    </w:p>
    <w:p w:rsidR="00CA7B3E" w:rsidRPr="00F94455" w:rsidRDefault="00CA7B3E" w:rsidP="00345D3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148EE56E" wp14:editId="49046395">
            <wp:extent cx="4145280" cy="3641397"/>
            <wp:effectExtent l="0" t="0" r="762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8" t="9940" r="12465" b="3153"/>
                    <a:stretch/>
                  </pic:blipFill>
                  <pic:spPr bwMode="auto">
                    <a:xfrm>
                      <a:off x="0" y="0"/>
                      <a:ext cx="4171719" cy="366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D39" w:rsidRPr="00F94455" w:rsidRDefault="00345D39" w:rsidP="00D8360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455">
        <w:rPr>
          <w:rFonts w:ascii="Times New Roman" w:hAnsi="Times New Roman" w:cs="Times New Roman"/>
          <w:b/>
          <w:bCs/>
          <w:sz w:val="24"/>
          <w:szCs w:val="24"/>
        </w:rPr>
        <w:t>Fig. SI-2:  Surface acidity by ammonia-temperature-programmed desorption (NH</w:t>
      </w:r>
      <w:r w:rsidRPr="00F9445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F94455">
        <w:rPr>
          <w:rFonts w:ascii="Times New Roman" w:hAnsi="Times New Roman" w:cs="Times New Roman"/>
          <w:b/>
          <w:bCs/>
          <w:sz w:val="24"/>
          <w:szCs w:val="24"/>
        </w:rPr>
        <w:t>-TPD) of adsorbents (A) AC (B) AC-N (C) AC-N-Mo and (D) AC-Mo</w:t>
      </w:r>
    </w:p>
    <w:p w:rsidR="00345D39" w:rsidRPr="00F94455" w:rsidRDefault="00345D39" w:rsidP="00D8360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5D39" w:rsidRPr="00F94455" w:rsidRDefault="00345D39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5D39" w:rsidRPr="00F94455" w:rsidRDefault="00345D39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5D39" w:rsidRPr="00F94455" w:rsidRDefault="00345D39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5D39" w:rsidRPr="00F94455" w:rsidRDefault="00345D39" w:rsidP="00345D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4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SI-2:   </w:t>
      </w:r>
      <w:r w:rsidRPr="00F94455">
        <w:rPr>
          <w:rFonts w:ascii="Times New Roman" w:hAnsi="Times New Roman" w:cs="Times New Roman"/>
          <w:b/>
          <w:sz w:val="24"/>
          <w:szCs w:val="24"/>
        </w:rPr>
        <w:t>NH</w:t>
      </w:r>
      <w:r w:rsidRPr="00F9445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94455">
        <w:rPr>
          <w:rFonts w:ascii="Times New Roman" w:hAnsi="Times New Roman" w:cs="Times New Roman"/>
          <w:b/>
          <w:sz w:val="24"/>
          <w:szCs w:val="24"/>
        </w:rPr>
        <w:t>-TPD of the adsorbents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5D39" w:rsidRPr="00F94455" w:rsidTr="00D44815">
        <w:tc>
          <w:tcPr>
            <w:tcW w:w="3116" w:type="dxa"/>
            <w:tcBorders>
              <w:left w:val="nil"/>
              <w:bottom w:val="single" w:sz="4" w:space="0" w:color="auto"/>
              <w:right w:val="nil"/>
            </w:tcBorders>
          </w:tcPr>
          <w:p w:rsidR="00345D39" w:rsidRPr="00F94455" w:rsidRDefault="00345D39" w:rsidP="00D44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b/>
                <w:sz w:val="24"/>
                <w:szCs w:val="24"/>
              </w:rPr>
              <w:t>Adsorbents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:rsidR="00345D39" w:rsidRPr="00F94455" w:rsidRDefault="00345D39" w:rsidP="00D44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b/>
                <w:sz w:val="24"/>
                <w:szCs w:val="24"/>
              </w:rPr>
              <w:t>Temp. (s) (</w:t>
            </w:r>
            <w:r w:rsidRPr="00F944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F94455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</w:tcPr>
          <w:p w:rsidR="00345D39" w:rsidRPr="00F94455" w:rsidRDefault="00345D39" w:rsidP="00D44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b/>
                <w:sz w:val="24"/>
                <w:szCs w:val="24"/>
              </w:rPr>
              <w:t>Quantity (mmol/g at STP)</w:t>
            </w:r>
          </w:p>
        </w:tc>
      </w:tr>
      <w:tr w:rsidR="00345D39" w:rsidRPr="00F94455" w:rsidTr="00D44815">
        <w:tc>
          <w:tcPr>
            <w:tcW w:w="3116" w:type="dxa"/>
            <w:tcBorders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410, 844</w:t>
            </w: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4.67, 0.31</w:t>
            </w:r>
          </w:p>
        </w:tc>
      </w:tr>
      <w:tr w:rsidR="00345D39" w:rsidRPr="00F94455" w:rsidTr="00D44815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AC-N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345D39" w:rsidRPr="00F94455" w:rsidTr="00D44815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AC-N-Mo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421, 856</w:t>
            </w:r>
            <w:r w:rsidR="00EA7721" w:rsidRPr="00F94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7721" w:rsidRPr="00F944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6.23, 1.84</w:t>
            </w:r>
          </w:p>
        </w:tc>
      </w:tr>
      <w:tr w:rsidR="00345D39" w:rsidRPr="00F94455" w:rsidTr="00D44815">
        <w:tc>
          <w:tcPr>
            <w:tcW w:w="3116" w:type="dxa"/>
            <w:tcBorders>
              <w:top w:val="nil"/>
              <w:left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AC-Mo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:rsidR="00345D39" w:rsidRPr="00F94455" w:rsidRDefault="00136CA1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 xml:space="preserve">214, </w:t>
            </w:r>
            <w:r w:rsidRPr="00F944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400</w:t>
            </w:r>
            <w:r w:rsidR="00345D39" w:rsidRPr="00F944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="00345D39" w:rsidRPr="00F94455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:rsidR="00345D39" w:rsidRPr="00F94455" w:rsidRDefault="00345D39" w:rsidP="00D448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5">
              <w:rPr>
                <w:rFonts w:ascii="Times New Roman" w:hAnsi="Times New Roman" w:cs="Times New Roman"/>
                <w:sz w:val="24"/>
                <w:szCs w:val="24"/>
              </w:rPr>
              <w:t>0.22, 2.59, 0.60</w:t>
            </w:r>
          </w:p>
        </w:tc>
      </w:tr>
    </w:tbl>
    <w:p w:rsidR="00E32868" w:rsidRPr="00F94455" w:rsidRDefault="00E32868" w:rsidP="00E328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E50E8" w:rsidRPr="00F94455" w:rsidRDefault="00DB43A5" w:rsidP="007E50E8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55">
        <w:rPr>
          <w:rFonts w:ascii="Times New Roman" w:hAnsi="Times New Roman" w:cs="Times New Roman"/>
          <w:b/>
          <w:sz w:val="24"/>
          <w:szCs w:val="24"/>
        </w:rPr>
        <w:t xml:space="preserve">Adsorption kinetics </w:t>
      </w:r>
    </w:p>
    <w:p w:rsidR="006D2A08" w:rsidRPr="00F94455" w:rsidRDefault="006A51F4" w:rsidP="009E6E9B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 xml:space="preserve">The </w:t>
      </w:r>
      <w:r w:rsidR="007E50E8" w:rsidRPr="00F94455">
        <w:rPr>
          <w:rFonts w:ascii="Times New Roman" w:hAnsi="Times New Roman" w:cs="Times New Roman"/>
          <w:sz w:val="24"/>
          <w:szCs w:val="24"/>
        </w:rPr>
        <w:t>Ps</w:t>
      </w:r>
      <w:r w:rsidR="006D2A08" w:rsidRPr="00F94455">
        <w:rPr>
          <w:rFonts w:ascii="Times New Roman" w:hAnsi="Times New Roman" w:cs="Times New Roman"/>
          <w:sz w:val="24"/>
          <w:szCs w:val="24"/>
        </w:rPr>
        <w:t xml:space="preserve">eudo-first order equation as given by Lagergren 1988 is as shown </w:t>
      </w:r>
      <w:r w:rsidR="001F420E" w:rsidRPr="00F94455">
        <w:rPr>
          <w:rFonts w:ascii="Times New Roman" w:hAnsi="Times New Roman" w:cs="Times New Roman"/>
          <w:sz w:val="24"/>
          <w:szCs w:val="24"/>
        </w:rPr>
        <w:t>in equation 3</w:t>
      </w:r>
      <w:r w:rsidR="00D91542" w:rsidRPr="00F94455">
        <w:rPr>
          <w:rFonts w:ascii="Times New Roman" w:hAnsi="Times New Roman" w:cs="Times New Roman"/>
          <w:sz w:val="24"/>
          <w:szCs w:val="24"/>
        </w:rPr>
        <w:t xml:space="preserve"> </w:t>
      </w:r>
      <w:r w:rsidR="006D2A08" w:rsidRPr="00F94455">
        <w:rPr>
          <w:rFonts w:ascii="Times New Roman" w:hAnsi="Times New Roman" w:cs="Times New Roman"/>
          <w:sz w:val="24"/>
          <w:szCs w:val="24"/>
        </w:rPr>
        <w:t>below.</w:t>
      </w:r>
    </w:p>
    <w:p w:rsidR="006D2A08" w:rsidRPr="00F94455" w:rsidRDefault="00F94455" w:rsidP="009E6E9B">
      <w:pPr>
        <w:tabs>
          <w:tab w:val="left" w:pos="2640"/>
        </w:tabs>
        <w:spacing w:before="240"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ln 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e 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func>
          <m:r>
            <w:rPr>
              <w:rFonts w:ascii="Cambria Math" w:hAnsi="Cambria Math" w:cs="Times New Roman"/>
              <w:sz w:val="24"/>
              <w:szCs w:val="24"/>
            </w:rPr>
            <m:t>)=ln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e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t……………3</m:t>
          </m:r>
        </m:oMath>
      </m:oMathPara>
    </w:p>
    <w:p w:rsidR="00273FD3" w:rsidRPr="00F94455" w:rsidRDefault="001733D6" w:rsidP="009E6E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e  </m:t>
            </m:r>
          </m:sub>
        </m:sSub>
      </m:oMath>
      <w:r w:rsidR="00DF3678" w:rsidRPr="00F94455">
        <w:rPr>
          <w:rFonts w:ascii="Times New Roman" w:eastAsiaTheme="minorEastAsia" w:hAnsi="Times New Roman" w:cs="Times New Roman"/>
          <w:sz w:val="24"/>
          <w:szCs w:val="24"/>
        </w:rPr>
        <w:t xml:space="preserve">(mg/g)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D2A08" w:rsidRPr="00F944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6D2A08" w:rsidRPr="00F94455">
        <w:rPr>
          <w:rFonts w:ascii="Times New Roman" w:hAnsi="Times New Roman" w:cs="Times New Roman"/>
          <w:sz w:val="24"/>
          <w:szCs w:val="24"/>
        </w:rPr>
        <w:t xml:space="preserve">(mg/g) denote </w:t>
      </w:r>
      <w:r w:rsidR="006A51F4" w:rsidRPr="00F94455">
        <w:rPr>
          <w:rFonts w:ascii="Times New Roman" w:hAnsi="Times New Roman" w:cs="Times New Roman"/>
          <w:sz w:val="24"/>
          <w:szCs w:val="24"/>
        </w:rPr>
        <w:t xml:space="preserve">the </w:t>
      </w:r>
      <w:r w:rsidR="006D2A08" w:rsidRPr="00F94455">
        <w:rPr>
          <w:rFonts w:ascii="Times New Roman" w:hAnsi="Times New Roman" w:cs="Times New Roman"/>
          <w:sz w:val="24"/>
          <w:szCs w:val="24"/>
        </w:rPr>
        <w:t xml:space="preserve">quantity of sulfur adsorbed at equilibrium </w:t>
      </w:r>
      <w:r w:rsidR="00C15F6E" w:rsidRPr="00F94455">
        <w:rPr>
          <w:rFonts w:ascii="Times New Roman" w:hAnsi="Times New Roman" w:cs="Times New Roman"/>
          <w:sz w:val="24"/>
          <w:szCs w:val="24"/>
        </w:rPr>
        <w:t xml:space="preserve">and time t (min) respectively,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D2A08" w:rsidRPr="00F9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D2A08" w:rsidRPr="00F94455">
        <w:rPr>
          <w:rFonts w:ascii="Times New Roman" w:hAnsi="Times New Roman" w:cs="Times New Roman"/>
          <w:sz w:val="24"/>
          <w:szCs w:val="24"/>
        </w:rPr>
        <w:t>(min</w:t>
      </w:r>
      <w:r w:rsidR="006D2A08" w:rsidRPr="00F9445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D2A08" w:rsidRPr="00F94455">
        <w:rPr>
          <w:rFonts w:ascii="Times New Roman" w:hAnsi="Times New Roman" w:cs="Times New Roman"/>
          <w:sz w:val="24"/>
          <w:szCs w:val="24"/>
        </w:rPr>
        <w:t>)</w:t>
      </w:r>
      <w:r w:rsidR="006D2A08" w:rsidRPr="00F9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D2A08" w:rsidRPr="00F94455">
        <w:rPr>
          <w:rFonts w:ascii="Times New Roman" w:hAnsi="Times New Roman" w:cs="Times New Roman"/>
          <w:sz w:val="24"/>
          <w:szCs w:val="24"/>
        </w:rPr>
        <w:t>represents rate constant for pseudo- first order kinetics.</w:t>
      </w:r>
    </w:p>
    <w:p w:rsidR="00E51B0F" w:rsidRPr="00F94455" w:rsidRDefault="00E51B0F" w:rsidP="009E6E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0F" w:rsidRPr="00F94455" w:rsidRDefault="00E51B0F" w:rsidP="00E51B0F">
      <w:pPr>
        <w:rPr>
          <w:rFonts w:ascii="Times New Roman" w:hAnsi="Times New Roman" w:cs="Times New Roman"/>
          <w:sz w:val="24"/>
          <w:szCs w:val="24"/>
        </w:rPr>
      </w:pPr>
    </w:p>
    <w:p w:rsidR="00A502A2" w:rsidRPr="00F94455" w:rsidRDefault="00E51B0F" w:rsidP="00E51B0F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ab/>
      </w:r>
    </w:p>
    <w:p w:rsidR="00A502A2" w:rsidRPr="00F94455" w:rsidRDefault="00A502A2" w:rsidP="006D2A08">
      <w:pPr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486D34ED" wp14:editId="20945439">
            <wp:extent cx="5189220" cy="352332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69" cy="352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790" w:rsidRPr="00F94455" w:rsidRDefault="00304992" w:rsidP="00D83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>Fig. SI-3</w:t>
      </w:r>
      <w:r w:rsidR="002E3790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: Pseudo first order kinetics at the concentration </w:t>
      </w:r>
      <w:r w:rsidR="0071411C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of (a) 50 </w:t>
      </w:r>
      <w:r w:rsidR="00670510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71411C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100 </w:t>
      </w:r>
      <w:r w:rsidR="0071411C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2E3790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150 </w:t>
      </w:r>
      <w:r w:rsidR="0071411C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2E3790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200 </w:t>
      </w:r>
      <w:r w:rsidR="0071411C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</w:p>
    <w:p w:rsidR="002E3790" w:rsidRPr="00F94455" w:rsidRDefault="002E3790" w:rsidP="006D2A08">
      <w:pPr>
        <w:rPr>
          <w:rFonts w:ascii="Times New Roman" w:hAnsi="Times New Roman" w:cs="Times New Roman"/>
          <w:sz w:val="24"/>
          <w:szCs w:val="24"/>
        </w:rPr>
      </w:pPr>
    </w:p>
    <w:p w:rsidR="002E3790" w:rsidRPr="00F94455" w:rsidRDefault="002E3790" w:rsidP="006944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>Pseudo-second order equation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 and the </w:t>
      </w:r>
      <w:r w:rsidR="001F420E" w:rsidRPr="00F94455">
        <w:rPr>
          <w:rFonts w:ascii="Times New Roman" w:eastAsiaTheme="minorEastAsia" w:hAnsi="Times New Roman" w:cs="Times New Roman"/>
          <w:sz w:val="24"/>
          <w:szCs w:val="24"/>
        </w:rPr>
        <w:t xml:space="preserve">interpretation of the terms are 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expressed </w:t>
      </w:r>
      <w:r w:rsidR="001F420E" w:rsidRPr="00F94455">
        <w:rPr>
          <w:rFonts w:ascii="Times New Roman" w:eastAsiaTheme="minorEastAsia" w:hAnsi="Times New Roman" w:cs="Times New Roman"/>
          <w:sz w:val="24"/>
          <w:szCs w:val="24"/>
        </w:rPr>
        <w:t>in equation 4</w:t>
      </w:r>
      <w:r w:rsidR="00591920" w:rsidRPr="00F944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>below:</w:t>
      </w:r>
    </w:p>
    <w:p w:rsidR="002E3790" w:rsidRPr="00F94455" w:rsidRDefault="00F94455" w:rsidP="006944EA">
      <w:pPr>
        <w:tabs>
          <w:tab w:val="left" w:pos="2640"/>
        </w:tabs>
        <w:spacing w:before="240"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70C0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70C0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……………4 </m:t>
          </m:r>
        </m:oMath>
      </m:oMathPara>
    </w:p>
    <w:p w:rsidR="002E3790" w:rsidRPr="00F94455" w:rsidRDefault="001520C6" w:rsidP="006944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sz w:val="24"/>
          <w:szCs w:val="24"/>
        </w:rPr>
        <w:t>Where</w:t>
      </w:r>
      <w:r w:rsidRPr="00F9445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e</m:t>
            </m:r>
          </m:sub>
        </m:sSub>
      </m:oMath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 (mg/g)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</m:oMath>
      <w:r w:rsidR="002E3790" w:rsidRPr="00F944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2E3790" w:rsidRPr="00F94455">
        <w:rPr>
          <w:rFonts w:ascii="Times New Roman" w:hAnsi="Times New Roman" w:cs="Times New Roman"/>
          <w:sz w:val="24"/>
          <w:szCs w:val="24"/>
        </w:rPr>
        <w:t xml:space="preserve">(mg/g) denote </w:t>
      </w:r>
      <w:r w:rsidR="006A51F4" w:rsidRPr="00F94455">
        <w:rPr>
          <w:rFonts w:ascii="Times New Roman" w:hAnsi="Times New Roman" w:cs="Times New Roman"/>
          <w:sz w:val="24"/>
          <w:szCs w:val="24"/>
        </w:rPr>
        <w:t xml:space="preserve">the </w:t>
      </w:r>
      <w:r w:rsidR="002E3790" w:rsidRPr="00F94455">
        <w:rPr>
          <w:rFonts w:ascii="Times New Roman" w:hAnsi="Times New Roman" w:cs="Times New Roman"/>
          <w:sz w:val="24"/>
          <w:szCs w:val="24"/>
        </w:rPr>
        <w:t xml:space="preserve">quantity of sulfur adsorbed at equilibrium and time t (min) respectively,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E3790" w:rsidRPr="00F94455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 </w:t>
      </w:r>
      <w:r w:rsidR="002E3790" w:rsidRPr="00F9445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D97F35" w:rsidRPr="00F94455">
        <w:rPr>
          <w:rFonts w:ascii="Times New Roman" w:hAnsi="Times New Roman" w:cs="Times New Roman"/>
          <w:color w:val="0070C0"/>
          <w:sz w:val="24"/>
          <w:szCs w:val="24"/>
        </w:rPr>
        <w:t>g/(mg</w:t>
      </w:r>
      <w:r w:rsidR="00F76D63" w:rsidRPr="00F94455"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 w:rsidR="00F76D63" w:rsidRPr="00F94455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D97F35" w:rsidRPr="00F94455">
        <w:rPr>
          <w:rFonts w:ascii="Times New Roman" w:hAnsi="Times New Roman" w:cs="Times New Roman"/>
          <w:color w:val="0070C0"/>
          <w:sz w:val="24"/>
          <w:szCs w:val="24"/>
        </w:rPr>
        <w:t>.min</w:t>
      </w:r>
      <w:proofErr w:type="spellEnd"/>
      <w:r w:rsidR="00D97F35" w:rsidRPr="00F94455">
        <w:rPr>
          <w:rFonts w:ascii="Times New Roman" w:hAnsi="Times New Roman" w:cs="Times New Roman"/>
          <w:color w:val="0070C0"/>
          <w:sz w:val="24"/>
          <w:szCs w:val="24"/>
        </w:rPr>
        <w:t>))</w:t>
      </w:r>
      <w:r w:rsidR="002E3790" w:rsidRPr="00F94455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 </w:t>
      </w:r>
      <w:r w:rsidR="002E3790" w:rsidRPr="00F94455">
        <w:rPr>
          <w:rFonts w:ascii="Times New Roman" w:hAnsi="Times New Roman" w:cs="Times New Roman"/>
          <w:sz w:val="24"/>
          <w:szCs w:val="24"/>
        </w:rPr>
        <w:t>represents rate constant for pseudo second orde</w:t>
      </w:r>
      <w:r w:rsidR="00D47C4E" w:rsidRPr="00F94455">
        <w:rPr>
          <w:rFonts w:ascii="Times New Roman" w:hAnsi="Times New Roman" w:cs="Times New Roman"/>
          <w:sz w:val="24"/>
          <w:szCs w:val="24"/>
        </w:rPr>
        <w:t xml:space="preserve">r kinetics model.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</w:rPr>
                  <m:t>e</m:t>
                </m:r>
              </m:sub>
            </m:sSub>
          </m:den>
        </m:f>
      </m:oMath>
      <w:r w:rsidR="002E3790" w:rsidRPr="00F9445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B7780" w:rsidRPr="00F94455">
        <w:rPr>
          <w:rFonts w:ascii="Times New Roman" w:hAnsi="Times New Roman" w:cs="Times New Roman"/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2E3790" w:rsidRPr="00F9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3790" w:rsidRPr="00F94455">
        <w:rPr>
          <w:rFonts w:ascii="Times New Roman" w:hAnsi="Times New Roman" w:cs="Times New Roman"/>
          <w:sz w:val="24"/>
          <w:szCs w:val="24"/>
        </w:rPr>
        <w:t xml:space="preserve">are both obtained from the slope </w:t>
      </w:r>
      <w:r w:rsidR="00A57809" w:rsidRPr="00F94455">
        <w:rPr>
          <w:rFonts w:ascii="Times New Roman" w:hAnsi="Times New Roman" w:cs="Times New Roman"/>
          <w:sz w:val="24"/>
          <w:szCs w:val="24"/>
        </w:rPr>
        <w:t xml:space="preserve">and intercept of the plot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sub>
            </m:sSub>
          </m:den>
        </m:f>
      </m:oMath>
      <w:r w:rsidR="002E3790" w:rsidRPr="00F94455">
        <w:rPr>
          <w:rFonts w:ascii="Times New Roman" w:hAnsi="Times New Roman" w:cs="Times New Roman"/>
          <w:sz w:val="24"/>
          <w:szCs w:val="24"/>
        </w:rPr>
        <w:t xml:space="preserve"> versus t.</w:t>
      </w:r>
    </w:p>
    <w:p w:rsidR="00DB43A5" w:rsidRPr="00F94455" w:rsidRDefault="00DB43A5" w:rsidP="006D2A08">
      <w:pPr>
        <w:rPr>
          <w:rFonts w:ascii="Times New Roman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56FC64D" wp14:editId="5C176FA2">
            <wp:extent cx="4890036" cy="35661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18" cy="357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3A5" w:rsidRPr="00F94455" w:rsidRDefault="00304992" w:rsidP="00D8360D">
      <w:pPr>
        <w:tabs>
          <w:tab w:val="left" w:pos="2640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>Fig. SI-4</w:t>
      </w:r>
      <w:r w:rsidR="00DB43A5" w:rsidRPr="00F94455">
        <w:rPr>
          <w:rFonts w:ascii="Times New Roman" w:eastAsiaTheme="minorEastAsia" w:hAnsi="Times New Roman" w:cs="Times New Roman"/>
          <w:b/>
          <w:sz w:val="24"/>
          <w:szCs w:val="24"/>
        </w:rPr>
        <w:t>: Pseudo second order kinetics at the concentrat</w:t>
      </w:r>
      <w:r w:rsidR="00F0214D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ion of (a) 50 </w:t>
      </w:r>
      <w:r w:rsidR="00F0214D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DB7313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100 </w:t>
      </w:r>
      <w:r w:rsidR="00B464E0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DB43A5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150 </w:t>
      </w:r>
      <w:r w:rsidR="00B464E0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DB43A5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, (a) 200 </w:t>
      </w:r>
      <w:r w:rsidR="00B464E0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</w:p>
    <w:p w:rsidR="00576A50" w:rsidRPr="00F94455" w:rsidRDefault="00FD2755" w:rsidP="00DB43A5">
      <w:pPr>
        <w:tabs>
          <w:tab w:val="left" w:pos="2640"/>
        </w:tabs>
        <w:spacing w:before="240" w:after="0" w:line="48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F9445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Intraparticle-diffusion </w:t>
      </w:r>
      <w:r w:rsidR="00576A50" w:rsidRPr="00F94455">
        <w:rPr>
          <w:rFonts w:ascii="Times New Roman" w:eastAsia="Times New Roman" w:hAnsi="Times New Roman" w:cs="Times New Roman"/>
          <w:color w:val="0070C0"/>
          <w:sz w:val="24"/>
          <w:szCs w:val="24"/>
        </w:rPr>
        <w:t>equation</w:t>
      </w:r>
      <w:r w:rsidR="00661EB1" w:rsidRPr="00F9445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as given by Weber and Morris</w:t>
      </w:r>
      <w:r w:rsidR="00365CEB" w:rsidRPr="00F9445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76A50" w:rsidRPr="00F9445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and </w:t>
      </w:r>
      <w:r w:rsidR="00576A50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the interpretation of the terms are </w:t>
      </w:r>
      <w:r w:rsidR="00365CEB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given </w:t>
      </w:r>
      <w:r w:rsidR="001F420E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>in equation 5</w:t>
      </w:r>
      <w:r w:rsidR="00E1596E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w:r w:rsidR="00576A50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>below:</w:t>
      </w:r>
    </w:p>
    <w:p w:rsidR="0059281D" w:rsidRPr="00F94455" w:rsidRDefault="00F94455" w:rsidP="00DB43A5">
      <w:pPr>
        <w:tabs>
          <w:tab w:val="left" w:pos="2640"/>
        </w:tabs>
        <w:spacing w:before="240" w:after="0" w:line="48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70C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color w:val="0070C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70C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i.d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1/2</m:t>
              </m:r>
            </m:sup>
          </m:sSup>
          <m:r>
            <w:rPr>
              <w:rFonts w:ascii="Cambria Math" w:eastAsiaTheme="minorEastAsia" w:hAnsi="Cambria Math" w:cs="Times New Roman"/>
              <w:color w:val="0070C0"/>
              <w:sz w:val="24"/>
              <w:szCs w:val="24"/>
            </w:rPr>
            <m:t>+C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70C0"/>
              <w:sz w:val="24"/>
              <w:szCs w:val="24"/>
            </w:rPr>
            <m:t>……….. 5</m:t>
          </m:r>
        </m:oMath>
      </m:oMathPara>
    </w:p>
    <w:p w:rsidR="00304992" w:rsidRPr="00F94455" w:rsidRDefault="0084033D" w:rsidP="00F14225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>Wher</w:t>
      </w:r>
      <w:r w:rsidR="003E7B57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t</m:t>
            </m:r>
          </m:sub>
        </m:sSub>
      </m:oMath>
      <w:r w:rsidR="003E7B57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(mg/g),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 xml:space="preserve">  t</m:t>
            </m:r>
          </m:e>
          <m:sup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1/2</m:t>
            </m:r>
          </m:sup>
        </m:sSup>
      </m:oMath>
      <w:r w:rsidR="003E7B57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(min</w:t>
      </w:r>
      <w:r w:rsidR="004D32D2" w:rsidRPr="00F94455">
        <w:rPr>
          <w:rFonts w:ascii="Times New Roman" w:eastAsiaTheme="minorEastAsia" w:hAnsi="Times New Roman" w:cs="Times New Roman"/>
          <w:color w:val="0070C0"/>
          <w:sz w:val="24"/>
          <w:szCs w:val="24"/>
          <w:vertAlign w:val="superscript"/>
        </w:rPr>
        <w:t>1/2</w:t>
      </w:r>
      <w:r w:rsidR="003E7B57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i.d</m:t>
            </m:r>
          </m:sub>
        </m:sSub>
      </m:oMath>
      <w:r w:rsidR="003E7B57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(mg/g.min), </w:t>
      </w:r>
      <w:r w:rsidR="0066760C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color w:val="0070C0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color w:val="0070C0"/>
            <w:sz w:val="24"/>
            <w:szCs w:val="24"/>
          </w:rPr>
          <m:t>(mg/g)</m:t>
        </m:r>
      </m:oMath>
      <w:r w:rsidR="0066760C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represent </w:t>
      </w:r>
      <w:r w:rsidR="006A51F4" w:rsidRPr="00F94455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the </w:t>
      </w:r>
      <w:r w:rsidR="00F14225" w:rsidRPr="00F94455">
        <w:rPr>
          <w:rFonts w:ascii="Times New Roman" w:hAnsi="Times New Roman" w:cs="Times New Roman"/>
          <w:color w:val="0070C0"/>
          <w:sz w:val="24"/>
          <w:szCs w:val="24"/>
        </w:rPr>
        <w:t>quantity of sulfur adsorbed at equilibrium</w:t>
      </w:r>
      <w:r w:rsidR="002966BE" w:rsidRPr="00F94455">
        <w:rPr>
          <w:rFonts w:ascii="Times New Roman" w:hAnsi="Times New Roman" w:cs="Times New Roman"/>
          <w:color w:val="0070C0"/>
          <w:sz w:val="24"/>
          <w:szCs w:val="24"/>
        </w:rPr>
        <w:t xml:space="preserve">, the square root of the contact time, the intraparticle </w:t>
      </w:r>
      <w:r w:rsidR="0012284F" w:rsidRPr="00F94455">
        <w:rPr>
          <w:rFonts w:ascii="Times New Roman" w:hAnsi="Times New Roman" w:cs="Times New Roman"/>
          <w:color w:val="0070C0"/>
          <w:sz w:val="24"/>
          <w:szCs w:val="24"/>
        </w:rPr>
        <w:t xml:space="preserve">diffusion rate </w:t>
      </w:r>
      <w:r w:rsidR="002966BE" w:rsidRPr="00F94455">
        <w:rPr>
          <w:rFonts w:ascii="Times New Roman" w:hAnsi="Times New Roman" w:cs="Times New Roman"/>
          <w:color w:val="0070C0"/>
          <w:sz w:val="24"/>
          <w:szCs w:val="24"/>
        </w:rPr>
        <w:t>con</w:t>
      </w:r>
      <w:r w:rsidR="0012284F" w:rsidRPr="00F94455">
        <w:rPr>
          <w:rFonts w:ascii="Times New Roman" w:hAnsi="Times New Roman" w:cs="Times New Roman"/>
          <w:color w:val="0070C0"/>
          <w:sz w:val="24"/>
          <w:szCs w:val="24"/>
        </w:rPr>
        <w:t>stan</w:t>
      </w:r>
      <w:r w:rsidR="002966BE" w:rsidRPr="00F94455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6A51F4" w:rsidRPr="00F9445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2966BE" w:rsidRPr="00F94455">
        <w:rPr>
          <w:rFonts w:ascii="Times New Roman" w:hAnsi="Times New Roman" w:cs="Times New Roman"/>
          <w:color w:val="0070C0"/>
          <w:sz w:val="24"/>
          <w:szCs w:val="24"/>
        </w:rPr>
        <w:t xml:space="preserve"> and boundary layer thickness respectively. </w:t>
      </w:r>
    </w:p>
    <w:p w:rsidR="00A727B2" w:rsidRPr="00F94455" w:rsidRDefault="00A727B2" w:rsidP="00F14225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727B2" w:rsidRPr="00F94455" w:rsidRDefault="00A727B2" w:rsidP="00F14225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727B2" w:rsidRPr="00F94455" w:rsidRDefault="00A727B2" w:rsidP="00A727B2">
      <w:pPr>
        <w:tabs>
          <w:tab w:val="left" w:pos="2640"/>
        </w:tabs>
        <w:spacing w:before="240" w:after="0" w:line="48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F94455">
        <w:rPr>
          <w:noProof/>
          <w:lang w:val="en-IN" w:eastAsia="en-IN"/>
        </w:rPr>
        <w:lastRenderedPageBreak/>
        <w:drawing>
          <wp:inline distT="0" distB="0" distL="0" distR="0" wp14:anchorId="0A2276D7" wp14:editId="6735D98A">
            <wp:extent cx="4114800" cy="24580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246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53C" w:rsidRPr="00F94455" w:rsidRDefault="008413DF" w:rsidP="00A727B2">
      <w:pPr>
        <w:tabs>
          <w:tab w:val="left" w:pos="2640"/>
        </w:tabs>
        <w:spacing w:before="240" w:after="0" w:line="48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>Fig. SI-5</w:t>
      </w:r>
      <w:r w:rsidR="00182083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>: Intraparticle</w:t>
      </w:r>
      <w:r w:rsidR="007F0F4E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 </w:t>
      </w:r>
      <w:r w:rsidR="000E4062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>diffusion</w:t>
      </w:r>
      <w:r w:rsidR="00182083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 at the concentration</w:t>
      </w:r>
      <w:r w:rsidR="0027259E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 </w:t>
      </w:r>
      <w:r w:rsidR="00E9182F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of </w:t>
      </w:r>
      <w:r w:rsidR="00182083" w:rsidRPr="00F94455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100 </w:t>
      </w:r>
      <w:r w:rsidR="00182083" w:rsidRPr="00F9445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mg-S/L</w:t>
      </w:r>
    </w:p>
    <w:p w:rsidR="00304992" w:rsidRPr="00F94455" w:rsidRDefault="00304992" w:rsidP="00304992">
      <w:pPr>
        <w:tabs>
          <w:tab w:val="left" w:pos="2640"/>
        </w:tabs>
        <w:spacing w:before="240"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SI-3: Kinetic parameter of 100 </w:t>
      </w:r>
      <w:r w:rsidR="00F043B4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="00F043B4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>on the investigated adsorbent materials</w:t>
      </w:r>
    </w:p>
    <w:tbl>
      <w:tblPr>
        <w:tblW w:w="5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71"/>
        <w:gridCol w:w="907"/>
        <w:gridCol w:w="946"/>
        <w:gridCol w:w="841"/>
        <w:gridCol w:w="909"/>
        <w:gridCol w:w="930"/>
        <w:gridCol w:w="841"/>
        <w:gridCol w:w="841"/>
        <w:gridCol w:w="841"/>
        <w:gridCol w:w="895"/>
      </w:tblGrid>
      <w:tr w:rsidR="00B9316C" w:rsidRPr="00F94455" w:rsidTr="00B9316C">
        <w:trPr>
          <w:trHeight w:val="272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100 mg-S/L</w:t>
            </w:r>
          </w:p>
        </w:tc>
        <w:tc>
          <w:tcPr>
            <w:tcW w:w="1782" w:type="pct"/>
            <w:gridSpan w:val="4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Pseudo-first order</w:t>
            </w:r>
          </w:p>
        </w:tc>
        <w:tc>
          <w:tcPr>
            <w:tcW w:w="1303" w:type="pct"/>
            <w:gridSpan w:val="3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Pseudo-second order</w:t>
            </w:r>
          </w:p>
        </w:tc>
        <w:tc>
          <w:tcPr>
            <w:tcW w:w="1254" w:type="pct"/>
            <w:gridSpan w:val="3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Intraparticle diffusion</w:t>
            </w:r>
          </w:p>
        </w:tc>
      </w:tr>
      <w:tr w:rsidR="00B9316C" w:rsidRPr="00F94455" w:rsidTr="00B9316C">
        <w:trPr>
          <w:trHeight w:val="338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Adsorbent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e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exp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e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cal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(10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b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e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cal</w:t>
            </w:r>
            <w:proofErr w:type="spellEnd"/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a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(10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c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Pr="00F9445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409" w:type="pct"/>
          </w:tcPr>
          <w:p w:rsidR="00B9316C" w:rsidRPr="00F94455" w:rsidRDefault="00F94455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70C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70C0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70C0"/>
                        <w:sz w:val="24"/>
                        <w:szCs w:val="24"/>
                      </w:rPr>
                      <m:t>i.d</m:t>
                    </m:r>
                  </m:sub>
                </m:sSub>
              </m:oMath>
            </m:oMathPara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70C0"/>
              </w:rPr>
              <w:t>C</w:t>
            </w:r>
          </w:p>
        </w:tc>
        <w:tc>
          <w:tcPr>
            <w:tcW w:w="436" w:type="pct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R</w:t>
            </w:r>
            <w:r w:rsidRPr="00F944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vertAlign w:val="superscript"/>
              </w:rPr>
              <w:t>2</w:t>
            </w:r>
          </w:p>
        </w:tc>
      </w:tr>
      <w:tr w:rsidR="00B9316C" w:rsidRPr="00F94455" w:rsidTr="00B9316C">
        <w:trPr>
          <w:trHeight w:val="272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17.96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0.7573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16.92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20.6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0.9999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0.1221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14.768</w:t>
            </w:r>
          </w:p>
        </w:tc>
        <w:tc>
          <w:tcPr>
            <w:tcW w:w="436" w:type="pct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0.8270</w:t>
            </w:r>
          </w:p>
        </w:tc>
      </w:tr>
      <w:tr w:rsidR="00B9316C" w:rsidRPr="00F94455" w:rsidTr="00B9316C">
        <w:trPr>
          <w:trHeight w:val="272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AC-N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17.84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5.89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0.9213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0.9996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0.3579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10.404</w:t>
            </w:r>
          </w:p>
        </w:tc>
        <w:tc>
          <w:tcPr>
            <w:tcW w:w="436" w:type="pct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0.9061</w:t>
            </w:r>
          </w:p>
        </w:tc>
      </w:tr>
      <w:tr w:rsidR="00B9316C" w:rsidRPr="00F94455" w:rsidTr="00B9316C">
        <w:trPr>
          <w:trHeight w:val="272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AC-N-Mo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19.94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6.92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0.9221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17.15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0.9989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0.2829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11.786</w:t>
            </w:r>
          </w:p>
        </w:tc>
        <w:tc>
          <w:tcPr>
            <w:tcW w:w="436" w:type="pct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0.9340</w:t>
            </w:r>
          </w:p>
        </w:tc>
      </w:tr>
      <w:tr w:rsidR="00B9316C" w:rsidRPr="00F94455" w:rsidTr="00B9316C">
        <w:trPr>
          <w:trHeight w:val="272"/>
          <w:jc w:val="center"/>
        </w:trPr>
        <w:tc>
          <w:tcPr>
            <w:tcW w:w="662" w:type="pct"/>
            <w:tcBorders>
              <w:left w:val="nil"/>
            </w:tcBorders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AC-Mo</w:t>
            </w:r>
          </w:p>
        </w:tc>
        <w:tc>
          <w:tcPr>
            <w:tcW w:w="472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17.98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3.27</w:t>
            </w:r>
          </w:p>
        </w:tc>
        <w:tc>
          <w:tcPr>
            <w:tcW w:w="460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0.9760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17.42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</w:rPr>
              <w:t>0.9994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0.1659</w:t>
            </w:r>
          </w:p>
        </w:tc>
        <w:tc>
          <w:tcPr>
            <w:tcW w:w="409" w:type="pct"/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</w:rPr>
              <w:t>14.151</w:t>
            </w:r>
          </w:p>
        </w:tc>
        <w:tc>
          <w:tcPr>
            <w:tcW w:w="436" w:type="pct"/>
            <w:tcBorders>
              <w:right w:val="nil"/>
            </w:tcBorders>
          </w:tcPr>
          <w:p w:rsidR="00B9316C" w:rsidRPr="00F94455" w:rsidRDefault="00B9316C" w:rsidP="00D448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0.9581</w:t>
            </w:r>
          </w:p>
        </w:tc>
      </w:tr>
    </w:tbl>
    <w:p w:rsidR="00CB341B" w:rsidRPr="00F94455" w:rsidRDefault="00304992" w:rsidP="00322F6B">
      <w:pPr>
        <w:spacing w:line="480" w:lineRule="auto"/>
        <w:jc w:val="both"/>
        <w:rPr>
          <w:rFonts w:ascii="Times New Roman" w:eastAsia="GulliverRM" w:hAnsi="Times New Roman" w:cs="Times New Roman"/>
          <w:sz w:val="24"/>
          <w:szCs w:val="24"/>
        </w:rPr>
      </w:pPr>
      <w:r w:rsidRPr="00F94455">
        <w:rPr>
          <w:rFonts w:ascii="Times New Roman" w:eastAsia="GulliverRM" w:hAnsi="Times New Roman" w:cs="Times New Roman"/>
          <w:bCs/>
          <w:sz w:val="24"/>
          <w:szCs w:val="24"/>
        </w:rPr>
        <w:t>a: (mgS/g), b: (min</w:t>
      </w:r>
      <w:r w:rsidRPr="00F94455">
        <w:rPr>
          <w:rFonts w:ascii="Times New Roman" w:eastAsia="GulliverRM" w:hAnsi="Times New Roman" w:cs="Times New Roman"/>
          <w:bCs/>
          <w:sz w:val="24"/>
          <w:szCs w:val="24"/>
          <w:vertAlign w:val="superscript"/>
        </w:rPr>
        <w:t>-1</w:t>
      </w:r>
      <w:r w:rsidRPr="00F94455">
        <w:rPr>
          <w:rFonts w:ascii="Times New Roman" w:eastAsia="GulliverRM" w:hAnsi="Times New Roman" w:cs="Times New Roman"/>
          <w:bCs/>
          <w:sz w:val="24"/>
          <w:szCs w:val="24"/>
        </w:rPr>
        <w:t xml:space="preserve">), c: </w:t>
      </w:r>
      <w:r w:rsidR="00D47C4E" w:rsidRPr="00F94455">
        <w:rPr>
          <w:rFonts w:ascii="Times New Roman" w:hAnsi="Times New Roman" w:cs="Times New Roman"/>
          <w:color w:val="0070C0"/>
          <w:sz w:val="24"/>
          <w:szCs w:val="24"/>
        </w:rPr>
        <w:t>g/(mg</w:t>
      </w:r>
      <w:r w:rsidR="00F76D63" w:rsidRPr="00F94455"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 w:rsidR="00F76D63" w:rsidRPr="00F94455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D47C4E" w:rsidRPr="00F94455">
        <w:rPr>
          <w:rFonts w:ascii="Times New Roman" w:hAnsi="Times New Roman" w:cs="Times New Roman"/>
          <w:color w:val="0070C0"/>
          <w:sz w:val="24"/>
          <w:szCs w:val="24"/>
        </w:rPr>
        <w:t>.min</w:t>
      </w:r>
      <w:proofErr w:type="spellEnd"/>
      <w:r w:rsidR="00D47C4E" w:rsidRPr="00F94455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DB43A5" w:rsidRPr="00F94455" w:rsidRDefault="007E50E8" w:rsidP="00942368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4455">
        <w:rPr>
          <w:rFonts w:asciiTheme="majorBidi" w:hAnsiTheme="majorBidi" w:cstheme="majorBidi"/>
          <w:b/>
          <w:bCs/>
          <w:sz w:val="24"/>
          <w:szCs w:val="24"/>
        </w:rPr>
        <w:t>Adsorption Isotherms</w:t>
      </w:r>
    </w:p>
    <w:p w:rsidR="007E50E8" w:rsidRPr="00F94455" w:rsidRDefault="007E50E8" w:rsidP="00942368">
      <w:pPr>
        <w:tabs>
          <w:tab w:val="left" w:pos="2640"/>
        </w:tabs>
        <w:spacing w:before="24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Langmuir linear </w:t>
      </w:r>
      <w:r w:rsidR="001F420E" w:rsidRPr="00F94455">
        <w:rPr>
          <w:rFonts w:ascii="Times New Roman" w:hAnsi="Times New Roman" w:cs="Times New Roman"/>
          <w:color w:val="000000" w:themeColor="text1"/>
          <w:sz w:val="24"/>
          <w:szCs w:val="24"/>
        </w:rPr>
        <w:t>equation expressed in equation 6</w:t>
      </w:r>
      <w:r w:rsidRPr="00F9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governs the quantity of DBT adsorbed.</w:t>
      </w:r>
    </w:p>
    <w:p w:rsidR="007E50E8" w:rsidRPr="00F94455" w:rsidRDefault="00F94455" w:rsidP="00942368">
      <w:pPr>
        <w:tabs>
          <w:tab w:val="left" w:pos="2640"/>
        </w:tabs>
        <w:spacing w:before="240"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……….. 6</m:t>
          </m:r>
        </m:oMath>
      </m:oMathPara>
    </w:p>
    <w:p w:rsidR="0087015C" w:rsidRPr="00F94455" w:rsidRDefault="007E50E8" w:rsidP="009423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9445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="00491AA4" w:rsidRPr="00F94455">
        <w:rPr>
          <w:rFonts w:ascii="Times New Roman" w:hAnsi="Times New Roman" w:cs="Times New Roman"/>
          <w:sz w:val="24"/>
          <w:szCs w:val="24"/>
        </w:rPr>
        <w:t xml:space="preserve"> (mg/L),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="0006603D" w:rsidRPr="00F94455">
        <w:rPr>
          <w:rFonts w:ascii="Times New Roman" w:hAnsi="Times New Roman" w:cs="Times New Roman"/>
          <w:sz w:val="24"/>
          <w:szCs w:val="24"/>
        </w:rPr>
        <w:t xml:space="preserve"> (mg/g),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</m:oMath>
      <w:r w:rsidRPr="00F94455">
        <w:rPr>
          <w:rFonts w:ascii="Times New Roman" w:hAnsi="Times New Roman" w:cs="Times New Roman"/>
          <w:sz w:val="24"/>
          <w:szCs w:val="24"/>
        </w:rPr>
        <w:t xml:space="preserve"> (mg/g) </w:t>
      </w:r>
      <w:r w:rsidR="00BF194F" w:rsidRPr="00F94455">
        <w:rPr>
          <w:rFonts w:ascii="Times New Roman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</m:oMath>
      <w:r w:rsidRPr="00F9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4455">
        <w:rPr>
          <w:rFonts w:ascii="Times New Roman" w:hAnsi="Times New Roman" w:cs="Times New Roman"/>
          <w:sz w:val="24"/>
          <w:szCs w:val="24"/>
        </w:rPr>
        <w:t>represent equilibrium concentration,</w:t>
      </w:r>
      <w:r w:rsidR="00250F1F" w:rsidRPr="00F94455">
        <w:rPr>
          <w:rFonts w:ascii="Times New Roman" w:hAnsi="Times New Roman" w:cs="Times New Roman"/>
          <w:sz w:val="24"/>
          <w:szCs w:val="24"/>
        </w:rPr>
        <w:t xml:space="preserve"> sorption capacity</w:t>
      </w:r>
      <w:r w:rsidR="006A51F4" w:rsidRPr="00F94455">
        <w:rPr>
          <w:rFonts w:ascii="Times New Roman" w:hAnsi="Times New Roman" w:cs="Times New Roman"/>
          <w:sz w:val="24"/>
          <w:szCs w:val="24"/>
        </w:rPr>
        <w:t>,</w:t>
      </w:r>
      <w:r w:rsidR="00250F1F" w:rsidRPr="00F94455">
        <w:rPr>
          <w:rFonts w:ascii="Times New Roman" w:hAnsi="Times New Roman" w:cs="Times New Roman"/>
          <w:sz w:val="24"/>
          <w:szCs w:val="24"/>
        </w:rPr>
        <w:t xml:space="preserve"> and </w:t>
      </w:r>
      <w:r w:rsidR="00250F1F" w:rsidRPr="00F94455">
        <w:rPr>
          <w:rFonts w:ascii="Times New Roman" w:hAnsi="Times New Roman" w:cs="Times New Roman"/>
          <w:color w:val="0070C0"/>
          <w:sz w:val="24"/>
          <w:szCs w:val="24"/>
        </w:rPr>
        <w:t>maximum</w:t>
      </w:r>
      <w:r w:rsidRPr="00F94455">
        <w:rPr>
          <w:rFonts w:ascii="Times New Roman" w:hAnsi="Times New Roman" w:cs="Times New Roman"/>
          <w:color w:val="0070C0"/>
          <w:sz w:val="24"/>
          <w:szCs w:val="24"/>
        </w:rPr>
        <w:t xml:space="preserve"> adsorption capacity</w:t>
      </w:r>
      <w:r w:rsidRPr="00F94455">
        <w:rPr>
          <w:rFonts w:ascii="Times New Roman" w:hAnsi="Times New Roman" w:cs="Times New Roman"/>
          <w:sz w:val="24"/>
          <w:szCs w:val="24"/>
        </w:rPr>
        <w:t>, Langmuir constant related to adsorption energy respectively</w:t>
      </w:r>
      <w:r w:rsidR="00A65AE6" w:rsidRPr="00F94455">
        <w:rPr>
          <w:rFonts w:ascii="Times New Roman" w:hAnsi="Times New Roman" w:cs="Times New Roman"/>
          <w:sz w:val="24"/>
          <w:szCs w:val="24"/>
        </w:rPr>
        <w:t xml:space="preserve">. The expression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</m:oMath>
      <w:r w:rsidR="00AA1358" w:rsidRPr="00F94455">
        <w:rPr>
          <w:rFonts w:ascii="Times New Roman" w:hAnsi="Times New Roman" w:cs="Times New Roman"/>
          <w:sz w:val="24"/>
          <w:szCs w:val="24"/>
        </w:rPr>
        <w:t xml:space="preserve"> </w:t>
      </w:r>
      <w:r w:rsidR="00A65AE6" w:rsidRPr="00F94455">
        <w:rPr>
          <w:rFonts w:ascii="Times New Roman" w:hAnsi="Times New Roman" w:cs="Times New Roman"/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sub>
            </m:sSub>
          </m:den>
        </m:f>
      </m:oMath>
      <w:r w:rsidRPr="00F9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4455">
        <w:rPr>
          <w:rFonts w:ascii="Times New Roman" w:hAnsi="Times New Roman" w:cs="Times New Roman"/>
          <w:sz w:val="24"/>
          <w:szCs w:val="24"/>
        </w:rPr>
        <w:t xml:space="preserve">are obtained from the slope and intercept of the plot of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="00E756C7" w:rsidRPr="00F94455">
        <w:rPr>
          <w:rFonts w:ascii="Times New Roman" w:hAnsi="Times New Roman" w:cs="Times New Roman"/>
          <w:sz w:val="24"/>
          <w:szCs w:val="24"/>
        </w:rPr>
        <w:t>versus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Pr="00F94455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7015C" w:rsidRPr="00F94455" w:rsidRDefault="0087015C" w:rsidP="00942368">
      <w:pPr>
        <w:tabs>
          <w:tab w:val="left" w:pos="2640"/>
        </w:tabs>
        <w:spacing w:before="240"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sz w:val="24"/>
          <w:szCs w:val="24"/>
        </w:rPr>
        <w:t>The Freundlich isotherm is represented</w:t>
      </w:r>
      <w:r w:rsidR="001F420E" w:rsidRPr="00F94455">
        <w:rPr>
          <w:rFonts w:ascii="Times New Roman" w:eastAsiaTheme="minorEastAsia" w:hAnsi="Times New Roman" w:cs="Times New Roman"/>
          <w:sz w:val="24"/>
          <w:szCs w:val="24"/>
        </w:rPr>
        <w:t xml:space="preserve"> in equation 7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 below;</w:t>
      </w:r>
    </w:p>
    <w:p w:rsidR="0087015C" w:rsidRPr="00F94455" w:rsidRDefault="00F94455" w:rsidP="00942368">
      <w:pPr>
        <w:tabs>
          <w:tab w:val="left" w:pos="2640"/>
        </w:tabs>
        <w:spacing w:before="240"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func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den>
              </m:f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…………7</m:t>
                  </m:r>
                </m:e>
              </m:func>
            </m:e>
          </m:func>
        </m:oMath>
      </m:oMathPara>
    </w:p>
    <w:p w:rsidR="007E50E8" w:rsidRPr="00F94455" w:rsidRDefault="0087015C" w:rsidP="00571F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94455">
        <w:rPr>
          <w:rFonts w:ascii="Times New Roman" w:eastAsiaTheme="minorEastAsia" w:hAnsi="Times New Roman" w:cs="Times New Roman"/>
          <w:sz w:val="24"/>
          <w:szCs w:val="24"/>
        </w:rPr>
        <w:t>Where K</w:t>
      </w:r>
      <w:r w:rsidRPr="00F944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F 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>(mg g</w:t>
      </w:r>
      <w:r w:rsidRPr="00F9445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 xml:space="preserve">) and </w:t>
      </w:r>
      <w:r w:rsidRPr="00F94455">
        <w:rPr>
          <w:rFonts w:ascii="Times New Roman" w:hAnsi="Times New Roman" w:cs="Times New Roman"/>
          <w:sz w:val="24"/>
          <w:szCs w:val="24"/>
        </w:rPr>
        <w:t xml:space="preserve">n represents </w:t>
      </w:r>
      <w:r w:rsidRPr="00F94455">
        <w:rPr>
          <w:rFonts w:ascii="Times New Roman" w:eastAsiaTheme="minorEastAsia" w:hAnsi="Times New Roman" w:cs="Times New Roman"/>
          <w:sz w:val="24"/>
          <w:szCs w:val="24"/>
        </w:rPr>
        <w:t>Freundlich constant related to adsorption capacity, and intensity respectively.</w:t>
      </w:r>
    </w:p>
    <w:p w:rsidR="007E50E8" w:rsidRPr="00F94455" w:rsidRDefault="007E50E8" w:rsidP="007E50E8">
      <w:r w:rsidRPr="00F94455">
        <w:rPr>
          <w:rFonts w:ascii="Times New Roman" w:eastAsiaTheme="minorEastAsia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7E76F42" wp14:editId="24A3EE93">
            <wp:extent cx="5943600" cy="21356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0E8" w:rsidRPr="00F94455" w:rsidRDefault="007E50E8" w:rsidP="00D8360D">
      <w:pPr>
        <w:tabs>
          <w:tab w:val="left" w:pos="2640"/>
        </w:tabs>
        <w:spacing w:before="240"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Fig. </w:t>
      </w:r>
      <w:r w:rsidR="00D215AC" w:rsidRPr="00F94455">
        <w:rPr>
          <w:rFonts w:ascii="Times New Roman" w:eastAsiaTheme="minorEastAsia" w:hAnsi="Times New Roman" w:cs="Times New Roman"/>
          <w:b/>
          <w:sz w:val="24"/>
          <w:szCs w:val="24"/>
        </w:rPr>
        <w:t>SI-6</w:t>
      </w: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: Adsorption isotherm of adsorbents by Langmuir and Freundlich. (Initial conc. </w:t>
      </w:r>
      <w:r w:rsidR="00796290"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= 50-250 </w:t>
      </w:r>
      <w:r w:rsidR="00796290" w:rsidRPr="00F94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mg-S/L</w:t>
      </w: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94455">
        <w:rPr>
          <w:rFonts w:ascii="Times New Roman" w:hAnsi="Times New Roman" w:cs="Times New Roman"/>
          <w:b/>
          <w:bCs/>
          <w:sz w:val="24"/>
          <w:szCs w:val="24"/>
        </w:rPr>
        <w:t>contact time = 24 h, adsorbent dosage = 100 mg, and 20 mL solution of isooctane containing DBT</w:t>
      </w: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3C708B" w:rsidRPr="00F94455" w:rsidRDefault="003C708B" w:rsidP="007E50E8">
      <w:pPr>
        <w:tabs>
          <w:tab w:val="left" w:pos="2640"/>
        </w:tabs>
        <w:spacing w:before="240"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E7287" w:rsidRPr="00F94455" w:rsidRDefault="008E7287" w:rsidP="007E50E8">
      <w:pPr>
        <w:tabs>
          <w:tab w:val="left" w:pos="2640"/>
        </w:tabs>
        <w:spacing w:before="240"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E7287" w:rsidRPr="00F94455" w:rsidRDefault="008E7287" w:rsidP="007E50E8">
      <w:pPr>
        <w:tabs>
          <w:tab w:val="left" w:pos="2640"/>
        </w:tabs>
        <w:spacing w:before="240"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744AE" w:rsidRPr="00F94455" w:rsidRDefault="008744AE" w:rsidP="008744A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445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Table SI-4:   </w:t>
      </w:r>
      <w:r w:rsidRPr="00F94455">
        <w:rPr>
          <w:rFonts w:ascii="Times New Roman" w:hAnsi="Times New Roman" w:cs="Times New Roman"/>
          <w:b/>
          <w:sz w:val="24"/>
          <w:szCs w:val="24"/>
        </w:rPr>
        <w:t>Isotherm parameters for adsorption of 50-200 ppmw-S DBT on adsorbent materials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869"/>
        <w:gridCol w:w="1051"/>
        <w:gridCol w:w="960"/>
        <w:gridCol w:w="446"/>
        <w:gridCol w:w="786"/>
        <w:gridCol w:w="1134"/>
        <w:gridCol w:w="960"/>
        <w:gridCol w:w="887"/>
      </w:tblGrid>
      <w:tr w:rsidR="008744AE" w:rsidRPr="00F94455" w:rsidTr="009666AB">
        <w:trPr>
          <w:trHeight w:val="315"/>
        </w:trPr>
        <w:tc>
          <w:tcPr>
            <w:tcW w:w="46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Langmuir</w:t>
            </w:r>
          </w:p>
        </w:tc>
        <w:tc>
          <w:tcPr>
            <w:tcW w:w="3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Freundlich</w:t>
            </w:r>
          </w:p>
        </w:tc>
      </w:tr>
      <w:tr w:rsidR="008744AE" w:rsidRPr="00F94455" w:rsidTr="009666AB">
        <w:trPr>
          <w:trHeight w:val="375"/>
        </w:trPr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Adsorbent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F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744AE" w:rsidRPr="00F94455" w:rsidTr="009666AB">
        <w:trPr>
          <w:trHeight w:val="300"/>
        </w:trPr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0.9713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0.5246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0.9131</w:t>
            </w:r>
          </w:p>
        </w:tc>
      </w:tr>
      <w:tr w:rsidR="008744AE" w:rsidRPr="00F94455" w:rsidTr="009666AB">
        <w:trPr>
          <w:trHeight w:val="30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AC-N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0.9486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0.9384</w:t>
            </w:r>
          </w:p>
        </w:tc>
      </w:tr>
      <w:tr w:rsidR="008744AE" w:rsidRPr="00F94455" w:rsidTr="009666AB">
        <w:trPr>
          <w:trHeight w:val="30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AC-N-Mo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0.9580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0.8878</w:t>
            </w:r>
          </w:p>
        </w:tc>
      </w:tr>
      <w:tr w:rsidR="008744AE" w:rsidRPr="00F94455" w:rsidTr="009666AB">
        <w:trPr>
          <w:trHeight w:val="300"/>
        </w:trPr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AC-Mo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0.9223</w:t>
            </w: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0.5397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8744AE" w:rsidRPr="00F94455" w:rsidRDefault="008744AE" w:rsidP="009666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0.9044</w:t>
            </w:r>
          </w:p>
        </w:tc>
      </w:tr>
    </w:tbl>
    <w:p w:rsidR="00D970D8" w:rsidRPr="00571F47" w:rsidRDefault="00D44815" w:rsidP="00571F47">
      <w:pP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455">
        <w:rPr>
          <w:rFonts w:ascii="Times New Roman" w:hAnsi="Times New Roman" w:cs="Times New Roman"/>
          <w:sz w:val="24"/>
          <w:szCs w:val="24"/>
        </w:rPr>
        <w:t xml:space="preserve">a: </w:t>
      </w:r>
      <w:r w:rsidR="002F7E60" w:rsidRPr="00F944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(mgS/g), b: (L/mg), c: (</w:t>
      </w:r>
      <w:r w:rsidR="002F7E60" w:rsidRPr="00F94455">
        <w:rPr>
          <w:rFonts w:ascii="Cambria Math" w:hAnsi="Cambria Math" w:cs="Cambria Math"/>
          <w:sz w:val="24"/>
          <w:szCs w:val="24"/>
        </w:rPr>
        <w:t>𝑚𝑔</w:t>
      </w:r>
      <w:r w:rsidR="002F7E60" w:rsidRPr="00F94455">
        <w:rPr>
          <w:rFonts w:ascii="Times New Roman" w:hAnsi="Times New Roman" w:cs="Times New Roman"/>
          <w:sz w:val="24"/>
          <w:szCs w:val="24"/>
          <w:vertAlign w:val="superscript"/>
        </w:rPr>
        <w:t>(1− 1 /</w:t>
      </w:r>
      <w:r w:rsidR="002F7E60" w:rsidRPr="00F94455">
        <w:rPr>
          <w:rFonts w:ascii="Cambria Math" w:hAnsi="Cambria Math" w:cs="Cambria Math"/>
          <w:sz w:val="24"/>
          <w:szCs w:val="24"/>
          <w:vertAlign w:val="superscript"/>
        </w:rPr>
        <w:t>𝑛</w:t>
      </w:r>
      <w:r w:rsidR="002F7E60" w:rsidRPr="00F94455">
        <w:rPr>
          <w:rFonts w:ascii="Times New Roman" w:hAnsi="Times New Roman" w:cs="Times New Roman"/>
          <w:sz w:val="24"/>
          <w:szCs w:val="24"/>
          <w:vertAlign w:val="superscript"/>
        </w:rPr>
        <w:t xml:space="preserve"> ) </w:t>
      </w:r>
      <w:r w:rsidR="002F7E60" w:rsidRPr="00F94455">
        <w:rPr>
          <w:rFonts w:ascii="Cambria Math" w:hAnsi="Cambria Math" w:cs="Cambria Math"/>
          <w:sz w:val="24"/>
          <w:szCs w:val="24"/>
        </w:rPr>
        <w:t>𝑆</w:t>
      </w:r>
      <w:r w:rsidR="002F7E60" w:rsidRPr="00F94455">
        <w:rPr>
          <w:rFonts w:ascii="Times New Roman" w:hAnsi="Times New Roman" w:cs="Times New Roman"/>
          <w:sz w:val="24"/>
          <w:szCs w:val="24"/>
        </w:rPr>
        <w:t xml:space="preserve"> × </w:t>
      </w:r>
      <w:r w:rsidR="002F7E60" w:rsidRPr="00F94455">
        <w:rPr>
          <w:rFonts w:ascii="Cambria Math" w:hAnsi="Cambria Math" w:cs="Cambria Math"/>
          <w:sz w:val="24"/>
          <w:szCs w:val="24"/>
        </w:rPr>
        <w:t>𝐿</w:t>
      </w:r>
      <w:r w:rsidR="002F7E60" w:rsidRPr="00F94455">
        <w:rPr>
          <w:rFonts w:ascii="Times New Roman" w:hAnsi="Times New Roman" w:cs="Times New Roman"/>
          <w:sz w:val="24"/>
          <w:szCs w:val="24"/>
        </w:rPr>
        <w:t xml:space="preserve"> </w:t>
      </w:r>
      <w:r w:rsidR="002F7E60" w:rsidRPr="00F94455">
        <w:rPr>
          <w:rFonts w:ascii="Times New Roman" w:hAnsi="Times New Roman" w:cs="Times New Roman"/>
          <w:sz w:val="24"/>
          <w:szCs w:val="24"/>
          <w:vertAlign w:val="superscript"/>
        </w:rPr>
        <w:t>1⁄</w:t>
      </w:r>
      <w:r w:rsidR="002F7E60" w:rsidRPr="00F94455">
        <w:rPr>
          <w:rFonts w:ascii="Cambria Math" w:hAnsi="Cambria Math" w:cs="Cambria Math"/>
          <w:sz w:val="24"/>
          <w:szCs w:val="24"/>
          <w:vertAlign w:val="superscript"/>
        </w:rPr>
        <w:t>𝑛</w:t>
      </w:r>
      <w:r w:rsidR="002F7E60" w:rsidRPr="00F94455">
        <w:rPr>
          <w:rFonts w:ascii="Times New Roman" w:hAnsi="Times New Roman" w:cs="Times New Roman"/>
          <w:sz w:val="24"/>
          <w:szCs w:val="24"/>
        </w:rPr>
        <w:t xml:space="preserve"> × </w:t>
      </w:r>
      <w:r w:rsidR="002F7E60" w:rsidRPr="00F94455">
        <w:rPr>
          <w:rFonts w:ascii="Cambria Math" w:hAnsi="Cambria Math" w:cs="Cambria Math"/>
          <w:sz w:val="24"/>
          <w:szCs w:val="24"/>
        </w:rPr>
        <w:t>𝑔</w:t>
      </w:r>
      <w:r w:rsidR="002F7E60" w:rsidRPr="00F94455">
        <w:rPr>
          <w:rFonts w:ascii="Times New Roman" w:hAnsi="Times New Roman" w:cs="Times New Roman"/>
          <w:sz w:val="24"/>
          <w:szCs w:val="24"/>
        </w:rPr>
        <w:t xml:space="preserve"> </w:t>
      </w:r>
      <w:r w:rsidR="002F7E60" w:rsidRPr="00F94455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571F47" w:rsidRPr="00F944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bookmarkStart w:id="0" w:name="_GoBack"/>
      <w:bookmarkEnd w:id="0"/>
    </w:p>
    <w:sectPr w:rsidR="00D970D8" w:rsidRPr="0057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zM0sbQwMzIyszBR0lEKTi0uzszPAykwrAUAfyjz3iwAAAA="/>
  </w:docVars>
  <w:rsids>
    <w:rsidRoot w:val="00273FD3"/>
    <w:rsid w:val="0006603D"/>
    <w:rsid w:val="00095405"/>
    <w:rsid w:val="000E4062"/>
    <w:rsid w:val="0012284F"/>
    <w:rsid w:val="00132988"/>
    <w:rsid w:val="00136CA1"/>
    <w:rsid w:val="00151F98"/>
    <w:rsid w:val="001520C6"/>
    <w:rsid w:val="001733D6"/>
    <w:rsid w:val="00182083"/>
    <w:rsid w:val="001B38A6"/>
    <w:rsid w:val="001F13A7"/>
    <w:rsid w:val="001F420E"/>
    <w:rsid w:val="002062E8"/>
    <w:rsid w:val="00250F1F"/>
    <w:rsid w:val="0027259E"/>
    <w:rsid w:val="00273FD3"/>
    <w:rsid w:val="002819A1"/>
    <w:rsid w:val="002966BE"/>
    <w:rsid w:val="002C3262"/>
    <w:rsid w:val="002E3790"/>
    <w:rsid w:val="002F7E60"/>
    <w:rsid w:val="00304992"/>
    <w:rsid w:val="00322F6B"/>
    <w:rsid w:val="00341F94"/>
    <w:rsid w:val="00345D39"/>
    <w:rsid w:val="00365CEB"/>
    <w:rsid w:val="003C708B"/>
    <w:rsid w:val="003E7B57"/>
    <w:rsid w:val="00402AF6"/>
    <w:rsid w:val="00404AC5"/>
    <w:rsid w:val="00405AF5"/>
    <w:rsid w:val="004834B7"/>
    <w:rsid w:val="00491AA4"/>
    <w:rsid w:val="004B0194"/>
    <w:rsid w:val="004D32D2"/>
    <w:rsid w:val="00511F40"/>
    <w:rsid w:val="0053159D"/>
    <w:rsid w:val="00566E67"/>
    <w:rsid w:val="00571F47"/>
    <w:rsid w:val="00576A50"/>
    <w:rsid w:val="00591920"/>
    <w:rsid w:val="0059281D"/>
    <w:rsid w:val="005A1148"/>
    <w:rsid w:val="005D1A43"/>
    <w:rsid w:val="005E453C"/>
    <w:rsid w:val="00632711"/>
    <w:rsid w:val="00656D57"/>
    <w:rsid w:val="00661EB1"/>
    <w:rsid w:val="0066760C"/>
    <w:rsid w:val="00670510"/>
    <w:rsid w:val="006944EA"/>
    <w:rsid w:val="006945C5"/>
    <w:rsid w:val="006A51F4"/>
    <w:rsid w:val="006B7780"/>
    <w:rsid w:val="006D2A08"/>
    <w:rsid w:val="007046BE"/>
    <w:rsid w:val="0071411C"/>
    <w:rsid w:val="007734AD"/>
    <w:rsid w:val="00777BDD"/>
    <w:rsid w:val="00796290"/>
    <w:rsid w:val="007A123C"/>
    <w:rsid w:val="007C66EE"/>
    <w:rsid w:val="007E50E8"/>
    <w:rsid w:val="007F0F4E"/>
    <w:rsid w:val="0084033D"/>
    <w:rsid w:val="008413DF"/>
    <w:rsid w:val="0087015C"/>
    <w:rsid w:val="008744AE"/>
    <w:rsid w:val="008B32A4"/>
    <w:rsid w:val="008C74CB"/>
    <w:rsid w:val="008E40A1"/>
    <w:rsid w:val="008E7287"/>
    <w:rsid w:val="00942368"/>
    <w:rsid w:val="009E6E9B"/>
    <w:rsid w:val="00A502A2"/>
    <w:rsid w:val="00A53E48"/>
    <w:rsid w:val="00A57809"/>
    <w:rsid w:val="00A65AE6"/>
    <w:rsid w:val="00A6743B"/>
    <w:rsid w:val="00A727B2"/>
    <w:rsid w:val="00AA1358"/>
    <w:rsid w:val="00AC298C"/>
    <w:rsid w:val="00AF511A"/>
    <w:rsid w:val="00B106DD"/>
    <w:rsid w:val="00B4429A"/>
    <w:rsid w:val="00B464E0"/>
    <w:rsid w:val="00B9316C"/>
    <w:rsid w:val="00BC311F"/>
    <w:rsid w:val="00BD4E4D"/>
    <w:rsid w:val="00BF194F"/>
    <w:rsid w:val="00C15F6E"/>
    <w:rsid w:val="00C37081"/>
    <w:rsid w:val="00C5419D"/>
    <w:rsid w:val="00CA7B3E"/>
    <w:rsid w:val="00CB341B"/>
    <w:rsid w:val="00CC790E"/>
    <w:rsid w:val="00D215AC"/>
    <w:rsid w:val="00D44815"/>
    <w:rsid w:val="00D47C4E"/>
    <w:rsid w:val="00D8360D"/>
    <w:rsid w:val="00D91542"/>
    <w:rsid w:val="00D970D8"/>
    <w:rsid w:val="00D97F35"/>
    <w:rsid w:val="00DB258D"/>
    <w:rsid w:val="00DB43A5"/>
    <w:rsid w:val="00DB7313"/>
    <w:rsid w:val="00DF3678"/>
    <w:rsid w:val="00E1596E"/>
    <w:rsid w:val="00E32868"/>
    <w:rsid w:val="00E51B0F"/>
    <w:rsid w:val="00E756C7"/>
    <w:rsid w:val="00E9182F"/>
    <w:rsid w:val="00EA7721"/>
    <w:rsid w:val="00EE3FC5"/>
    <w:rsid w:val="00F0214D"/>
    <w:rsid w:val="00F043B4"/>
    <w:rsid w:val="00F14225"/>
    <w:rsid w:val="00F252F7"/>
    <w:rsid w:val="00F51B91"/>
    <w:rsid w:val="00F76D63"/>
    <w:rsid w:val="00F91EE9"/>
    <w:rsid w:val="00F94455"/>
    <w:rsid w:val="00FC5B87"/>
    <w:rsid w:val="00FC70BC"/>
    <w:rsid w:val="00FD2755"/>
    <w:rsid w:val="00FD60ED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6A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92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6A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928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gsadewale@outlook.com</dc:creator>
  <cp:keywords/>
  <dc:description/>
  <cp:lastModifiedBy>Somasundaram C.</cp:lastModifiedBy>
  <cp:revision>12</cp:revision>
  <dcterms:created xsi:type="dcterms:W3CDTF">2021-03-09T16:12:00Z</dcterms:created>
  <dcterms:modified xsi:type="dcterms:W3CDTF">2021-11-25T01:03:00Z</dcterms:modified>
</cp:coreProperties>
</file>