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F187E1" w14:textId="53142871" w:rsidR="00AE1278" w:rsidRDefault="00AE1278" w:rsidP="00AE1278">
      <w:pPr>
        <w:tabs>
          <w:tab w:val="left" w:pos="0"/>
          <w:tab w:val="left" w:pos="90"/>
        </w:tabs>
        <w:autoSpaceDE w:val="0"/>
        <w:autoSpaceDN w:val="0"/>
        <w:adjustRightInd w:val="0"/>
        <w:spacing w:after="0" w:line="240" w:lineRule="auto"/>
        <w:jc w:val="center"/>
        <w:rPr>
          <w:rFonts w:asciiTheme="majorBidi" w:hAnsiTheme="majorBidi" w:cstheme="majorBidi"/>
          <w:b/>
          <w:bCs/>
          <w:color w:val="000000"/>
          <w:sz w:val="24"/>
          <w:szCs w:val="24"/>
        </w:rPr>
      </w:pPr>
      <w:r>
        <w:rPr>
          <w:rFonts w:asciiTheme="majorBidi" w:hAnsiTheme="majorBidi" w:cstheme="majorBidi"/>
          <w:b/>
          <w:bCs/>
          <w:color w:val="000000"/>
          <w:sz w:val="24"/>
          <w:szCs w:val="24"/>
        </w:rPr>
        <w:t>Design, synthesis of new novel quinoxalin</w:t>
      </w:r>
      <w:r w:rsidRPr="00CB2D30">
        <w:rPr>
          <w:rFonts w:asciiTheme="majorBidi" w:hAnsiTheme="majorBidi" w:cstheme="majorBidi"/>
          <w:b/>
          <w:bCs/>
          <w:sz w:val="24"/>
          <w:szCs w:val="24"/>
        </w:rPr>
        <w:t>-2(1</w:t>
      </w:r>
      <w:r w:rsidRPr="00CB2D30">
        <w:rPr>
          <w:rFonts w:asciiTheme="majorBidi" w:hAnsiTheme="majorBidi" w:cstheme="majorBidi"/>
          <w:b/>
          <w:bCs/>
          <w:i/>
          <w:iCs/>
          <w:sz w:val="24"/>
          <w:szCs w:val="24"/>
        </w:rPr>
        <w:t>H</w:t>
      </w:r>
      <w:r w:rsidRPr="00CB2D30">
        <w:rPr>
          <w:rFonts w:asciiTheme="majorBidi" w:hAnsiTheme="majorBidi" w:cstheme="majorBidi"/>
          <w:b/>
          <w:bCs/>
          <w:sz w:val="24"/>
          <w:szCs w:val="24"/>
        </w:rPr>
        <w:t xml:space="preserve">)-one </w:t>
      </w:r>
      <w:r>
        <w:rPr>
          <w:rFonts w:asciiTheme="majorBidi" w:hAnsiTheme="majorBidi" w:cstheme="majorBidi"/>
          <w:b/>
          <w:bCs/>
          <w:color w:val="000000"/>
          <w:sz w:val="24"/>
          <w:szCs w:val="24"/>
        </w:rPr>
        <w:t>derivatives incorporating hydrazone, hydrazine, and pyrazol</w:t>
      </w:r>
      <w:r w:rsidR="005071B3">
        <w:rPr>
          <w:rFonts w:asciiTheme="majorBidi" w:hAnsiTheme="majorBidi" w:cstheme="majorBidi"/>
          <w:b/>
          <w:bCs/>
          <w:color w:val="000000"/>
          <w:sz w:val="24"/>
          <w:szCs w:val="24"/>
        </w:rPr>
        <w:t>e</w:t>
      </w:r>
      <w:r>
        <w:rPr>
          <w:rFonts w:asciiTheme="majorBidi" w:hAnsiTheme="majorBidi" w:cstheme="majorBidi"/>
          <w:b/>
          <w:bCs/>
          <w:color w:val="000000"/>
          <w:sz w:val="24"/>
          <w:szCs w:val="24"/>
        </w:rPr>
        <w:t xml:space="preserve"> moieties as antimicrobial potential with </w:t>
      </w:r>
      <w:r w:rsidRPr="005071B3">
        <w:rPr>
          <w:rFonts w:asciiTheme="majorBidi" w:hAnsiTheme="majorBidi" w:cstheme="majorBidi"/>
          <w:b/>
          <w:bCs/>
          <w:i/>
          <w:iCs/>
          <w:color w:val="000000"/>
          <w:sz w:val="24"/>
          <w:szCs w:val="24"/>
        </w:rPr>
        <w:t>in</w:t>
      </w:r>
      <w:r w:rsidR="005071B3" w:rsidRPr="005071B3">
        <w:rPr>
          <w:rFonts w:asciiTheme="majorBidi" w:hAnsiTheme="majorBidi" w:cstheme="majorBidi"/>
          <w:b/>
          <w:bCs/>
          <w:i/>
          <w:iCs/>
          <w:color w:val="000000"/>
          <w:sz w:val="24"/>
          <w:szCs w:val="24"/>
        </w:rPr>
        <w:t>-</w:t>
      </w:r>
      <w:r w:rsidRPr="005071B3">
        <w:rPr>
          <w:rFonts w:asciiTheme="majorBidi" w:hAnsiTheme="majorBidi" w:cstheme="majorBidi"/>
          <w:b/>
          <w:bCs/>
          <w:i/>
          <w:iCs/>
          <w:color w:val="000000"/>
          <w:sz w:val="24"/>
          <w:szCs w:val="24"/>
        </w:rPr>
        <w:t>silico</w:t>
      </w:r>
      <w:r w:rsidRPr="00806958">
        <w:rPr>
          <w:rFonts w:asciiTheme="majorBidi" w:hAnsiTheme="majorBidi" w:cstheme="majorBidi"/>
          <w:b/>
          <w:bCs/>
          <w:color w:val="000000"/>
          <w:sz w:val="24"/>
          <w:szCs w:val="24"/>
        </w:rPr>
        <w:t xml:space="preserve"> ADME </w:t>
      </w:r>
      <w:r>
        <w:rPr>
          <w:rFonts w:asciiTheme="majorBidi" w:hAnsiTheme="majorBidi" w:cstheme="majorBidi"/>
          <w:b/>
          <w:bCs/>
          <w:color w:val="000000"/>
          <w:sz w:val="24"/>
          <w:szCs w:val="24"/>
        </w:rPr>
        <w:t>and molecular docking simulation</w:t>
      </w:r>
    </w:p>
    <w:p w14:paraId="00F6977D" w14:textId="77777777" w:rsidR="00AE1278" w:rsidRPr="00245A04" w:rsidRDefault="00AE1278" w:rsidP="00AE1278">
      <w:pPr>
        <w:spacing w:before="240" w:after="0" w:line="360" w:lineRule="auto"/>
        <w:jc w:val="center"/>
        <w:rPr>
          <w:rFonts w:ascii="Times New Roman" w:hAnsi="Times New Roman" w:cs="Times New Roman"/>
          <w:sz w:val="24"/>
          <w:szCs w:val="24"/>
        </w:rPr>
      </w:pPr>
      <w:r w:rsidRPr="00245A04">
        <w:rPr>
          <w:rFonts w:ascii="Times New Roman" w:hAnsi="Times New Roman" w:cs="Times New Roman"/>
          <w:sz w:val="24"/>
          <w:szCs w:val="24"/>
        </w:rPr>
        <w:t>Ahmed Ragab</w:t>
      </w:r>
      <w:r w:rsidRPr="00245A04">
        <w:rPr>
          <w:rFonts w:ascii="Times New Roman" w:hAnsi="Times New Roman" w:cs="Times New Roman"/>
          <w:sz w:val="24"/>
          <w:szCs w:val="24"/>
          <w:vertAlign w:val="superscript"/>
        </w:rPr>
        <w:t>1, *</w:t>
      </w:r>
      <w:r w:rsidRPr="00245A04">
        <w:rPr>
          <w:rFonts w:ascii="Times New Roman" w:hAnsi="Times New Roman" w:cs="Times New Roman"/>
          <w:sz w:val="24"/>
          <w:szCs w:val="24"/>
        </w:rPr>
        <w:t>, Doaa M. Elsisi</w:t>
      </w:r>
      <w:r w:rsidRPr="00245A04">
        <w:rPr>
          <w:rFonts w:ascii="Times New Roman" w:hAnsi="Times New Roman" w:cs="Times New Roman"/>
          <w:sz w:val="24"/>
          <w:szCs w:val="24"/>
          <w:vertAlign w:val="superscript"/>
        </w:rPr>
        <w:t>2</w:t>
      </w:r>
      <w:r w:rsidRPr="00245A04">
        <w:rPr>
          <w:rFonts w:ascii="Times New Roman" w:hAnsi="Times New Roman" w:cs="Times New Roman"/>
          <w:sz w:val="24"/>
          <w:szCs w:val="24"/>
        </w:rPr>
        <w:t xml:space="preserve">, </w:t>
      </w:r>
      <w:r w:rsidRPr="00303AC4">
        <w:rPr>
          <w:rFonts w:ascii="Times New Roman" w:hAnsi="Times New Roman" w:cs="Times New Roman"/>
          <w:sz w:val="24"/>
          <w:szCs w:val="24"/>
        </w:rPr>
        <w:t>Ola A. Abu Ali</w:t>
      </w:r>
      <w:r>
        <w:rPr>
          <w:rFonts w:ascii="Times New Roman" w:hAnsi="Times New Roman" w:cs="Times New Roman"/>
          <w:sz w:val="24"/>
          <w:szCs w:val="24"/>
          <w:vertAlign w:val="superscript"/>
        </w:rPr>
        <w:t>3</w:t>
      </w:r>
      <w:r w:rsidRPr="00245A04">
        <w:rPr>
          <w:rFonts w:ascii="Times New Roman" w:hAnsi="Times New Roman" w:cs="Times New Roman"/>
          <w:sz w:val="24"/>
          <w:szCs w:val="24"/>
        </w:rPr>
        <w:t xml:space="preserve">, </w:t>
      </w:r>
      <w:r w:rsidRPr="00303AC4">
        <w:rPr>
          <w:rFonts w:ascii="Times New Roman" w:hAnsi="Times New Roman" w:cs="Times New Roman"/>
          <w:sz w:val="24"/>
          <w:szCs w:val="24"/>
        </w:rPr>
        <w:t>Moustafa S. Abusaif</w:t>
      </w:r>
      <w:r>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sidRPr="00245A04">
        <w:rPr>
          <w:rFonts w:ascii="Times New Roman" w:hAnsi="Times New Roman" w:cs="Times New Roman"/>
          <w:sz w:val="24"/>
          <w:szCs w:val="24"/>
        </w:rPr>
        <w:t>Ahmed A. Askar</w:t>
      </w:r>
      <w:r>
        <w:rPr>
          <w:rFonts w:ascii="Times New Roman" w:hAnsi="Times New Roman" w:cs="Times New Roman"/>
          <w:sz w:val="24"/>
          <w:szCs w:val="24"/>
          <w:vertAlign w:val="superscript"/>
        </w:rPr>
        <w:t>4</w:t>
      </w:r>
      <w:r w:rsidRPr="00245A04">
        <w:rPr>
          <w:rFonts w:ascii="Times New Roman" w:hAnsi="Times New Roman" w:cs="Times New Roman"/>
          <w:sz w:val="24"/>
          <w:szCs w:val="24"/>
        </w:rPr>
        <w:t>, Awatef A. Farag</w:t>
      </w:r>
      <w:r w:rsidRPr="00245A04">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sidRPr="00245A04">
        <w:rPr>
          <w:rFonts w:ascii="Times New Roman" w:hAnsi="Times New Roman" w:cs="Times New Roman"/>
          <w:sz w:val="24"/>
          <w:szCs w:val="24"/>
        </w:rPr>
        <w:t>and Yousry A. Ammar</w:t>
      </w:r>
      <w:proofErr w:type="gramStart"/>
      <w:r w:rsidRPr="00245A04">
        <w:rPr>
          <w:rFonts w:ascii="Times New Roman" w:hAnsi="Times New Roman" w:cs="Times New Roman"/>
          <w:sz w:val="24"/>
          <w:szCs w:val="24"/>
          <w:vertAlign w:val="superscript"/>
        </w:rPr>
        <w:t>1,*</w:t>
      </w:r>
      <w:proofErr w:type="gramEnd"/>
    </w:p>
    <w:p w14:paraId="0F1E343C" w14:textId="77777777" w:rsidR="00AE1278" w:rsidRPr="00CC26FD" w:rsidRDefault="00AE1278" w:rsidP="00AE1278">
      <w:pPr>
        <w:spacing w:after="0" w:line="360" w:lineRule="auto"/>
        <w:jc w:val="both"/>
        <w:rPr>
          <w:rFonts w:ascii="Times New Roman" w:hAnsi="Times New Roman" w:cs="Times New Roman"/>
          <w:i/>
          <w:iCs/>
        </w:rPr>
      </w:pPr>
      <w:r w:rsidRPr="00CC26FD">
        <w:rPr>
          <w:rFonts w:ascii="Times New Roman" w:hAnsi="Times New Roman" w:cs="Times New Roman"/>
          <w:i/>
          <w:iCs/>
          <w:vertAlign w:val="superscript"/>
        </w:rPr>
        <w:t>1</w:t>
      </w:r>
      <w:r w:rsidRPr="00CC26FD">
        <w:rPr>
          <w:rFonts w:ascii="Times New Roman" w:hAnsi="Times New Roman" w:cs="Times New Roman"/>
          <w:i/>
          <w:iCs/>
        </w:rPr>
        <w:t>Department of Chemistry, Faculty of Science (Boys), Al-Azhar University, Nasr City,11884, Cairo, Egypt.</w:t>
      </w:r>
    </w:p>
    <w:p w14:paraId="14C6A084" w14:textId="77777777" w:rsidR="00AE1278" w:rsidRPr="00245A04" w:rsidRDefault="00AE1278" w:rsidP="00AE1278">
      <w:pPr>
        <w:spacing w:after="0" w:line="360" w:lineRule="auto"/>
        <w:jc w:val="both"/>
        <w:rPr>
          <w:rFonts w:ascii="Times New Roman" w:hAnsi="Times New Roman" w:cs="Times New Roman"/>
          <w:i/>
          <w:iCs/>
        </w:rPr>
      </w:pPr>
      <w:r w:rsidRPr="00245A04">
        <w:rPr>
          <w:rFonts w:ascii="Times New Roman" w:hAnsi="Times New Roman" w:cs="Times New Roman"/>
          <w:vertAlign w:val="superscript"/>
        </w:rPr>
        <w:t>2</w:t>
      </w:r>
      <w:r w:rsidRPr="00245A04">
        <w:rPr>
          <w:rFonts w:ascii="Times New Roman" w:hAnsi="Times New Roman" w:cs="Times New Roman"/>
          <w:i/>
          <w:iCs/>
        </w:rPr>
        <w:t>Department of Chemistry, Faculty of Science (Girls), Al-Azhar University, Nasr City, Cairo, Egypt.</w:t>
      </w:r>
    </w:p>
    <w:p w14:paraId="2308A835" w14:textId="77777777" w:rsidR="00AE1278" w:rsidRPr="00245A04" w:rsidRDefault="00AE1278" w:rsidP="00AE1278">
      <w:pPr>
        <w:spacing w:after="0" w:line="360" w:lineRule="auto"/>
        <w:jc w:val="both"/>
        <w:rPr>
          <w:rFonts w:ascii="Times New Roman" w:hAnsi="Times New Roman" w:cs="Times New Roman"/>
          <w:i/>
          <w:iCs/>
        </w:rPr>
      </w:pPr>
      <w:r w:rsidRPr="00245A04">
        <w:rPr>
          <w:rFonts w:ascii="Times New Roman" w:hAnsi="Times New Roman" w:cs="Times New Roman"/>
          <w:i/>
          <w:iCs/>
          <w:vertAlign w:val="superscript"/>
        </w:rPr>
        <w:t>3</w:t>
      </w:r>
      <w:r w:rsidRPr="00303AC4">
        <w:rPr>
          <w:rFonts w:ascii="Times New Roman" w:hAnsi="Times New Roman" w:cs="Times New Roman"/>
          <w:i/>
          <w:iCs/>
        </w:rPr>
        <w:t xml:space="preserve">Department of Chemistry, College of Science, Taif University, </w:t>
      </w:r>
      <w:proofErr w:type="spellStart"/>
      <w:r w:rsidRPr="00303AC4">
        <w:rPr>
          <w:rFonts w:ascii="Times New Roman" w:hAnsi="Times New Roman" w:cs="Times New Roman"/>
          <w:i/>
          <w:iCs/>
        </w:rPr>
        <w:t>P.</w:t>
      </w:r>
      <w:proofErr w:type="gramStart"/>
      <w:r w:rsidRPr="00303AC4">
        <w:rPr>
          <w:rFonts w:ascii="Times New Roman" w:hAnsi="Times New Roman" w:cs="Times New Roman"/>
          <w:i/>
          <w:iCs/>
        </w:rPr>
        <w:t>O.Box</w:t>
      </w:r>
      <w:proofErr w:type="spellEnd"/>
      <w:proofErr w:type="gramEnd"/>
      <w:r w:rsidRPr="00303AC4">
        <w:rPr>
          <w:rFonts w:ascii="Times New Roman" w:hAnsi="Times New Roman" w:cs="Times New Roman"/>
          <w:i/>
          <w:iCs/>
        </w:rPr>
        <w:t xml:space="preserve"> 11099 Taif 21944, Saudi Arabia </w:t>
      </w:r>
      <w:r>
        <w:rPr>
          <w:rFonts w:ascii="Times New Roman" w:hAnsi="Times New Roman" w:cs="Times New Roman"/>
          <w:i/>
          <w:iCs/>
          <w:vertAlign w:val="superscript"/>
        </w:rPr>
        <w:t>4</w:t>
      </w:r>
      <w:r w:rsidRPr="00245A04">
        <w:rPr>
          <w:rFonts w:ascii="Times New Roman" w:hAnsi="Times New Roman" w:cs="Times New Roman"/>
          <w:i/>
          <w:iCs/>
        </w:rPr>
        <w:t>Department of Botany and Microbiology, Faculty of Science (Boys), Al-Azhar University, Nasr City, Cairo, Egypt</w:t>
      </w:r>
    </w:p>
    <w:p w14:paraId="2CBB5EE7" w14:textId="74C39F51" w:rsidR="00A15BB5" w:rsidRDefault="00A15BB5"/>
    <w:p w14:paraId="0FC3E5F5" w14:textId="6959A179" w:rsidR="00AE1278" w:rsidRDefault="00AE1278"/>
    <w:p w14:paraId="2E948503" w14:textId="589F6D39" w:rsidR="00AE1278" w:rsidRDefault="00AE1278">
      <w:r>
        <w:br w:type="page"/>
      </w:r>
    </w:p>
    <w:p w14:paraId="2AF487AC" w14:textId="0EA5CF2C" w:rsidR="00136E97" w:rsidRDefault="00136E97" w:rsidP="00136E97">
      <w:pPr>
        <w:pStyle w:val="Heading2"/>
        <w:spacing w:after="240"/>
        <w:rPr>
          <w:rFonts w:ascii="Times New Roman" w:hAnsi="Times New Roman" w:cs="Times New Roman"/>
          <w:b/>
          <w:bCs/>
          <w:color w:val="auto"/>
          <w:sz w:val="24"/>
          <w:szCs w:val="24"/>
        </w:rPr>
      </w:pPr>
      <w:r w:rsidRPr="00136E97">
        <w:rPr>
          <w:rFonts w:ascii="Times New Roman" w:hAnsi="Times New Roman" w:cs="Times New Roman"/>
          <w:b/>
          <w:bCs/>
          <w:color w:val="auto"/>
          <w:sz w:val="24"/>
          <w:szCs w:val="24"/>
        </w:rPr>
        <w:lastRenderedPageBreak/>
        <w:t>DFT study</w:t>
      </w:r>
    </w:p>
    <w:p w14:paraId="27E0D694" w14:textId="07D8E0C6" w:rsidR="00136E97" w:rsidRPr="00136E97" w:rsidRDefault="00136E97" w:rsidP="00136E97">
      <w:pPr>
        <w:spacing w:line="360" w:lineRule="auto"/>
        <w:rPr>
          <w:rFonts w:ascii="Times New Roman" w:eastAsia="Time-Roman" w:hAnsi="Times New Roman" w:cs="Times New Roman"/>
          <w:sz w:val="24"/>
          <w:szCs w:val="24"/>
          <w:lang w:val="en-GB"/>
        </w:rPr>
      </w:pPr>
      <w:r w:rsidRPr="00136E97">
        <w:rPr>
          <w:rFonts w:ascii="Times New Roman" w:eastAsia="Time-Roman" w:hAnsi="Times New Roman" w:cs="Times New Roman"/>
          <w:sz w:val="24"/>
          <w:szCs w:val="24"/>
          <w:lang w:val="en-GB"/>
        </w:rPr>
        <w:t xml:space="preserve">From study the numbering chemical structure of </w:t>
      </w:r>
      <w:r w:rsidRPr="00136E97">
        <w:rPr>
          <w:rFonts w:ascii="Times New Roman" w:eastAsia="Time-Roman" w:hAnsi="Times New Roman" w:cs="Times New Roman"/>
          <w:b/>
          <w:bCs/>
          <w:sz w:val="24"/>
          <w:szCs w:val="24"/>
          <w:lang w:val="en-GB"/>
        </w:rPr>
        <w:t>2</w:t>
      </w:r>
      <w:r w:rsidRPr="00136E97">
        <w:rPr>
          <w:rFonts w:ascii="Times New Roman" w:eastAsia="Time-Roman" w:hAnsi="Times New Roman" w:cs="Times New Roman"/>
          <w:sz w:val="24"/>
          <w:szCs w:val="24"/>
          <w:lang w:val="en-GB"/>
        </w:rPr>
        <w:t>, we suggested that the C</w:t>
      </w:r>
      <w:r w:rsidRPr="00136E97">
        <w:rPr>
          <w:rFonts w:ascii="Times New Roman" w:eastAsia="Time-Roman" w:hAnsi="Times New Roman" w:cs="Times New Roman"/>
          <w:sz w:val="24"/>
          <w:szCs w:val="24"/>
          <w:vertAlign w:val="subscript"/>
          <w:lang w:val="en-GB"/>
        </w:rPr>
        <w:t>7</w:t>
      </w:r>
      <w:r w:rsidRPr="00136E97">
        <w:rPr>
          <w:rFonts w:ascii="Times New Roman" w:eastAsia="Time-Roman" w:hAnsi="Times New Roman" w:cs="Times New Roman"/>
          <w:sz w:val="24"/>
          <w:szCs w:val="24"/>
          <w:lang w:val="en-GB"/>
        </w:rPr>
        <w:t>=O</w:t>
      </w:r>
      <w:r w:rsidRPr="00136E97">
        <w:rPr>
          <w:rFonts w:ascii="Times New Roman" w:eastAsia="Time-Roman" w:hAnsi="Times New Roman" w:cs="Times New Roman"/>
          <w:sz w:val="24"/>
          <w:szCs w:val="24"/>
          <w:vertAlign w:val="subscript"/>
          <w:lang w:val="en-GB"/>
        </w:rPr>
        <w:t>21</w:t>
      </w:r>
      <w:r w:rsidRPr="00136E97">
        <w:rPr>
          <w:rFonts w:ascii="Times New Roman" w:eastAsia="Time-Roman" w:hAnsi="Times New Roman" w:cs="Times New Roman"/>
          <w:sz w:val="24"/>
          <w:szCs w:val="24"/>
          <w:lang w:val="en-GB"/>
        </w:rPr>
        <w:t xml:space="preserve"> group is more active carbonyl against hydrazine attack. To confirm this postulation, we used the </w:t>
      </w:r>
      <w:r w:rsidRPr="00136E97">
        <w:rPr>
          <w:rFonts w:ascii="Times New Roman" w:eastAsia="Time-Roman" w:hAnsi="Times New Roman" w:cs="Times New Roman"/>
          <w:sz w:val="24"/>
          <w:szCs w:val="24"/>
        </w:rPr>
        <w:t>B3LYP/6-311</w:t>
      </w:r>
      <w:r w:rsidRPr="00136E97">
        <w:rPr>
          <w:rFonts w:ascii="Times New Roman" w:eastAsia="Time-Roman" w:hAnsi="Times New Roman" w:cs="Times New Roman"/>
          <w:sz w:val="24"/>
          <w:szCs w:val="24"/>
          <w:vertAlign w:val="superscript"/>
        </w:rPr>
        <w:t>++</w:t>
      </w:r>
      <w:r w:rsidRPr="00136E97">
        <w:rPr>
          <w:rFonts w:ascii="Times New Roman" w:eastAsia="Time-Roman" w:hAnsi="Times New Roman" w:cs="Times New Roman"/>
          <w:sz w:val="24"/>
          <w:szCs w:val="24"/>
        </w:rPr>
        <w:t>G (</w:t>
      </w:r>
      <w:proofErr w:type="spellStart"/>
      <w:proofErr w:type="gramStart"/>
      <w:r w:rsidRPr="00136E97">
        <w:rPr>
          <w:rFonts w:ascii="Times New Roman" w:eastAsia="Time-Roman" w:hAnsi="Times New Roman" w:cs="Times New Roman"/>
          <w:sz w:val="24"/>
          <w:szCs w:val="24"/>
        </w:rPr>
        <w:t>d,p</w:t>
      </w:r>
      <w:proofErr w:type="spellEnd"/>
      <w:proofErr w:type="gramEnd"/>
      <w:r w:rsidRPr="00136E97">
        <w:rPr>
          <w:rFonts w:ascii="Times New Roman" w:eastAsia="Time-Roman" w:hAnsi="Times New Roman" w:cs="Times New Roman"/>
          <w:sz w:val="24"/>
          <w:szCs w:val="24"/>
        </w:rPr>
        <w:t xml:space="preserve">) simulation </w:t>
      </w:r>
      <w:r w:rsidRPr="00136E97">
        <w:rPr>
          <w:rFonts w:ascii="Times New Roman" w:eastAsia="Time-Roman" w:hAnsi="Times New Roman" w:cs="Times New Roman"/>
          <w:sz w:val="24"/>
          <w:szCs w:val="24"/>
          <w:lang w:val="en-GB"/>
        </w:rPr>
        <w:t>to predict the most suitable route for hydrazine attack (</w:t>
      </w:r>
      <w:r w:rsidRPr="00136E97">
        <w:rPr>
          <w:rFonts w:ascii="Times New Roman" w:eastAsia="Time-Roman" w:hAnsi="Times New Roman" w:cs="Times New Roman"/>
          <w:b/>
          <w:bCs/>
          <w:sz w:val="24"/>
          <w:szCs w:val="24"/>
          <w:lang w:val="en-GB"/>
        </w:rPr>
        <w:t xml:space="preserve">Scheme </w:t>
      </w:r>
      <w:r>
        <w:rPr>
          <w:rFonts w:ascii="Times New Roman" w:eastAsia="Time-Roman" w:hAnsi="Times New Roman" w:cs="Times New Roman"/>
          <w:b/>
          <w:bCs/>
          <w:sz w:val="24"/>
          <w:szCs w:val="24"/>
          <w:lang w:val="en-GB"/>
        </w:rPr>
        <w:t>S1).</w:t>
      </w:r>
      <w:r w:rsidRPr="00136E97">
        <w:rPr>
          <w:rFonts w:ascii="Times New Roman" w:eastAsia="Time-Roman" w:hAnsi="Times New Roman" w:cs="Times New Roman"/>
          <w:sz w:val="24"/>
          <w:szCs w:val="24"/>
          <w:rtl/>
          <w:lang w:val="en-GB"/>
        </w:rPr>
        <w:t xml:space="preserve"> </w:t>
      </w:r>
      <w:r w:rsidRPr="00136E97">
        <w:rPr>
          <w:rFonts w:ascii="Times New Roman" w:eastAsia="Time-Roman" w:hAnsi="Times New Roman" w:cs="Times New Roman"/>
          <w:sz w:val="24"/>
          <w:szCs w:val="24"/>
          <w:lang w:val="en-GB"/>
        </w:rPr>
        <w:t xml:space="preserve"> The total energy for suggested intermediate </w:t>
      </w:r>
      <w:r>
        <w:rPr>
          <w:rFonts w:ascii="Times New Roman" w:eastAsia="Time-Roman" w:hAnsi="Times New Roman" w:cs="Times New Roman"/>
          <w:b/>
          <w:bCs/>
          <w:sz w:val="24"/>
          <w:szCs w:val="24"/>
          <w:lang w:val="en-GB"/>
        </w:rPr>
        <w:t>A</w:t>
      </w:r>
      <w:r w:rsidRPr="00136E97">
        <w:rPr>
          <w:rFonts w:ascii="Times New Roman" w:eastAsia="Time-Roman" w:hAnsi="Times New Roman" w:cs="Times New Roman"/>
          <w:b/>
          <w:bCs/>
          <w:sz w:val="24"/>
          <w:szCs w:val="24"/>
          <w:lang w:val="en-GB"/>
        </w:rPr>
        <w:t xml:space="preserve"> </w:t>
      </w:r>
      <w:r w:rsidRPr="00136E97">
        <w:rPr>
          <w:rFonts w:ascii="Times New Roman" w:eastAsia="Time-Roman" w:hAnsi="Times New Roman" w:cs="Times New Roman"/>
          <w:sz w:val="24"/>
          <w:szCs w:val="24"/>
          <w:lang w:val="en-GB"/>
        </w:rPr>
        <w:t xml:space="preserve">is lower than </w:t>
      </w:r>
      <w:r>
        <w:rPr>
          <w:rFonts w:ascii="Times New Roman" w:eastAsia="Time-Roman" w:hAnsi="Times New Roman" w:cs="Times New Roman"/>
          <w:b/>
          <w:bCs/>
          <w:sz w:val="24"/>
          <w:szCs w:val="24"/>
          <w:lang w:val="en-GB"/>
        </w:rPr>
        <w:t>B</w:t>
      </w:r>
      <w:r w:rsidRPr="00136E97">
        <w:rPr>
          <w:rFonts w:ascii="Times New Roman" w:eastAsia="Time-Roman" w:hAnsi="Times New Roman" w:cs="Times New Roman"/>
          <w:sz w:val="24"/>
          <w:szCs w:val="24"/>
          <w:lang w:val="en-GB"/>
        </w:rPr>
        <w:t xml:space="preserve"> about </w:t>
      </w:r>
      <w:r w:rsidRPr="00136E97">
        <w:rPr>
          <w:rFonts w:ascii="Times New Roman" w:eastAsia="Time-Roman" w:hAnsi="Times New Roman" w:cs="Times New Roman"/>
          <w:b/>
          <w:bCs/>
          <w:sz w:val="24"/>
          <w:szCs w:val="24"/>
          <w:rtl/>
          <w:lang w:val="en-GB"/>
        </w:rPr>
        <w:t xml:space="preserve">43 </w:t>
      </w:r>
      <w:r w:rsidRPr="00136E97">
        <w:rPr>
          <w:rFonts w:ascii="Times New Roman" w:eastAsia="Time-Roman" w:hAnsi="Times New Roman" w:cs="Times New Roman"/>
          <w:sz w:val="24"/>
          <w:szCs w:val="24"/>
          <w:lang w:val="en-GB"/>
        </w:rPr>
        <w:t>Kcal/mol, while</w:t>
      </w:r>
      <w:r w:rsidRPr="00136E97">
        <w:rPr>
          <w:rFonts w:ascii="Times New Roman" w:eastAsia="Time-Roman" w:hAnsi="Times New Roman" w:cs="Times New Roman"/>
          <w:sz w:val="24"/>
          <w:szCs w:val="24"/>
          <w:rtl/>
          <w:lang w:val="en-GB" w:bidi="ar-EG"/>
        </w:rPr>
        <w:t xml:space="preserve"> </w:t>
      </w:r>
      <w:r w:rsidRPr="00136E97">
        <w:rPr>
          <w:rFonts w:ascii="Times New Roman" w:eastAsia="Time-Roman" w:hAnsi="Times New Roman" w:cs="Times New Roman"/>
          <w:sz w:val="24"/>
          <w:szCs w:val="24"/>
          <w:lang w:val="en-GB"/>
        </w:rPr>
        <w:t xml:space="preserve">the proposed final product </w:t>
      </w:r>
      <w:r w:rsidRPr="00136E97">
        <w:rPr>
          <w:rFonts w:ascii="Times New Roman" w:eastAsia="Time-Roman" w:hAnsi="Times New Roman" w:cs="Times New Roman"/>
          <w:b/>
          <w:bCs/>
          <w:sz w:val="24"/>
          <w:szCs w:val="24"/>
          <w:lang w:val="en-GB"/>
        </w:rPr>
        <w:t>5</w:t>
      </w:r>
      <w:r w:rsidRPr="00136E97">
        <w:rPr>
          <w:rFonts w:ascii="Times New Roman" w:eastAsia="Time-Roman" w:hAnsi="Times New Roman" w:cs="Times New Roman"/>
          <w:sz w:val="24"/>
          <w:szCs w:val="24"/>
        </w:rPr>
        <w:t xml:space="preserve"> has slightly lower energy than </w:t>
      </w:r>
      <w:r w:rsidRPr="00136E97">
        <w:rPr>
          <w:rFonts w:ascii="Times New Roman" w:eastAsia="Time-Roman" w:hAnsi="Times New Roman" w:cs="Times New Roman"/>
          <w:b/>
          <w:bCs/>
          <w:sz w:val="24"/>
          <w:szCs w:val="24"/>
        </w:rPr>
        <w:t>4</w:t>
      </w:r>
      <w:r w:rsidRPr="00136E97">
        <w:rPr>
          <w:rFonts w:ascii="Times New Roman" w:eastAsia="Time-Roman" w:hAnsi="Times New Roman" w:cs="Times New Roman"/>
          <w:sz w:val="24"/>
          <w:szCs w:val="24"/>
        </w:rPr>
        <w:t xml:space="preserve"> structure.</w:t>
      </w:r>
      <w:r w:rsidRPr="00136E97">
        <w:rPr>
          <w:rFonts w:ascii="Times New Roman" w:eastAsia="Time-Roman" w:hAnsi="Times New Roman" w:cs="Times New Roman"/>
          <w:sz w:val="24"/>
          <w:szCs w:val="24"/>
          <w:lang w:val="en-GB"/>
        </w:rPr>
        <w:t xml:space="preserve"> The </w:t>
      </w:r>
      <w:r w:rsidRPr="00136E97">
        <w:rPr>
          <w:rFonts w:ascii="Times New Roman" w:eastAsia="Time-Roman" w:hAnsi="Times New Roman" w:cs="Times New Roman"/>
          <w:b/>
          <w:bCs/>
          <w:sz w:val="24"/>
          <w:szCs w:val="24"/>
          <w:lang w:val="en-GB"/>
        </w:rPr>
        <w:t>3a</w:t>
      </w:r>
      <w:r w:rsidRPr="00136E97">
        <w:rPr>
          <w:rFonts w:ascii="Times New Roman" w:eastAsia="Time-Roman" w:hAnsi="Times New Roman" w:cs="Times New Roman"/>
          <w:sz w:val="24"/>
          <w:szCs w:val="24"/>
          <w:lang w:val="en-GB"/>
        </w:rPr>
        <w:t xml:space="preserve"> and </w:t>
      </w:r>
      <w:r w:rsidRPr="00136E97">
        <w:rPr>
          <w:rFonts w:ascii="Times New Roman" w:eastAsia="Time-Roman" w:hAnsi="Times New Roman" w:cs="Times New Roman"/>
          <w:b/>
          <w:bCs/>
          <w:sz w:val="24"/>
          <w:szCs w:val="24"/>
          <w:lang w:val="en-GB"/>
        </w:rPr>
        <w:t>3b</w:t>
      </w:r>
      <w:r w:rsidRPr="00136E97">
        <w:rPr>
          <w:rFonts w:ascii="Times New Roman" w:eastAsia="Time-Roman" w:hAnsi="Times New Roman" w:cs="Times New Roman"/>
          <w:sz w:val="24"/>
          <w:szCs w:val="24"/>
          <w:lang w:val="en-GB"/>
        </w:rPr>
        <w:t xml:space="preserve"> have been stabilized by arrangement rings for quinazoline and morphine in parallel mode.</w:t>
      </w:r>
    </w:p>
    <w:p w14:paraId="38F3E867" w14:textId="10065E4E" w:rsidR="00136E97" w:rsidRPr="00136E97" w:rsidRDefault="005F13A3" w:rsidP="00136E97">
      <w:pPr>
        <w:jc w:val="center"/>
        <w:rPr>
          <w:rFonts w:ascii="Times New Roman" w:hAnsi="Times New Roman" w:cs="Times New Roman"/>
          <w:b/>
          <w:bCs/>
          <w:sz w:val="24"/>
          <w:szCs w:val="24"/>
          <w:lang w:val="en-GB"/>
        </w:rPr>
      </w:pPr>
      <w:r w:rsidRPr="005F13A3">
        <w:rPr>
          <w:rFonts w:ascii="Times New Roman" w:hAnsi="Times New Roman" w:cs="Times New Roman"/>
          <w:b/>
          <w:bCs/>
          <w:noProof/>
          <w:sz w:val="24"/>
          <w:szCs w:val="24"/>
          <w:lang w:val="en-GB"/>
        </w:rPr>
        <w:drawing>
          <wp:inline distT="0" distB="0" distL="0" distR="0" wp14:anchorId="5F42DE0D" wp14:editId="20DD1142">
            <wp:extent cx="5617210" cy="3598223"/>
            <wp:effectExtent l="0" t="0" r="254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24268" cy="3602744"/>
                    </a:xfrm>
                    <a:prstGeom prst="rect">
                      <a:avLst/>
                    </a:prstGeom>
                    <a:noFill/>
                    <a:ln>
                      <a:noFill/>
                    </a:ln>
                  </pic:spPr>
                </pic:pic>
              </a:graphicData>
            </a:graphic>
          </wp:inline>
        </w:drawing>
      </w:r>
    </w:p>
    <w:p w14:paraId="00277983" w14:textId="211B32F2" w:rsidR="00136E97" w:rsidRPr="00136E97" w:rsidRDefault="00136E97" w:rsidP="00136E97">
      <w:pPr>
        <w:jc w:val="center"/>
        <w:rPr>
          <w:rFonts w:ascii="Times New Roman" w:hAnsi="Times New Roman" w:cs="Times New Roman"/>
          <w:sz w:val="24"/>
          <w:szCs w:val="24"/>
          <w:lang w:val="en-GB"/>
        </w:rPr>
      </w:pPr>
      <w:r w:rsidRPr="00136E97">
        <w:rPr>
          <w:rFonts w:ascii="Times New Roman" w:hAnsi="Times New Roman" w:cs="Times New Roman"/>
          <w:b/>
          <w:bCs/>
          <w:sz w:val="24"/>
          <w:szCs w:val="24"/>
          <w:lang w:val="en-GB"/>
        </w:rPr>
        <w:t xml:space="preserve">Scheme </w:t>
      </w:r>
      <w:r w:rsidR="005F13A3">
        <w:rPr>
          <w:rFonts w:ascii="Times New Roman" w:hAnsi="Times New Roman" w:cs="Times New Roman"/>
          <w:b/>
          <w:bCs/>
          <w:sz w:val="24"/>
          <w:szCs w:val="24"/>
          <w:lang w:val="en-GB"/>
        </w:rPr>
        <w:t>S1</w:t>
      </w:r>
      <w:r w:rsidRPr="00136E97">
        <w:rPr>
          <w:rFonts w:ascii="Times New Roman" w:hAnsi="Times New Roman" w:cs="Times New Roman"/>
          <w:b/>
          <w:bCs/>
          <w:sz w:val="24"/>
          <w:szCs w:val="24"/>
          <w:lang w:val="en-GB"/>
        </w:rPr>
        <w:t>:</w:t>
      </w:r>
      <w:r w:rsidRPr="00136E97">
        <w:rPr>
          <w:rFonts w:ascii="Times New Roman" w:hAnsi="Times New Roman" w:cs="Times New Roman"/>
          <w:sz w:val="24"/>
          <w:szCs w:val="24"/>
          <w:lang w:val="en-GB"/>
        </w:rPr>
        <w:t xml:space="preserve"> The preferred synthetic rout for synthesis of Morpholinosulfonyl-3-(hydrazinyl)-quinoxalin-2(1</w:t>
      </w:r>
      <w:r w:rsidRPr="00136E97">
        <w:rPr>
          <w:rFonts w:ascii="Times New Roman" w:hAnsi="Times New Roman" w:cs="Times New Roman"/>
          <w:i/>
          <w:iCs/>
          <w:sz w:val="24"/>
          <w:szCs w:val="24"/>
          <w:lang w:val="en-GB"/>
        </w:rPr>
        <w:t>H</w:t>
      </w:r>
      <w:r w:rsidRPr="00136E97">
        <w:rPr>
          <w:rFonts w:ascii="Times New Roman" w:hAnsi="Times New Roman" w:cs="Times New Roman"/>
          <w:sz w:val="24"/>
          <w:szCs w:val="24"/>
          <w:lang w:val="en-GB"/>
        </w:rPr>
        <w:t>)-one with minimization energy in (Kcal/mol)</w:t>
      </w:r>
    </w:p>
    <w:p w14:paraId="0547F3ED" w14:textId="532AC5D6" w:rsidR="00276817" w:rsidRPr="00A66903" w:rsidRDefault="00276817" w:rsidP="00276817">
      <w:pPr>
        <w:pStyle w:val="Heading2"/>
        <w:numPr>
          <w:ilvl w:val="1"/>
          <w:numId w:val="1"/>
        </w:numPr>
        <w:spacing w:after="240"/>
        <w:rPr>
          <w:rFonts w:ascii="Times New Roman" w:hAnsi="Times New Roman" w:cs="Times New Roman"/>
          <w:b/>
          <w:bCs/>
          <w:color w:val="auto"/>
          <w:sz w:val="24"/>
          <w:szCs w:val="24"/>
        </w:rPr>
      </w:pPr>
      <w:r w:rsidRPr="00A66903">
        <w:rPr>
          <w:rFonts w:ascii="Times New Roman" w:eastAsia="Calibri" w:hAnsi="Times New Roman" w:cs="Times New Roman"/>
          <w:b/>
          <w:i/>
          <w:iCs/>
          <w:color w:val="auto"/>
          <w:sz w:val="24"/>
          <w:szCs w:val="24"/>
        </w:rPr>
        <w:lastRenderedPageBreak/>
        <w:t>Antimicrobial potential assay</w:t>
      </w:r>
    </w:p>
    <w:p w14:paraId="34658D43" w14:textId="77777777" w:rsidR="00276817" w:rsidRPr="00A66903" w:rsidRDefault="00276817" w:rsidP="00276817">
      <w:pPr>
        <w:pStyle w:val="Heading3"/>
        <w:numPr>
          <w:ilvl w:val="2"/>
          <w:numId w:val="1"/>
        </w:numPr>
        <w:spacing w:after="240"/>
        <w:rPr>
          <w:rFonts w:ascii="Times New Roman" w:hAnsi="Times New Roman" w:cs="Times New Roman"/>
          <w:b/>
          <w:bCs/>
          <w:color w:val="auto"/>
        </w:rPr>
      </w:pPr>
      <w:r w:rsidRPr="00A66903">
        <w:rPr>
          <w:rFonts w:ascii="Times New Roman" w:hAnsi="Times New Roman" w:cs="Times New Roman"/>
          <w:b/>
          <w:bCs/>
          <w:color w:val="auto"/>
        </w:rPr>
        <w:t>Evaluating the antimicrobial Activity</w:t>
      </w:r>
    </w:p>
    <w:p w14:paraId="36E905BA" w14:textId="391E3E0C" w:rsidR="00276817" w:rsidRPr="00A66903" w:rsidRDefault="00276817" w:rsidP="00276817">
      <w:pPr>
        <w:spacing w:after="240" w:line="360" w:lineRule="auto"/>
        <w:jc w:val="both"/>
        <w:rPr>
          <w:rFonts w:ascii="Times New Roman" w:hAnsi="Times New Roman" w:cs="Times New Roman"/>
          <w:sz w:val="24"/>
          <w:szCs w:val="24"/>
        </w:rPr>
      </w:pPr>
      <w:r w:rsidRPr="00A66903">
        <w:rPr>
          <w:rFonts w:ascii="Times New Roman" w:hAnsi="Times New Roman" w:cs="Times New Roman"/>
          <w:sz w:val="24"/>
          <w:szCs w:val="24"/>
        </w:rPr>
        <w:t xml:space="preserve">In vitro antimicrobial activities </w:t>
      </w:r>
      <w:bookmarkStart w:id="0" w:name="_Hlk53769009"/>
      <w:r w:rsidRPr="00A66903">
        <w:rPr>
          <w:rFonts w:ascii="Times New Roman" w:hAnsi="Times New Roman" w:cs="Times New Roman"/>
          <w:sz w:val="24"/>
          <w:szCs w:val="24"/>
        </w:rPr>
        <w:t xml:space="preserve">were performed at the bacteriology laboratory, Botany and Microbiology Department, Faculty of Science, Al-Azhar University, Cairo, Egypt. </w:t>
      </w:r>
      <w:bookmarkStart w:id="1" w:name="_Hlk53769317"/>
      <w:bookmarkEnd w:id="0"/>
      <w:r w:rsidRPr="00A66903">
        <w:rPr>
          <w:rFonts w:ascii="Times New Roman" w:hAnsi="Times New Roman" w:cs="Times New Roman"/>
          <w:sz w:val="24"/>
          <w:szCs w:val="24"/>
        </w:rPr>
        <w:t xml:space="preserve">The antimicrobial potential of newly synthesized organic compounds was investigated towards the test microorganisms and </w:t>
      </w:r>
      <w:bookmarkStart w:id="2" w:name="_Hlk53769219"/>
      <w:r w:rsidRPr="00A66903">
        <w:rPr>
          <w:rFonts w:ascii="Times New Roman" w:hAnsi="Times New Roman" w:cs="Times New Roman"/>
          <w:sz w:val="24"/>
          <w:szCs w:val="24"/>
        </w:rPr>
        <w:t>expressed as the diameter of the inhibition zones according to the agar plate diffusion method</w:t>
      </w:r>
      <w:bookmarkEnd w:id="1"/>
      <w:bookmarkEnd w:id="2"/>
      <w:r w:rsidR="009669DA" w:rsidRPr="00A66903">
        <w:rPr>
          <w:rFonts w:ascii="Times New Roman" w:hAnsi="Times New Roman" w:cs="Times New Roman"/>
          <w:sz w:val="24"/>
          <w:szCs w:val="24"/>
        </w:rPr>
        <w:t xml:space="preserve"> </w:t>
      </w:r>
      <w:r w:rsidR="009669DA" w:rsidRPr="00A66903">
        <w:rPr>
          <w:rFonts w:ascii="Times New Roman" w:hAnsi="Times New Roman" w:cs="Times New Roman"/>
          <w:sz w:val="24"/>
          <w:szCs w:val="24"/>
        </w:rPr>
        <w:fldChar w:fldCharType="begin" w:fldLock="1"/>
      </w:r>
      <w:r w:rsidR="00A66903" w:rsidRPr="00A66903">
        <w:rPr>
          <w:rFonts w:ascii="Times New Roman" w:hAnsi="Times New Roman" w:cs="Times New Roman"/>
          <w:sz w:val="24"/>
          <w:szCs w:val="24"/>
        </w:rPr>
        <w:instrText>ADDIN CSL_CITATION { "citationItems" : [ { "id" : "ITEM-1", "itemData" : { "ISSN" : "1570-1794", "author" : [ { "dropping-particle" : "", "family" : "A Ammar", "given" : "Yousry", "non-dropping-particle" : "", "parse-names" : false, "suffix" : "" }, { "dropping-particle" : "", "family" : "AM", "given" : "Sh", "non-dropping-particle" : "", "parse-names" : false, "suffix" : "" }, { "dropping-particle" : "", "family" : "El-Sharief", "given" : "Marwa", "non-dropping-particle" : "", "parse-names" : false, "suffix" : "" }, { "dropping-particle" : "", "family" : "M Ghorab", "given" : "Mostafa", "non-dropping-particle" : "", "parse-names" : false, "suffix" : "" }, { "dropping-particle" : "", "family" : "A Mohamed", "given" : "Yehia", "non-dropping-particle" : "", "parse-names" : false, "suffix" : "" }, { "dropping-particle" : "", "family" : "Ragab", "given" : "Ahmed", "non-dropping-particle" : "", "parse-names" : false, "suffix" : "" }, { "dropping-particle" : "", "family" : "Y Abbas", "given" : "Samir", "non-dropping-particle" : "", "parse-names" : false, "suffix" : "" } ], "container-title" : "Current organic synthesis", "id" : "ITEM-1", "issue" : "3", "issued" : { "date-parts" : [ [ "2016" ] ] }, "page" : "466-475", "publisher" : "Bentham Science Publishers", "title" : "New imidazolidineiminothione, imidazolidin-2-one and imidazoquinoxaline derivatives: synthesis and evaluation of antibacterial and antifungal activities", "type" : "article-journal", "volume" : "13" }, "uris" : [ "http://www.mendeley.com/documents/?uuid=465076a0-bb96-4e41-92dd-2178be1800b7" ] }, { "id" : "ITEM-2", "itemData" : { "DOI" : "10.5155/eurjchem.8.1.76-81.1542", "ISSN" : "2153-2257", "abstract" : "A series of new imidazolidineiminothiones (2\u20104) and bis\u2010imidazolidineiminothiones (5) were synthesized through the cycloaddition reaction of N\u2010arylcyanothioformamides (1) with some electrophilic reagents. Structure of imidazolidineiminothione derivatives were established based on spectroscopic IR, 1 H NMR, 13 C NMR, MS and elemental analyses data. These compounds were screened for their antibacterial and antifungal activities. Among the synthesized compounds, imidazolidineiminothione derivative 3a showed about 25% less potent effect than Ampicillin against S. epidermidis and B. subtilis (MIC, 0.49 \u03bcg/mL) and about 50 % less potent effect than Amphotericin B against A. clavatus and G. Candidum. Bis\u2010 imidazolidineiminothione derivative 5a was equipotent to the Gentamycin in inhibiting the growth of N. gonorrhoeae (MIC, 0.49 \u03bcg/mL), and displayed 50% less active than Amphotericin B against A. clavatus.", "author" : [ { "dropping-particle" : "", "family" : "Ammar", "given" : "Yousry Ahmed", "non-dropping-particle" : "", "parse-names" : false, "suffix" : "" }, { "dropping-particle" : "", "family" : "Abbas", "given" : "Samir Youssef", "non-dropping-particle" : "", "parse-names" : false, "suffix" : "" }, { "dropping-particle" : "", "family" : "El-Sharief", "given" : "Marwa Ahmed Mohamed Shehab", "non-dropping-particle" : "", "parse-names" : false, "suffix" : "" }, { "dropping-particle" : "", "family" : "Salem", "given" : "Mohamed Abd El-Rashid", "non-dropping-particle" : "", "parse-names" : false, "suffix" : "" }, { "dropping-particle" : "", "family" : "Mohamed", "given" : "Ahmed Ragab", "non-dropping-particle" : "", "parse-names" : false, "suffix" : "" } ], "container-title" : "European Journal of Chemistry", "id" : "ITEM-2", "issue" : "1", "issued" : { "date-parts" : [ [ "2017", "3", "31" ] ] }, "page" : "76-81", "title" : "Synthesis and characterization of new imidazolidineiminothione and bis-imidazolidineiminothione derivatives as potential antimicrobial agents", "type" : "article-journal", "volume" : "8" }, "uris" : [ "http://www.mendeley.com/documents/?uuid=050736d7-61a4-3744-8333-6a4c602ffc14" ] } ], "mendeley" : { "formattedCitation" : "[1,2]", "plainTextFormattedCitation" : "[1,2]", "previouslyFormattedCitation" : "[1,2]" }, "properties" : { "noteIndex" : 0 }, "schema" : "https://github.com/citation-style-language/schema/raw/master/csl-citation.json" }</w:instrText>
      </w:r>
      <w:r w:rsidR="009669DA" w:rsidRPr="00A66903">
        <w:rPr>
          <w:rFonts w:ascii="Times New Roman" w:hAnsi="Times New Roman" w:cs="Times New Roman"/>
          <w:sz w:val="24"/>
          <w:szCs w:val="24"/>
        </w:rPr>
        <w:fldChar w:fldCharType="separate"/>
      </w:r>
      <w:r w:rsidR="009669DA" w:rsidRPr="00A66903">
        <w:rPr>
          <w:rFonts w:ascii="Times New Roman" w:hAnsi="Times New Roman" w:cs="Times New Roman"/>
          <w:noProof/>
          <w:sz w:val="24"/>
          <w:szCs w:val="24"/>
        </w:rPr>
        <w:t>[1,2]</w:t>
      </w:r>
      <w:r w:rsidR="009669DA" w:rsidRPr="00A66903">
        <w:rPr>
          <w:rFonts w:ascii="Times New Roman" w:hAnsi="Times New Roman" w:cs="Times New Roman"/>
          <w:sz w:val="24"/>
          <w:szCs w:val="24"/>
        </w:rPr>
        <w:fldChar w:fldCharType="end"/>
      </w:r>
      <w:r w:rsidR="009669DA" w:rsidRPr="00A66903">
        <w:rPr>
          <w:rFonts w:ascii="Times New Roman" w:hAnsi="Times New Roman" w:cs="Times New Roman"/>
          <w:sz w:val="24"/>
          <w:szCs w:val="24"/>
        </w:rPr>
        <w:t xml:space="preserve"> </w:t>
      </w:r>
      <w:r w:rsidR="009669DA" w:rsidRPr="00A66903">
        <w:rPr>
          <w:rFonts w:ascii="Times New Roman" w:hAnsi="Times New Roman" w:cs="Times New Roman"/>
          <w:noProof/>
          <w:sz w:val="24"/>
          <w:szCs w:val="24"/>
        </w:rPr>
        <w:fldChar w:fldCharType="begin" w:fldLock="1"/>
      </w:r>
      <w:r w:rsidR="00A66903" w:rsidRPr="00A66903">
        <w:rPr>
          <w:rFonts w:ascii="Times New Roman" w:hAnsi="Times New Roman" w:cs="Times New Roman"/>
          <w:noProof/>
          <w:sz w:val="24"/>
          <w:szCs w:val="24"/>
        </w:rPr>
        <w:instrText>ADDIN CSL_CITATION { "citationItems" : [ { "id" : "ITEM-1", "itemData" : { "author" : [ { "dropping-particle" : "", "family" : "Wikler, M.A., Hindler, J.F., Cockerill, F.R., Patel, J.B., Bush, K., Powell, M., Dudley, M.N., Turnidge, J.D., Elopoulos, G.M. and Weinstein", "given" : "M.P.", "non-dropping-particle" : "", "parse-names" : false, "suffix" : "" } ], "container-title" : "Methods for Dilution Antimicrobial Susceptibility Tests for Bacteria that Grow Aerobically; Approved Standard, ; CLSI document M07-A8; ISBN: ISBN 1-56238-689-1.", "id" : "ITEM-1", "issued" : { "date-parts" : [ [ "2008" ] ] }, "publisher-place" : "Wayne, PA, USA.", "title" : "Clinical and Laboratory Standards Institute", "type" : "chapter" }, "uris" : [ "http://www.mendeley.com/documents/?uuid=017a4352-ecab-45d4-b63b-e8e560f2cf03" ] } ], "mendeley" : { "formattedCitation" : "[3]", "manualFormatting" : "[72]", "plainTextFormattedCitation" : "[3]", "previouslyFormattedCitation" : "[3]" }, "properties" : { "noteIndex" : 0 }, "schema" : "https://github.com/citation-style-language/schema/raw/master/csl-citation.json" }</w:instrText>
      </w:r>
      <w:r w:rsidR="009669DA" w:rsidRPr="00A66903">
        <w:rPr>
          <w:rFonts w:ascii="Times New Roman" w:hAnsi="Times New Roman" w:cs="Times New Roman"/>
          <w:noProof/>
          <w:sz w:val="24"/>
          <w:szCs w:val="24"/>
        </w:rPr>
        <w:fldChar w:fldCharType="separate"/>
      </w:r>
      <w:r w:rsidR="009669DA" w:rsidRPr="00A66903">
        <w:rPr>
          <w:rFonts w:ascii="Times New Roman" w:hAnsi="Times New Roman" w:cs="Times New Roman"/>
          <w:noProof/>
          <w:sz w:val="24"/>
          <w:szCs w:val="24"/>
        </w:rPr>
        <w:t>[72]</w:t>
      </w:r>
      <w:r w:rsidR="009669DA" w:rsidRPr="00A66903">
        <w:rPr>
          <w:rFonts w:ascii="Times New Roman" w:hAnsi="Times New Roman" w:cs="Times New Roman"/>
          <w:noProof/>
          <w:sz w:val="24"/>
          <w:szCs w:val="24"/>
        </w:rPr>
        <w:fldChar w:fldCharType="end"/>
      </w:r>
      <w:r w:rsidRPr="00A66903">
        <w:rPr>
          <w:rFonts w:ascii="Times New Roman" w:hAnsi="Times New Roman" w:cs="Times New Roman"/>
          <w:sz w:val="24"/>
          <w:szCs w:val="24"/>
        </w:rPr>
        <w:t>. The test microorganisms were used in the present study, Gram-positive, (</w:t>
      </w:r>
      <w:r w:rsidRPr="00A66903">
        <w:rPr>
          <w:rFonts w:ascii="Times New Roman" w:hAnsi="Times New Roman" w:cs="Times New Roman"/>
          <w:i/>
          <w:iCs/>
          <w:sz w:val="24"/>
          <w:szCs w:val="24"/>
        </w:rPr>
        <w:t>Staphylococcus aureus</w:t>
      </w:r>
      <w:r w:rsidRPr="00A66903">
        <w:rPr>
          <w:rFonts w:ascii="Times New Roman" w:hAnsi="Times New Roman" w:cs="Times New Roman"/>
          <w:sz w:val="24"/>
          <w:szCs w:val="24"/>
        </w:rPr>
        <w:t xml:space="preserve"> ATCC 29213 and </w:t>
      </w:r>
      <w:r w:rsidRPr="00A66903">
        <w:rPr>
          <w:rFonts w:ascii="Times New Roman" w:hAnsi="Times New Roman" w:cs="Times New Roman"/>
          <w:i/>
          <w:iCs/>
          <w:sz w:val="24"/>
          <w:szCs w:val="24"/>
        </w:rPr>
        <w:t>Enterococcus faecalis</w:t>
      </w:r>
      <w:r w:rsidRPr="00A66903">
        <w:rPr>
          <w:rFonts w:ascii="Times New Roman" w:hAnsi="Times New Roman" w:cs="Times New Roman"/>
          <w:sz w:val="24"/>
          <w:szCs w:val="24"/>
        </w:rPr>
        <w:t xml:space="preserve"> ATCC 29212). Gram-negative (</w:t>
      </w:r>
      <w:r w:rsidRPr="00A66903">
        <w:rPr>
          <w:rFonts w:ascii="Times New Roman" w:hAnsi="Times New Roman" w:cs="Times New Roman"/>
          <w:i/>
          <w:iCs/>
          <w:sz w:val="24"/>
          <w:szCs w:val="24"/>
        </w:rPr>
        <w:t>Escherichia coli</w:t>
      </w:r>
      <w:r w:rsidRPr="00A66903">
        <w:rPr>
          <w:rFonts w:ascii="Times New Roman" w:hAnsi="Times New Roman" w:cs="Times New Roman"/>
          <w:sz w:val="24"/>
          <w:szCs w:val="24"/>
        </w:rPr>
        <w:t xml:space="preserve"> ATCC 25922 and </w:t>
      </w:r>
      <w:r w:rsidRPr="00A66903">
        <w:rPr>
          <w:rFonts w:ascii="Times New Roman" w:hAnsi="Times New Roman" w:cs="Times New Roman"/>
          <w:i/>
          <w:iCs/>
          <w:sz w:val="24"/>
          <w:szCs w:val="24"/>
        </w:rPr>
        <w:t>Salmonella typhi</w:t>
      </w:r>
      <w:r w:rsidRPr="00A66903">
        <w:rPr>
          <w:rFonts w:ascii="Times New Roman" w:hAnsi="Times New Roman" w:cs="Times New Roman"/>
          <w:sz w:val="24"/>
          <w:szCs w:val="24"/>
        </w:rPr>
        <w:t xml:space="preserve"> ATCC 6539). Also, </w:t>
      </w:r>
      <w:r w:rsidRPr="00A66903">
        <w:rPr>
          <w:rFonts w:ascii="Times New Roman" w:hAnsi="Times New Roman" w:cs="Times New Roman"/>
          <w:i/>
          <w:iCs/>
          <w:sz w:val="24"/>
          <w:szCs w:val="24"/>
        </w:rPr>
        <w:t>Candida albicans</w:t>
      </w:r>
      <w:r w:rsidRPr="00A66903">
        <w:rPr>
          <w:rFonts w:ascii="Times New Roman" w:hAnsi="Times New Roman" w:cs="Times New Roman"/>
          <w:sz w:val="24"/>
          <w:szCs w:val="24"/>
        </w:rPr>
        <w:t xml:space="preserve"> (ATCC 10231) and </w:t>
      </w:r>
      <w:r w:rsidRPr="00A66903">
        <w:rPr>
          <w:rFonts w:ascii="Times New Roman" w:hAnsi="Times New Roman" w:cs="Times New Roman"/>
          <w:i/>
          <w:iCs/>
          <w:sz w:val="24"/>
          <w:szCs w:val="24"/>
        </w:rPr>
        <w:t xml:space="preserve">Aspergillus </w:t>
      </w:r>
      <w:proofErr w:type="spellStart"/>
      <w:r w:rsidRPr="00A66903">
        <w:rPr>
          <w:rFonts w:ascii="Times New Roman" w:hAnsi="Times New Roman" w:cs="Times New Roman"/>
          <w:i/>
          <w:iCs/>
          <w:sz w:val="24"/>
          <w:szCs w:val="24"/>
        </w:rPr>
        <w:t>brasiliensis</w:t>
      </w:r>
      <w:proofErr w:type="spellEnd"/>
      <w:r w:rsidRPr="00A66903">
        <w:rPr>
          <w:rFonts w:ascii="Times New Roman" w:hAnsi="Times New Roman" w:cs="Times New Roman"/>
          <w:sz w:val="24"/>
          <w:szCs w:val="24"/>
        </w:rPr>
        <w:t xml:space="preserve"> (ATCC 16404), were used to define the antifungal activity. </w:t>
      </w:r>
      <w:bookmarkStart w:id="3" w:name="_Hlk53769337"/>
      <w:r w:rsidRPr="00A66903">
        <w:rPr>
          <w:rFonts w:ascii="Times New Roman" w:hAnsi="Times New Roman" w:cs="Times New Roman"/>
          <w:sz w:val="24"/>
          <w:szCs w:val="24"/>
        </w:rPr>
        <w:t>Briefly, 100 µl of the test bacteria/fungi were grown in 10 mL of fresh media until they reached a count of approximately 108 cells/ml for bacteria or 105 cells/mL for fungi. One mL of each sample (at 0.5 mg/mL) was added to each well (10 mm diameter holes cut in the agar gel). The plates were incubated for 24h at 37</w:t>
      </w:r>
      <w:r w:rsidRPr="00A66903">
        <w:rPr>
          <w:rFonts w:ascii="Times New Roman" w:hAnsi="Times New Roman" w:cs="Times New Roman"/>
          <w:sz w:val="24"/>
          <w:szCs w:val="24"/>
          <w:vertAlign w:val="superscript"/>
        </w:rPr>
        <w:t>o</w:t>
      </w:r>
      <w:r w:rsidRPr="00A66903">
        <w:rPr>
          <w:rFonts w:ascii="Times New Roman" w:hAnsi="Times New Roman" w:cs="Times New Roman"/>
          <w:sz w:val="24"/>
          <w:szCs w:val="24"/>
        </w:rPr>
        <w:t>C (for bacteria and yeast) and for 72h at 27</w:t>
      </w:r>
      <w:r w:rsidRPr="00A66903">
        <w:rPr>
          <w:rFonts w:ascii="Times New Roman" w:hAnsi="Times New Roman" w:cs="Times New Roman"/>
          <w:sz w:val="24"/>
          <w:szCs w:val="24"/>
          <w:vertAlign w:val="superscript"/>
        </w:rPr>
        <w:t>o</w:t>
      </w:r>
      <w:r w:rsidRPr="00A66903">
        <w:rPr>
          <w:rFonts w:ascii="Times New Roman" w:hAnsi="Times New Roman" w:cs="Times New Roman"/>
          <w:sz w:val="24"/>
          <w:szCs w:val="24"/>
        </w:rPr>
        <w:t xml:space="preserve">C (for filamentous fungi), each test was repeated three times. After incubation, the microorganism's growth was observed. Tetracycline was used as standard antibacterial drugs while amphotericin B was used as a standard antifungal drug. The resulting inhibition zone diameters were measured in millimeters and used as a criterion for the antimicrobial activity. Solvent controls (DMSO) were included in every experiment as negative </w:t>
      </w:r>
      <w:proofErr w:type="gramStart"/>
      <w:r w:rsidRPr="00A66903">
        <w:rPr>
          <w:rFonts w:ascii="Times New Roman" w:hAnsi="Times New Roman" w:cs="Times New Roman"/>
          <w:sz w:val="24"/>
          <w:szCs w:val="24"/>
        </w:rPr>
        <w:t>controls</w:t>
      </w:r>
      <w:proofErr w:type="gramEnd"/>
      <w:r w:rsidRPr="00A66903">
        <w:rPr>
          <w:rFonts w:ascii="Times New Roman" w:hAnsi="Times New Roman" w:cs="Times New Roman"/>
          <w:sz w:val="24"/>
          <w:szCs w:val="24"/>
        </w:rPr>
        <w:t>. DMSO was used for dissolving the tested compounds and showed no inhibition zones, confirming that it does not influence the growth of the tested microorganisms.</w:t>
      </w:r>
      <w:bookmarkEnd w:id="3"/>
    </w:p>
    <w:p w14:paraId="248D87DD" w14:textId="77777777" w:rsidR="00276817" w:rsidRPr="00A66903" w:rsidRDefault="00276817" w:rsidP="00276817">
      <w:pPr>
        <w:pStyle w:val="Heading3"/>
        <w:numPr>
          <w:ilvl w:val="2"/>
          <w:numId w:val="1"/>
        </w:numPr>
        <w:spacing w:after="240"/>
        <w:jc w:val="both"/>
        <w:rPr>
          <w:rFonts w:ascii="Times New Roman" w:eastAsia="Calibri" w:hAnsi="Times New Roman" w:cs="Times New Roman"/>
          <w:b/>
          <w:color w:val="auto"/>
        </w:rPr>
      </w:pPr>
      <w:r w:rsidRPr="00A66903">
        <w:rPr>
          <w:rFonts w:ascii="Times New Roman" w:eastAsia="Calibri" w:hAnsi="Times New Roman" w:cs="Times New Roman"/>
          <w:b/>
          <w:color w:val="auto"/>
        </w:rPr>
        <w:t>Evaluating the minimal inhibition concentration (MIC)</w:t>
      </w:r>
    </w:p>
    <w:p w14:paraId="64A1F436" w14:textId="3EF62F2C" w:rsidR="00276817" w:rsidRPr="000F28E5" w:rsidRDefault="00276817" w:rsidP="00276817">
      <w:pPr>
        <w:spacing w:after="120" w:line="360" w:lineRule="auto"/>
        <w:jc w:val="both"/>
        <w:rPr>
          <w:rFonts w:ascii="Times New Roman" w:eastAsia="Calibri" w:hAnsi="Times New Roman" w:cs="Times New Roman"/>
          <w:sz w:val="24"/>
          <w:szCs w:val="24"/>
        </w:rPr>
      </w:pPr>
      <w:bookmarkStart w:id="4" w:name="_Hlk53769890"/>
      <w:r w:rsidRPr="00A66903">
        <w:rPr>
          <w:rFonts w:ascii="Times New Roman" w:eastAsia="MS Mincho" w:hAnsi="Times New Roman" w:cs="Times New Roman"/>
          <w:sz w:val="24"/>
          <w:szCs w:val="24"/>
        </w:rPr>
        <w:t xml:space="preserve">A conventional technique termed paper disk diffusion was used to investigate the MIC of the active compounds through employing a 12.7 mm diameter filter paper (Whatman, Germany). Bacteria were grown in a media of nutrient agar, while fungi and yeasts were grown in a media of </w:t>
      </w:r>
      <w:proofErr w:type="spellStart"/>
      <w:r w:rsidRPr="00A66903">
        <w:rPr>
          <w:rFonts w:ascii="Times New Roman" w:eastAsia="MS Mincho" w:hAnsi="Times New Roman" w:cs="Times New Roman"/>
          <w:sz w:val="24"/>
          <w:szCs w:val="24"/>
        </w:rPr>
        <w:t>Sabouraud´s</w:t>
      </w:r>
      <w:proofErr w:type="spellEnd"/>
      <w:r w:rsidRPr="00A66903">
        <w:rPr>
          <w:rFonts w:ascii="Times New Roman" w:eastAsia="MS Mincho" w:hAnsi="Times New Roman" w:cs="Times New Roman"/>
          <w:sz w:val="24"/>
          <w:szCs w:val="24"/>
        </w:rPr>
        <w:t xml:space="preserve"> agar. </w:t>
      </w:r>
      <w:r w:rsidRPr="00A66903">
        <w:rPr>
          <w:rFonts w:ascii="Times New Roman" w:eastAsia="Calibri" w:hAnsi="Times New Roman" w:cs="Times New Roman"/>
          <w:sz w:val="24"/>
          <w:szCs w:val="24"/>
        </w:rPr>
        <w:t xml:space="preserve">The synthesized compounds </w:t>
      </w:r>
      <w:bookmarkStart w:id="5" w:name="_Hlk53769687"/>
      <w:r w:rsidRPr="00A66903">
        <w:rPr>
          <w:rFonts w:ascii="Times New Roman" w:eastAsia="Calibri" w:hAnsi="Times New Roman" w:cs="Times New Roman"/>
          <w:sz w:val="24"/>
          <w:szCs w:val="24"/>
        </w:rPr>
        <w:t>were dissolved and loaded on paper disks with different concentrations.</w:t>
      </w:r>
      <w:bookmarkEnd w:id="5"/>
      <w:r w:rsidRPr="00A66903">
        <w:rPr>
          <w:rFonts w:ascii="Times New Roman" w:eastAsia="Calibri" w:hAnsi="Times New Roman" w:cs="Times New Roman"/>
          <w:sz w:val="24"/>
          <w:szCs w:val="24"/>
        </w:rPr>
        <w:t xml:space="preserve"> </w:t>
      </w:r>
      <w:r w:rsidRPr="00A66903">
        <w:rPr>
          <w:rFonts w:ascii="Times New Roman" w:eastAsia="MS Mincho" w:hAnsi="Times New Roman" w:cs="Times New Roman"/>
          <w:sz w:val="24"/>
          <w:szCs w:val="24"/>
        </w:rPr>
        <w:t xml:space="preserve">Loading the drying disks over the agar plates' surface inoculated with the selected microorganisms was carried out, then growth inhibition was tested when incubated (at 37 °C for a day) for the bacterial strains and yeasts and fungi (at 27 °C for three days); </w:t>
      </w:r>
      <w:r w:rsidRPr="00A66903">
        <w:rPr>
          <w:rFonts w:ascii="Times New Roman" w:eastAsia="Calibri" w:hAnsi="Times New Roman" w:cs="Times New Roman"/>
          <w:sz w:val="24"/>
          <w:szCs w:val="24"/>
        </w:rPr>
        <w:lastRenderedPageBreak/>
        <w:t xml:space="preserve">Also, MIC confirmed by using the broth micro-dilution procedure described in the </w:t>
      </w:r>
      <w:bookmarkStart w:id="6" w:name="_Hlk53769533"/>
      <w:r w:rsidRPr="00A66903">
        <w:rPr>
          <w:rFonts w:ascii="Times New Roman" w:eastAsia="Calibri" w:hAnsi="Times New Roman" w:cs="Times New Roman"/>
          <w:sz w:val="24"/>
          <w:szCs w:val="24"/>
        </w:rPr>
        <w:t>Clinical and Laboratory Standards Institute (CLSI) guidelines</w:t>
      </w:r>
      <w:bookmarkEnd w:id="6"/>
      <w:r w:rsidR="009669DA" w:rsidRPr="00A66903">
        <w:rPr>
          <w:rFonts w:ascii="Times New Roman" w:eastAsia="Calibri" w:hAnsi="Times New Roman" w:cs="Times New Roman"/>
          <w:sz w:val="24"/>
          <w:szCs w:val="24"/>
        </w:rPr>
        <w:t xml:space="preserve"> and </w:t>
      </w:r>
      <w:r w:rsidR="009669DA" w:rsidRPr="000F28E5">
        <w:rPr>
          <w:rFonts w:ascii="Times New Roman" w:eastAsia="Calibri" w:hAnsi="Times New Roman" w:cs="Times New Roman"/>
          <w:sz w:val="24"/>
          <w:szCs w:val="24"/>
        </w:rPr>
        <w:t xml:space="preserve">reported methods </w:t>
      </w:r>
      <w:r w:rsidR="00A66903" w:rsidRPr="000F28E5">
        <w:rPr>
          <w:rFonts w:ascii="Times New Roman" w:hAnsi="Times New Roman" w:cs="Times New Roman"/>
          <w:sz w:val="24"/>
          <w:szCs w:val="24"/>
        </w:rPr>
        <w:fldChar w:fldCharType="begin" w:fldLock="1"/>
      </w:r>
      <w:r w:rsidR="00A66903" w:rsidRPr="000F28E5">
        <w:rPr>
          <w:rFonts w:ascii="Times New Roman" w:hAnsi="Times New Roman" w:cs="Times New Roman"/>
          <w:sz w:val="24"/>
          <w:szCs w:val="24"/>
        </w:rPr>
        <w:instrText>ADDIN CSL_CITATION { "citationItems" : [ { "id" : "ITEM-1", "itemData" : { "DOI" : "https://doi.org/10.1016/j.molstruc.2021.130748", "ISSN" : "0022-2860", "abstract" : "Over the world and especially the developing countries, one of the major threats to human health is antibiotic resistance due to antibiotics abuse. This challenge can be solved by discovering new targets and inhibitors. The current study involved synthesis quinoline based thiazole analogues for quinoline antibiotic class using classic organic synthesis. The designed derivatives were tested against eight standard microbial pathogens. Among them, seven derivatives showed good antimicrobial activity with MIC and MBC values ranged between (0.97\u201362.5) \u00b5g/mL, and (1.94\u2013118.7) \u00b5g/mL, respectively. Additionally, the active derivatives displayed good activity against three MDR bacterial stains. Compounds 11b, and 5a exhibited to be the most active derivatives against S. aureus and E. coli with MIC (1.95\u20137.81) \u00b5g/mL and MBC (3.31\u201315.62) \u00b5g/mL followed by other derivatives compared with Ciprofloxacin and Vancomycin. Besides, compounds 6, 11c, and 15 appeared the most active derivatives against MDR P. aeruginosa with MIC and MBC values lower than 10\u00a0\u00b5g/mL. These derivatives considered effective for treating bacterial infection by inhibiting DHFR enzyme that showed IC50 values (10.02\u201325.11) \u00b5M in comparison to Trimethoprim (18.95\u00a0\u00b5M). Molecular docking study against DHFR enzyme (1DLS) was carried out, and the active derivatives bind to some the nearly the same amino acid residues as MTX that support our hypothesis. Furthermore, the MEP surfaces were generated using DFT calculation to determine the regions might be responsible for forming different types of interaction and confirm the binding mode in docking study.", "author" : [ { "dropping-particle" : "", "family" : "Ammar", "given" : "Yousry A", "non-dropping-particle" : "", "parse-names" : false, "suffix" : "" }, { "dropping-particle" : "", "family" : "El-Hafez", "given" : "Sondos M A Abd", "non-dropping-particle" : "", "parse-names" : false, "suffix" : "" }, { "dropping-particle" : "", "family" : "Hessein", "given" : "Sadia A", "non-dropping-particle" : "", "parse-names" : false, "suffix" : "" }, { "dropping-particle" : "", "family" : "Ali", "given" : "Abeer M", "non-dropping-particle" : "", "parse-names" : false, "suffix" : "" }, { "dropping-particle" : "", "family" : "Askar", "given" : "Ahmed A", "non-dropping-particle" : "", "parse-names" : false, "suffix" : "" }, { "dropping-particle" : "", "family" : "Ragab", "given" : "Ahmed", "non-dropping-particle" : "", "parse-names" : false, "suffix" : "" } ], "container-title" : "Journal of Molecular Structure", "id" : "ITEM-1", "issued" : { "date-parts" : [ [ "2021" ] ] }, "page" : "130748", "title" : "One-pot strategy for thiazole tethered 7-ethoxy quinoline hybrids: Synthesis and potential antimicrobial agents as dihydrofolate reductase (DHFR) inhibitors with molecular docking study", "type" : "article-journal", "volume" : "1242" }, "uris" : [ "http://www.mendeley.com/documents/?uuid=dd20f217-0623-4659-b81f-3a5e338f8fe5" ] }, { "id" : "ITEM-2", "itemData" : { "DOI" : "10.3390/antibiotics10020162", "ISSN" : "2079-6382", "abstract" : "&lt;p&gt;Herein, a series of novel hybrid sulfaguanidine moieties, bearing 2-cyanoacrylamide 2a\u2013d, pyridine-2-one 3\u201310, and 2-imino-2H-chromene-3-carboxamide 11, 12 derivatives, were synthesized, and their structure confirmed by spectral data and elemental analysis. All the synthesized compounds showed moderate to good antimicrobial activity against eight pathogens. The most promising six derivatives, 2a, 2b, 2d, 3a, 8, and 11, revealed to be best in inhibiting bacterial and fungal growth, thus showing bactericidal and fungicidal activity. These derivatives exhibited moderate to potent inhibition against DNA gyrase and DHFR enzymes, with three derivatives 2d, 3a, and 2a demonstrating inhibition of DNA gyrase, with IC50 values of 18.17\u201323.87 \u00b5M, and of DHFR, with IC50 values of 4.33\u20135.54 \u00b5M; their potency is near to that of the positive controls. Further, the six derivatives exhibited immunomodulatory potential and three derivatives, 2d, 8, and 11, were selected for further study and displayed an increase in spleen and thymus weight and enhanced the activation of CD4+ and CD8+ T lymphocytes. Finally, molecular docking and some AMED studies were performed.&lt;/p&gt;", "author" : [ { "dropping-particle" : "", "family" : "Ragab", "given" : "Ahmed", "non-dropping-particle" : "", "parse-names" : false, "suffix" : "" }, { "dropping-particle" : "", "family" : "Fouad", "given" : "Sawsan A.", "non-dropping-particle" : "", "parse-names" : false, "suffix" : "" }, { "dropping-particle" : "", "family" : "Ali", "given" : "Ola A. Abu", "non-dropping-particle" : "", "parse-names" : false, "suffix" : "" }, { "dropping-particle" : "", "family" : "Ahmed", "given" : "Entsar M.", "non-dropping-particle" : "", "parse-names" : false, "suffix" : "" }, { "dropping-particle" : "", "family" : "Ali", "given" : "Abeer M.", "non-dropping-particle" : "", "parse-names" : false, "suffix" : "" }, { "dropping-particle" : "", "family" : "Askar", "given" : "Ahmed A.", "non-dropping-particle" : "", "parse-names" : false, "suffix" : "" }, { "dropping-particle" : "", "family" : "Ammar", "given" : "Yousry A.", "non-dropping-particle" : "", "parse-names" : false, "suffix" : "" } ], "container-title" : "Antibiotics", "id" : "ITEM-2", "issue" : "2", "issued" : { "date-parts" : [ [ "2021", "2", "5" ] ] }, "page" : "162", "publisher" : "Multidisciplinary Digital Publishing Institute", "title" : "Sulfaguanidine Hybrid with Some New Pyridine-2-One Derivatives: Design, Synthesis, and Antimicrobial Activity against Multidrug-Resistant Bacteria as Dual DNA Gyrase and DHFR Inhibitors", "type" : "article-journal", "volume" : "10" }, "uris" : [ "http://www.mendeley.com/documents/?uuid=8eaf7fd2-e995-3eed-afd8-5c906bfbbaae" ] }, { "id" : "ITEM-3", "itemData" : { "author" : [ { "dropping-particle" : "", "family" : "Wikler, M.A., Hindler, J.F., Cockerill, F.R., Patel, J.B., Bush, K., Powell, M., Dudley, M.N., Turnidge, J.D., Elopoulos, G.M. and Weinstein", "given" : "M.P.", "non-dropping-particle" : "", "parse-names" : false, "suffix" : "" } ], "container-title" : "Methods for Dilution Antimicrobial Susceptibility Tests for Bacteria that Grow Aerobically; Approved Standard, ; CLSI document M07-A8; ISBN: ISBN 1-56238-689-1.", "id" : "ITEM-3", "issued" : { "date-parts" : [ [ "2008" ] ] }, "publisher-place" : "Wayne, PA, USA.", "title" : "Clinical and Laboratory Standards Institute", "type" : "chapter" }, "uris" : [ "http://www.mendeley.com/documents/?uuid=017a4352-ecab-45d4-b63b-e8e560f2cf03" ] }, { "id" : "ITEM-4", "itemData" : { "DOI" : "https://doi.org/10.1016/j.ejmech.2018.06.050", "ISSN" : "0223-5234", "abstract" : "Antibiotic resistance has emerged as a serious global public health problem and lately very few antibiotics have been discovered and introduced into clinical practice. Therefore, there is an urgent need for the development of antibacterial compounds with new mechanism of action, especially those capable of evading known resistance mechanisms. In this work two series of glycoconjugate and non-glycoconjugate amino compounds derived from of isoquinoline-5,8-dione and 1,4-naphthoquinone and their halogenated derivatives were synthesized and evaluated for antimicrobial activity against Gram-positive (Enterococcus faecalis ATCC 29212, Staphylococcus aureus ATCC 25923, S.\u00a0epidermidis ATCC 12228, S.\u00a0simulans ATCC 27851) and Gram-negative bacteria (E.\u00a0coli ATCC 25922, Proteus mirabilis ATCC 15290, K.\u00a0pneumoniae ATCC 4352 and P.\u00a0aeruginosa ATCC 27853) strains of clinical importance. This study revealed that glycoconjugate compounds derived from halogeno-substituted naphthoquinones were more active against Gram-negative strains, which cause infections whose treatment is even more difficult, according to the literature. These molecules were also more active than isoquinoline-5,8-dione analogues with minimum inhibitory concentration (MIC\u202f=\u202f4\u201332\u202f\u03bcg/mL) within Clinical and Laboratory Standard Institute MIC values (CLSI 0.08\u2013256\u202f\u03bcg/mL). Interestingly the minimal bactericidal concentration (MBC) values of the most active compounds were equal to MIC classifying them as bactericidal agents against Gram-negative bacteria. Sixteen compounds among eighteen carbohydrate-based naphthoquinones tested showed no hemolytic effects on health human erythrocytes whereas more susceptibility to hemolytic cleavage was observed when using non-glycoconjugate amino compounds. In silico Absorption, Distribution, Metabolism, Excretion and Toxicity (ADMET) evaluation also pointed out that these compounds are potential for oral administration with low side effects. In general, this study indicated that these compounds should be exploited in the search for a leading substance in a project aimed at obtaining new antimicrobials more effective against Gram-negative bacteria.", "author" : [ { "dropping-particle" : "", "family" : "Dias", "given" : "Flaviana R F", "non-dropping-particle" : "", "parse-names" : false, "suffix" : "" }, { "dropping-particle" : "", "family" : "Novais", "given" : "Juliana S", "non-dropping-particle" : "", "parse-names" : false, "suffix" : "" }, { "dropping-particle" : "", "family" : "Devillart", "given" : "Talita A do Nascimento Santos", "non-dropping-particle" : "", "parse-names" : false, "suffix" : "" }, { "dropping-particle" : "", "family" : "Silva", "given" : "Wanderson Amaral", "non-dropping-particle" : "da", "parse-names" : false, "suffix" : "" }, { "dropping-particle" : "", "family" : "Ferreira", "given" : "Matheus O", "non-dropping-particle" : "", "parse-names" : false, "suffix" : "" }, { "dropping-particle" : "", "family" : "Loureiro", "given" : "Raquel de S", "non-dropping-particle" : "", "parse-names" : false, "suffix" : "" }, { "dropping-particle" : "", "family" : "Campos", "given" : "Vin\u00edcius R", "non-dropping-particle" : "", "parse-names" : false, "suffix" : "" }, { "dropping-particle" : "", "family" : "Ferreira", "given" : "Vitor F", "non-dropping-particle" : "", "parse-names" : false, "suffix" : "" }, { "dropping-particle" : "V", "family" : "Souza", "given" : "Maria C B", "non-dropping-particle" : "de", "parse-names" : false, "suffix" : "" }, { "dropping-particle" : "", "family" : "Castro", "given" : "Helena C", "non-dropping-particle" : "", "parse-names" : false, "suffix" : "" }, { "dropping-particle" : "", "family" : "Cunha", "given" : "Anna C", "non-dropping-particle" : "", "parse-names" : false, "suffix" : "" } ], "container-title" : "European Journal of Medicinal Chemistry", "id" : "ITEM-4", "issued" : { "date-parts" : [ [ "2018" ] ] }, "page" : "1-12", "title" : "Synthesis and antimicrobial evaluation of amino sugar-based naphthoquinones and isoquinoline-5,8-diones and their halogenated compounds", "type" : "article-journal", "volume" : "156" }, "uris" : [ "http://www.mendeley.com/documents/?uuid=ddca2c9e-993d-40cd-bb7c-212c307d3d78" ] }, { "id" : "ITEM-5", "itemData" : { "DOI" : "https://doi.org/10.1016/j.bioorg.2020.103841", "ISSN" : "0045-2068", "abstract" : "A series of thiadiazino[5,6-b]quinoxaline and thiazolo[4,5-b]quinoxaline derivatives was designed and synthetized from the reaction of 2,3-dichloro-6-(morpholinosulfonyl)quinoxaline (2) with thiosemicarbazide or thiocarbohydrazide and thiourea derivatives to give nineteen quinoxaline derivatives 3\u201316. All the synthesized compounds were evaluated for in vitro antimicrobial potential against various bacteria and fungi strains that showed considerable antimicrobial activity against tested microorganisms. The most potent compounds 2, 7, 9, 10, 12 and 13c were exhibited bactericidal activity, in addition to fungistatic activity by dead live assay. Moreover, these compounds showed a significant result against all multi-drug resistance (MDRB) used especially compound 13c that displayed the best results with MICs of MDRB (1.95, 3.9, 2.6, 3.9\u00a0\u00b5g/mL) for stains used in this study, compared with Norfloxacin (1.25, 0.78, 1.57, 3.13\u00a0\u00b5g/mL). Also, cytotoxicity on normal cell (Vero cells ATCC CCL-81) by MTT assay was performed with lower toxicity results. Additionally, morphological studies, immunostimulatory potency and DNA gyrase inhibition assay of most active compounds was done. A molecular docking study has also been carried out to support the effective binding of the most promising compounds at the active site of the target enzyme S. aureus DNA gyrase (2XCT).", "author" : [ { "dropping-particle" : "", "family" : "Ammar", "given" : "Yousry A", "non-dropping-particle" : "", "parse-names" : false, "suffix" : "" }, { "dropping-particle" : "", "family" : "Farag", "given" : "Awatef A", "non-dropping-particle" : "", "parse-names" : false, "suffix" : "" }, { "dropping-particle" : "", "family" : "Ali", "given" : "Abeer M", "non-dropping-particle" : "", "parse-names" : false, "suffix" : "" }, { "dropping-particle" : "", "family" : "Hessein", "given" : "Sadia A", "non-dropping-particle" : "", "parse-names" : false, "suffix" : "" }, { "dropping-particle" : "", "family" : "Askar", "given" : "Ahmed A", "non-dropping-particle" : "", "parse-names" : false, "suffix" : "" }, { "dropping-particle" : "", "family" : "Fayed", "given" : "Eman A", "non-dropping-particle" : "", "parse-names" : false, "suffix" : "" }, { "dropping-particle" : "", "family" : "Elsisi", "given" : "Doaa M", "non-dropping-particle" : "", "parse-names" : false, "suffix" : "" }, { "dropping-particle" : "", "family" : "Ragab", "given" : "Ahmed", "non-dropping-particle" : "", "parse-names" : false, "suffix" : "" } ], "container-title" : "Bioorganic Chemistry", "id" : "ITEM-5", "issued" : { "date-parts" : [ [ "2020" ] ] }, "page" : "103841", "title" : "Antimicrobial evaluation of thiadiazino and thiazolo quinoxaline hybrids as potential DNA gyrase inhibitors; design, synthesis, characterization and morphological studies", "type" : "article-journal", "volume" : "99" }, "uris" : [ "http://www.mendeley.com/documents/?uuid=284f47e2-5d4b-41a0-8b0e-780d4ace3a19" ] }, { "id" : "ITEM-6", "itemData" : { "DOI" : "https://doi.org/10.1016/j.bioorg.2020.104164", "ISSN" : "0045-2068", "abstract" : "2,3-Dioxo-1,2,3,4-tetrahydroquinoxaline-6-sulfonyl chloride 1 was prepared via reaction of o-phenylene diamine with oxalic acid followed by chlorosulfonation with excess chlorosulfonic acid. A series of new sulfonylquinoxaline derivatives 2\u20136 were obtained upon reacting compound 1 with different types of amines. 2,3-Dichloro-6-morpholinosulfonylquinoxaline derivative 6 was subjected to further chemical reactions to afford many derivatives of 6-morpholino 2,3-disubstitutedquinoxalines, thus reaction of compound 6 with different secondary amines yielded mono and di secondary aminoquinoxaline derivatives 7\u201310 depending on the reactivity difference of the two chlorine atoms. Hydrazinolysis of compound 7 furnished hydrazino quinoxaline derivatives 11a-c. Additionally triazolo and pyrazolyl quinoxaline derivatives 12\u201314 were obtained through the reaction of compound 11a with phenyl isothiocyanate, formylpyrazole and ethyl acetoacetate. All the synthesized compounds were screened for their antibacterial and antifungal activities. Compounds 7a, 9b, 10a, 10c, 10f and 11c showed good to moderate antimicrobial activity against the tested Gram-positive, Gram-negative bacteria and fungi with MIC values ranging from 2.44 to 180.14\u00a0\u03bcM. Their MBC values were also evaluated using the same tested microorganisms. Moreover, screening against multi-drug resistant strains revealed the promiscuity of these new derivatives, especially compound 7a that showed comparable antibacterial activity (MIC 4.91\u20139.82\u00a0\u03bcM) with Norfloxacin (MIC 2.44\u20139.80\u00a0\u00b5M). Furthermore, these compounds were evaluated as DNA Gyrase inhibitors and the obtained results were in the range of 15.69\u201323.72\u00a0\u00b5M. Immunomodulatory effect was also investigated and compounds 7a, 11c, 10f, 10c, 10a and 9b showed high immunostimulatory action with ratio (142.6\u00a0\u00b1\u00a00.4, 135.7\u00a0\u00b1\u00a00.5, 117.8\u00a0\u00b1\u00a00. 39, 112.5\u00a0\u00b1\u00a00. 83, 86.4\u00a0\u00b1\u00a00. 47, 72.8\u00a0\u00b1\u00a00. 77) respectively. Molecular docking studies of the promising derivatives into DNA Gyrase binding site proved the usefulness of hybridizing quinoxaline scaffold with SO2 and morpholine moieties as a hopeful strategy in designing new DNA Gyrase binding molecules.", "author" : [ { "dropping-particle" : "", "family" : "Ammar", "given" : "Yousry A", "non-dropping-particle" : "", "parse-names" : false, "suffix" : "" }, { "dropping-particle" : "", "family" : "Farag", "given" : "Awatef A", "non-dropping-particle" : "", "parse-names" : false, "suffix" : "" }, { "dropping-particle" : "", "family" : "Ali", "given" : "Abeer M", "non-dropping-particle" : "", "parse-names" : false, "suffix" : "" }, { "dropping-particle" : "", "family" : "Ragab", "given" : "Ahmed", "non-dropping-particle" : "", "parse-names" : false, "suffix" : "" }, { "dropping-particle" : "", "family" : "Askar", "given" : "Ahmed A", "non-dropping-particle" : "", "parse-names" : false, "suffix" : "" }, { "dropping-particle" : "", "family" : "Elsisi", "given" : "Doaa M", "non-dropping-particle" : "", "parse-names" : false, "suffix" : "" }, { "dropping-particle" : "", "family" : "Belal", "given" : "Amany", "non-dropping-particle" : "", "parse-names" : false, "suffix" : "" } ], "container-title" : "Bioorganic Chemistry", "id" : "ITEM-6", "issued" : { "date-parts" : [ [ "2020" ] ] }, "page" : "104164", "title" : "Design, synthesis, antimicrobial activity and molecular docking studies of some novel di-substituted sulfonylquinoxaline derivatives", "type" : "article-journal", "volume" : "104" }, "uris" : [ "http://www.mendeley.com/documents/?uuid=f323db34-aac8-4221-81f0-d7f9805bbe00" ] } ], "mendeley" : { "formattedCitation" : "[3\u20138]", "plainTextFormattedCitation" : "[3\u20138]", "previouslyFormattedCitation" : "[3\u20138]" }, "properties" : { "noteIndex" : 0 }, "schema" : "https://github.com/citation-style-language/schema/raw/master/csl-citation.json" }</w:instrText>
      </w:r>
      <w:r w:rsidR="00A66903" w:rsidRPr="000F28E5">
        <w:rPr>
          <w:rFonts w:ascii="Times New Roman" w:hAnsi="Times New Roman" w:cs="Times New Roman"/>
          <w:sz w:val="24"/>
          <w:szCs w:val="24"/>
        </w:rPr>
        <w:fldChar w:fldCharType="separate"/>
      </w:r>
      <w:r w:rsidR="00A66903" w:rsidRPr="000F28E5">
        <w:rPr>
          <w:rFonts w:ascii="Times New Roman" w:hAnsi="Times New Roman" w:cs="Times New Roman"/>
          <w:noProof/>
          <w:sz w:val="24"/>
          <w:szCs w:val="24"/>
        </w:rPr>
        <w:t>[3–8]</w:t>
      </w:r>
      <w:r w:rsidR="00A66903" w:rsidRPr="000F28E5">
        <w:rPr>
          <w:rFonts w:ascii="Times New Roman" w:hAnsi="Times New Roman" w:cs="Times New Roman"/>
          <w:sz w:val="24"/>
          <w:szCs w:val="24"/>
        </w:rPr>
        <w:fldChar w:fldCharType="end"/>
      </w:r>
      <w:r w:rsidR="009669DA" w:rsidRPr="000F28E5">
        <w:rPr>
          <w:rFonts w:ascii="Times New Roman" w:hAnsi="Times New Roman" w:cs="Times New Roman"/>
          <w:sz w:val="24"/>
          <w:szCs w:val="24"/>
        </w:rPr>
        <w:t>.</w:t>
      </w:r>
      <w:r w:rsidRPr="000F28E5">
        <w:rPr>
          <w:rFonts w:ascii="Times New Roman" w:eastAsia="Calibri" w:hAnsi="Times New Roman" w:cs="Times New Roman"/>
          <w:sz w:val="24"/>
          <w:szCs w:val="24"/>
        </w:rPr>
        <w:t xml:space="preserve"> </w:t>
      </w:r>
      <w:r w:rsidRPr="000F28E5">
        <w:rPr>
          <w:rFonts w:ascii="Times New Roman" w:eastAsia="MS Mincho" w:hAnsi="Times New Roman" w:cs="Times New Roman"/>
          <w:sz w:val="24"/>
          <w:szCs w:val="24"/>
        </w:rPr>
        <w:t xml:space="preserve">where </w:t>
      </w:r>
      <w:bookmarkStart w:id="7" w:name="_Hlk53769772"/>
      <w:r w:rsidRPr="000F28E5">
        <w:rPr>
          <w:rFonts w:ascii="Times New Roman" w:eastAsia="MS Mincho" w:hAnsi="Times New Roman" w:cs="Times New Roman"/>
          <w:sz w:val="24"/>
          <w:szCs w:val="24"/>
        </w:rPr>
        <w:t>repeating of every experiment for three-times was performed for reproducibility.</w:t>
      </w:r>
    </w:p>
    <w:bookmarkEnd w:id="4"/>
    <w:bookmarkEnd w:id="7"/>
    <w:p w14:paraId="3422AE09" w14:textId="0EDA59E7" w:rsidR="00276817" w:rsidRPr="000F28E5" w:rsidRDefault="00276817" w:rsidP="00276817">
      <w:pPr>
        <w:pStyle w:val="Heading3"/>
        <w:numPr>
          <w:ilvl w:val="2"/>
          <w:numId w:val="1"/>
        </w:numPr>
        <w:spacing w:after="240"/>
        <w:ind w:left="360"/>
        <w:rPr>
          <w:rFonts w:ascii="Times New Roman" w:hAnsi="Times New Roman" w:cs="Times New Roman"/>
          <w:b/>
          <w:bCs/>
          <w:color w:val="auto"/>
          <w:sz w:val="28"/>
          <w:szCs w:val="28"/>
        </w:rPr>
      </w:pPr>
      <w:r w:rsidRPr="000F28E5">
        <w:rPr>
          <w:rFonts w:ascii="Times New Roman" w:eastAsia="Calibri" w:hAnsi="Times New Roman" w:cs="Times New Roman"/>
          <w:b/>
          <w:color w:val="auto"/>
        </w:rPr>
        <w:t>Evaluating the minimum bactericidal concentration (MBC)</w:t>
      </w:r>
      <w:r w:rsidR="009669DA" w:rsidRPr="000F28E5">
        <w:rPr>
          <w:rFonts w:ascii="Times New Roman" w:eastAsia="Calibri" w:hAnsi="Times New Roman" w:cs="Times New Roman"/>
          <w:b/>
          <w:color w:val="auto"/>
        </w:rPr>
        <w:t xml:space="preserve"> </w:t>
      </w:r>
      <w:r w:rsidR="009669DA" w:rsidRPr="000F28E5">
        <w:rPr>
          <w:rFonts w:ascii="Times New Roman" w:hAnsi="Times New Roman" w:cs="Times New Roman"/>
          <w:color w:val="auto"/>
        </w:rPr>
        <w:fldChar w:fldCharType="begin" w:fldLock="1"/>
      </w:r>
      <w:r w:rsidR="00A66903" w:rsidRPr="000F28E5">
        <w:rPr>
          <w:rFonts w:ascii="Times New Roman" w:hAnsi="Times New Roman" w:cs="Times New Roman"/>
          <w:color w:val="auto"/>
        </w:rPr>
        <w:instrText>ADDIN CSL_CITATION { "citationItems" : [ { "id" : "ITEM-1", "itemData" : { "author" : [ { "dropping-particle" : "", "family" : "Wikler, M.A., Hindler, J.F., Cockerill, F.R., Patel, J.B., Bush, K., Powell, M., Dudley, M.N., Turnidge, J.D., Elopoulos, G.M. and Weinstein", "given" : "M.P.", "non-dropping-particle" : "", "parse-names" : false, "suffix" : "" } ], "container-title" : "Methods for Dilution Antimicrobial Susceptibility Tests for Bacteria that Grow Aerobically; Approved Standard, ; CLSI document M07-A8; ISBN: ISBN 1-56238-689-1.", "id" : "ITEM-1", "issued" : { "date-parts" : [ [ "2008" ] ] }, "publisher-place" : "Wayne, PA, USA.", "title" : "Clinical and Laboratory Standards Institute", "type" : "chapter" }, "uris" : [ "http://www.mendeley.com/documents/?uuid=017a4352-ecab-45d4-b63b-e8e560f2cf03" ] }, { "id" : "ITEM-2", "itemData" : { "DOI" : "https://doi.org/10.1016/j.ejmech.2018.06.050", "ISSN" : "0223-5234", "abstract" : "Antibiotic resistance has emerged as a serious global public health problem and lately very few antibiotics have been discovered and introduced into clinical practice. Therefore, there is an urgent need for the development of antibacterial compounds with new mechanism of action, especially those capable of evading known resistance mechanisms. In this work two series of glycoconjugate and non-glycoconjugate amino compounds derived from of isoquinoline-5,8-dione and 1,4-naphthoquinone and their halogenated derivatives were synthesized and evaluated for antimicrobial activity against Gram-positive (Enterococcus faecalis ATCC 29212, Staphylococcus aureus ATCC 25923, S.\u00a0epidermidis ATCC 12228, S.\u00a0simulans ATCC 27851) and Gram-negative bacteria (E.\u00a0coli ATCC 25922, Proteus mirabilis ATCC 15290, K.\u00a0pneumoniae ATCC 4352 and P.\u00a0aeruginosa ATCC 27853) strains of clinical importance. This study revealed that glycoconjugate compounds derived from halogeno-substituted naphthoquinones were more active against Gram-negative strains, which cause infections whose treatment is even more difficult, according to the literature. These molecules were also more active than isoquinoline-5,8-dione analogues with minimum inhibitory concentration (MIC\u202f=\u202f4\u201332\u202f\u03bcg/mL) within Clinical and Laboratory Standard Institute MIC values (CLSI 0.08\u2013256\u202f\u03bcg/mL). Interestingly the minimal bactericidal concentration (MBC) values of the most active compounds were equal to MIC classifying them as bactericidal agents against Gram-negative bacteria. Sixteen compounds among eighteen carbohydrate-based naphthoquinones tested showed no hemolytic effects on health human erythrocytes whereas more susceptibility to hemolytic cleavage was observed when using non-glycoconjugate amino compounds. In silico Absorption, Distribution, Metabolism, Excretion and Toxicity (ADMET) evaluation also pointed out that these compounds are potential for oral administration with low side effects. In general, this study indicated that these compounds should be exploited in the search for a leading substance in a project aimed at obtaining new antimicrobials more effective against Gram-negative bacteria.", "author" : [ { "dropping-particle" : "", "family" : "Dias", "given" : "Flaviana R F", "non-dropping-particle" : "", "parse-names" : false, "suffix" : "" }, { "dropping-particle" : "", "family" : "Novais", "given" : "Juliana S", "non-dropping-particle" : "", "parse-names" : false, "suffix" : "" }, { "dropping-particle" : "", "family" : "Devillart", "given" : "Talita A do Nascimento Santos", "non-dropping-particle" : "", "parse-names" : false, "suffix" : "" }, { "dropping-particle" : "", "family" : "Silva", "given" : "Wanderson Amaral", "non-dropping-particle" : "da", "parse-names" : false, "suffix" : "" }, { "dropping-particle" : "", "family" : "Ferreira", "given" : "Matheus O", "non-dropping-particle" : "", "parse-names" : false, "suffix" : "" }, { "dropping-particle" : "", "family" : "Loureiro", "given" : "Raquel de S", "non-dropping-particle" : "", "parse-names" : false, "suffix" : "" }, { "dropping-particle" : "", "family" : "Campos", "given" : "Vin\u00edcius R", "non-dropping-particle" : "", "parse-names" : false, "suffix" : "" }, { "dropping-particle" : "", "family" : "Ferreira", "given" : "Vitor F", "non-dropping-particle" : "", "parse-names" : false, "suffix" : "" }, { "dropping-particle" : "V", "family" : "Souza", "given" : "Maria C B", "non-dropping-particle" : "de", "parse-names" : false, "suffix" : "" }, { "dropping-particle" : "", "family" : "Castro", "given" : "Helena C", "non-dropping-particle" : "", "parse-names" : false, "suffix" : "" }, { "dropping-particle" : "", "family" : "Cunha", "given" : "Anna C", "non-dropping-particle" : "", "parse-names" : false, "suffix" : "" } ], "container-title" : "European Journal of Medicinal Chemistry", "id" : "ITEM-2", "issued" : { "date-parts" : [ [ "2018" ] ] }, "page" : "1-12", "title" : "Synthesis and antimicrobial evaluation of amino sugar-based naphthoquinones and isoquinoline-5,8-diones and their halogenated compounds", "type" : "article-journal", "volume" : "156" }, "uris" : [ "http://www.mendeley.com/documents/?uuid=ddca2c9e-993d-40cd-bb7c-212c307d3d78" ] }, { "id" : "ITEM-3", "itemData" : { "DOI" : "https://doi.org/10.1016/j.bioorg.2020.103841", "ISSN" : "0045-2068", "abstract" : "A series of thiadiazino[5,6-b]quinoxaline and thiazolo[4,5-b]quinoxaline derivatives was designed and synthetized from the reaction of 2,3-dichloro-6-(morpholinosulfonyl)quinoxaline (2) with thiosemicarbazide or thiocarbohydrazide and thiourea derivatives to give nineteen quinoxaline derivatives 3\u201316. All the synthesized compounds were evaluated for in vitro antimicrobial potential against various bacteria and fungi strains that showed considerable antimicrobial activity against tested microorganisms. The most potent compounds 2, 7, 9, 10, 12 and 13c were exhibited bactericidal activity, in addition to fungistatic activity by dead live assay. Moreover, these compounds showed a significant result against all multi-drug resistance (MDRB) used especially compound 13c that displayed the best results with MICs of MDRB (1.95, 3.9, 2.6, 3.9\u00a0\u00b5g/mL) for stains used in this study, compared with Norfloxacin (1.25, 0.78, 1.57, 3.13\u00a0\u00b5g/mL). Also, cytotoxicity on normal cell (Vero cells ATCC CCL-81) by MTT assay was performed with lower toxicity results. Additionally, morphological studies, immunostimulatory potency and DNA gyrase inhibition assay of most active compounds was done. A molecular docking study has also been carried out to support the effective binding of the most promising compounds at the active site of the target enzyme S. aureus DNA gyrase (2XCT).", "author" : [ { "dropping-particle" : "", "family" : "Ammar", "given" : "Yousry A", "non-dropping-particle" : "", "parse-names" : false, "suffix" : "" }, { "dropping-particle" : "", "family" : "Farag", "given" : "Awatef A", "non-dropping-particle" : "", "parse-names" : false, "suffix" : "" }, { "dropping-particle" : "", "family" : "Ali", "given" : "Abeer M", "non-dropping-particle" : "", "parse-names" : false, "suffix" : "" }, { "dropping-particle" : "", "family" : "Hessein", "given" : "Sadia A", "non-dropping-particle" : "", "parse-names" : false, "suffix" : "" }, { "dropping-particle" : "", "family" : "Askar", "given" : "Ahmed A", "non-dropping-particle" : "", "parse-names" : false, "suffix" : "" }, { "dropping-particle" : "", "family" : "Fayed", "given" : "Eman A", "non-dropping-particle" : "", "parse-names" : false, "suffix" : "" }, { "dropping-particle" : "", "family" : "Elsisi", "given" : "Doaa M", "non-dropping-particle" : "", "parse-names" : false, "suffix" : "" }, { "dropping-particle" : "", "family" : "Ragab", "given" : "Ahmed", "non-dropping-particle" : "", "parse-names" : false, "suffix" : "" } ], "container-title" : "Bioorganic Chemistry", "id" : "ITEM-3", "issued" : { "date-parts" : [ [ "2020" ] ] }, "page" : "103841", "title" : "Antimicrobial evaluation of thiadiazino and thiazolo quinoxaline hybrids as potential DNA gyrase inhibitors; design, synthesis, characterization and morphological studies", "type" : "article-journal", "volume" : "99" }, "uris" : [ "http://www.mendeley.com/documents/?uuid=284f47e2-5d4b-41a0-8b0e-780d4ace3a19" ] }, { "id" : "ITEM-4", "itemData" : { "DOI" : "https://doi.org/10.1016/j.bioorg.2020.104164", "ISSN" : "0045-2068", "abstract" : "2,3-Dioxo-1,2,3,4-tetrahydroquinoxaline-6-sulfonyl chloride 1 was prepared via reaction of o-phenylene diamine with oxalic acid followed by chlorosulfonation with excess chlorosulfonic acid. A series of new sulfonylquinoxaline derivatives 2\u20136 were obtained upon reacting compound 1 with different types of amines. 2,3-Dichloro-6-morpholinosulfonylquinoxaline derivative 6 was subjected to further chemical reactions to afford many derivatives of 6-morpholino 2,3-disubstitutedquinoxalines, thus reaction of compound 6 with different secondary amines yielded mono and di secondary aminoquinoxaline derivatives 7\u201310 depending on the reactivity difference of the two chlorine atoms. Hydrazinolysis of compound 7 furnished hydrazino quinoxaline derivatives 11a-c. Additionally triazolo and pyrazolyl quinoxaline derivatives 12\u201314 were obtained through the reaction of compound 11a with phenyl isothiocyanate, formylpyrazole and ethyl acetoacetate. All the synthesized compounds were screened for their antibacterial and antifungal activities. Compounds 7a, 9b, 10a, 10c, 10f and 11c showed good to moderate antimicrobial activity against the tested Gram-positive, Gram-negative bacteria and fungi with MIC values ranging from 2.44 to 180.14\u00a0\u03bcM. Their MBC values were also evaluated using the same tested microorganisms. Moreover, screening against multi-drug resistant strains revealed the promiscuity of these new derivatives, especially compound 7a that showed comparable antibacterial activity (MIC 4.91\u20139.82\u00a0\u03bcM) with Norfloxacin (MIC 2.44\u20139.80\u00a0\u00b5M). Furthermore, these compounds were evaluated as DNA Gyrase inhibitors and the obtained results were in the range of 15.69\u201323.72\u00a0\u00b5M. Immunomodulatory effect was also investigated and compounds 7a, 11c, 10f, 10c, 10a and 9b showed high immunostimulatory action with ratio (142.6\u00a0\u00b1\u00a00.4, 135.7\u00a0\u00b1\u00a00.5, 117.8\u00a0\u00b1\u00a00. 39, 112.5\u00a0\u00b1\u00a00. 83, 86.4\u00a0\u00b1\u00a00. 47, 72.8\u00a0\u00b1\u00a00. 77) respectively. Molecular docking studies of the promising derivatives into DNA Gyrase binding site proved the usefulness of hybridizing quinoxaline scaffold with SO2 and morpholine moieties as a hopeful strategy in designing new DNA Gyrase binding molecules.", "author" : [ { "dropping-particle" : "", "family" : "Ammar", "given" : "Yousry A", "non-dropping-particle" : "", "parse-names" : false, "suffix" : "" }, { "dropping-particle" : "", "family" : "Farag", "given" : "Awatef A", "non-dropping-particle" : "", "parse-names" : false, "suffix" : "" }, { "dropping-particle" : "", "family" : "Ali", "given" : "Abeer M", "non-dropping-particle" : "", "parse-names" : false, "suffix" : "" }, { "dropping-particle" : "", "family" : "Ragab", "given" : "Ahmed", "non-dropping-particle" : "", "parse-names" : false, "suffix" : "" }, { "dropping-particle" : "", "family" : "Askar", "given" : "Ahmed A", "non-dropping-particle" : "", "parse-names" : false, "suffix" : "" }, { "dropping-particle" : "", "family" : "Elsisi", "given" : "Doaa M", "non-dropping-particle" : "", "parse-names" : false, "suffix" : "" }, { "dropping-particle" : "", "family" : "Belal", "given" : "Amany", "non-dropping-particle" : "", "parse-names" : false, "suffix" : "" } ], "container-title" : "Bioorganic Chemistry", "id" : "ITEM-4", "issued" : { "date-parts" : [ [ "2020" ] ] }, "page" : "104164", "title" : "Design, synthesis, antimicrobial activity and molecular docking studies of some novel di-substituted sulfonylquinoxaline derivatives", "type" : "article-journal", "volume" : "104" }, "uris" : [ "http://www.mendeley.com/documents/?uuid=f323db34-aac8-4221-81f0-d7f9805bbe00" ] } ], "mendeley" : { "formattedCitation" : "[3,6\u20138]", "plainTextFormattedCitation" : "[3,6\u20138]", "previouslyFormattedCitation" : "[3,6\u20138]" }, "properties" : { "noteIndex" : 0 }, "schema" : "https://github.com/citation-style-language/schema/raw/master/csl-citation.json" }</w:instrText>
      </w:r>
      <w:r w:rsidR="009669DA" w:rsidRPr="000F28E5">
        <w:rPr>
          <w:rFonts w:ascii="Times New Roman" w:hAnsi="Times New Roman" w:cs="Times New Roman"/>
          <w:color w:val="auto"/>
        </w:rPr>
        <w:fldChar w:fldCharType="separate"/>
      </w:r>
      <w:r w:rsidR="009669DA" w:rsidRPr="000F28E5">
        <w:rPr>
          <w:rFonts w:ascii="Times New Roman" w:hAnsi="Times New Roman" w:cs="Times New Roman"/>
          <w:noProof/>
          <w:color w:val="auto"/>
        </w:rPr>
        <w:t>[3,6–8]</w:t>
      </w:r>
      <w:r w:rsidR="009669DA" w:rsidRPr="000F28E5">
        <w:rPr>
          <w:rFonts w:ascii="Times New Roman" w:hAnsi="Times New Roman" w:cs="Times New Roman"/>
          <w:color w:val="auto"/>
        </w:rPr>
        <w:fldChar w:fldCharType="end"/>
      </w:r>
      <w:r w:rsidR="009669DA" w:rsidRPr="000F28E5">
        <w:rPr>
          <w:rFonts w:ascii="Times New Roman" w:hAnsi="Times New Roman" w:cs="Times New Roman"/>
          <w:color w:val="auto"/>
        </w:rPr>
        <w:t>.</w:t>
      </w:r>
      <w:r w:rsidRPr="000F28E5">
        <w:rPr>
          <w:rFonts w:ascii="Times New Roman" w:eastAsia="Calibri" w:hAnsi="Times New Roman" w:cs="Times New Roman"/>
          <w:b/>
          <w:color w:val="auto"/>
        </w:rPr>
        <w:t xml:space="preserve"> </w:t>
      </w:r>
    </w:p>
    <w:p w14:paraId="317B50C2" w14:textId="724D34DF" w:rsidR="00276817" w:rsidRPr="000F28E5" w:rsidRDefault="00276817" w:rsidP="00276817">
      <w:pPr>
        <w:autoSpaceDE w:val="0"/>
        <w:autoSpaceDN w:val="0"/>
        <w:adjustRightInd w:val="0"/>
        <w:spacing w:after="0" w:line="360" w:lineRule="auto"/>
        <w:ind w:right="95"/>
        <w:jc w:val="both"/>
        <w:rPr>
          <w:rFonts w:ascii="Times New Roman" w:eastAsia="Calibri" w:hAnsi="Times New Roman" w:cs="Times New Roman"/>
          <w:sz w:val="24"/>
          <w:szCs w:val="24"/>
        </w:rPr>
      </w:pPr>
      <w:bookmarkStart w:id="8" w:name="_Hlk53769946"/>
      <w:r w:rsidRPr="000F28E5">
        <w:rPr>
          <w:rFonts w:ascii="Times New Roman" w:eastAsia="Calibri" w:hAnsi="Times New Roman" w:cs="Times New Roman"/>
          <w:sz w:val="24"/>
          <w:szCs w:val="24"/>
        </w:rPr>
        <w:t xml:space="preserve">MBC assay was conducted using the broth microdilution assay described in the above section. The MBC was determined by plating 10 </w:t>
      </w:r>
      <w:proofErr w:type="spellStart"/>
      <w:r w:rsidRPr="000F28E5">
        <w:rPr>
          <w:rFonts w:ascii="Times New Roman" w:eastAsia="Calibri" w:hAnsi="Times New Roman" w:cs="Times New Roman"/>
          <w:sz w:val="24"/>
          <w:szCs w:val="24"/>
        </w:rPr>
        <w:t>μL</w:t>
      </w:r>
      <w:proofErr w:type="spellEnd"/>
      <w:r w:rsidRPr="000F28E5">
        <w:rPr>
          <w:rFonts w:ascii="Times New Roman" w:eastAsia="Calibri" w:hAnsi="Times New Roman" w:cs="Times New Roman"/>
          <w:sz w:val="24"/>
          <w:szCs w:val="24"/>
        </w:rPr>
        <w:t xml:space="preserve"> of culture volume from the MIC assay onto TSB agar plate and colony formation was examined after 24 hours at 37°C. </w:t>
      </w:r>
      <w:bookmarkStart w:id="9" w:name="_Hlk53770371"/>
      <w:r w:rsidRPr="000F28E5">
        <w:rPr>
          <w:rFonts w:ascii="Times New Roman" w:eastAsia="Calibri" w:hAnsi="Times New Roman" w:cs="Times New Roman"/>
          <w:sz w:val="24"/>
          <w:szCs w:val="24"/>
        </w:rPr>
        <w:t xml:space="preserve">MBC is defined as the lowest compound concentration resulting in a </w:t>
      </w:r>
      <w:r w:rsidRPr="000F28E5">
        <w:rPr>
          <w:rFonts w:ascii="Cambria Math" w:eastAsia="Calibri" w:hAnsi="Cambria Math" w:cs="Cambria Math"/>
          <w:sz w:val="24"/>
          <w:szCs w:val="24"/>
        </w:rPr>
        <w:t>≧</w:t>
      </w:r>
      <w:r w:rsidRPr="000F28E5">
        <w:rPr>
          <w:rFonts w:ascii="Times New Roman" w:eastAsia="Calibri" w:hAnsi="Times New Roman" w:cs="Times New Roman"/>
          <w:sz w:val="24"/>
          <w:szCs w:val="24"/>
        </w:rPr>
        <w:t xml:space="preserve"> 3-log reduction in the number of colony-forming units (CFU).</w:t>
      </w:r>
      <w:bookmarkEnd w:id="9"/>
    </w:p>
    <w:bookmarkEnd w:id="8"/>
    <w:p w14:paraId="62D5F2DF" w14:textId="77777777" w:rsidR="00276817" w:rsidRPr="000F28E5" w:rsidRDefault="00276817" w:rsidP="00276817">
      <w:pPr>
        <w:pStyle w:val="Heading3"/>
        <w:numPr>
          <w:ilvl w:val="2"/>
          <w:numId w:val="1"/>
        </w:numPr>
        <w:spacing w:after="240"/>
        <w:rPr>
          <w:rFonts w:ascii="Times New Roman" w:hAnsi="Times New Roman" w:cs="Times New Roman"/>
          <w:b/>
          <w:bCs/>
          <w:color w:val="auto"/>
        </w:rPr>
      </w:pPr>
      <w:r w:rsidRPr="000F28E5">
        <w:rPr>
          <w:rFonts w:ascii="Times New Roman" w:hAnsi="Times New Roman" w:cs="Times New Roman"/>
          <w:b/>
          <w:bCs/>
          <w:color w:val="auto"/>
        </w:rPr>
        <w:t>Multidrug resistance bacteria (MDRB)</w:t>
      </w:r>
    </w:p>
    <w:p w14:paraId="44D35165" w14:textId="46911595" w:rsidR="00276817" w:rsidRPr="00A66903" w:rsidRDefault="00276817" w:rsidP="00276817">
      <w:pPr>
        <w:spacing w:before="240" w:after="240" w:line="360" w:lineRule="auto"/>
        <w:jc w:val="both"/>
        <w:rPr>
          <w:rFonts w:ascii="Times New Roman" w:eastAsia="Calibri" w:hAnsi="Times New Roman" w:cs="Times New Roman"/>
          <w:sz w:val="24"/>
          <w:szCs w:val="24"/>
        </w:rPr>
      </w:pPr>
      <w:bookmarkStart w:id="10" w:name="_Hlk53770105"/>
      <w:r w:rsidRPr="000F28E5">
        <w:rPr>
          <w:rFonts w:ascii="Times New Roman" w:eastAsia="Calibri" w:hAnsi="Times New Roman" w:cs="Times New Roman"/>
          <w:sz w:val="24"/>
          <w:szCs w:val="24"/>
        </w:rPr>
        <w:t xml:space="preserve">To evaluate the antibacterial activity of most potent compounds toward </w:t>
      </w:r>
      <w:r w:rsidRPr="000F28E5">
        <w:rPr>
          <w:rFonts w:ascii="Times New Roman" w:eastAsia="Times New Roman" w:hAnsi="Times New Roman" w:cs="Times New Roman"/>
          <w:sz w:val="24"/>
          <w:szCs w:val="24"/>
        </w:rPr>
        <w:t>multidrug-resistant Gram-positive Strains Gram-positive, (</w:t>
      </w:r>
      <w:r w:rsidRPr="000F28E5">
        <w:rPr>
          <w:rFonts w:ascii="Times New Roman" w:eastAsia="Times New Roman" w:hAnsi="Times New Roman" w:cs="Times New Roman"/>
          <w:i/>
          <w:iCs/>
          <w:sz w:val="24"/>
          <w:szCs w:val="24"/>
        </w:rPr>
        <w:t>Staphylococcus aureus</w:t>
      </w:r>
      <w:r w:rsidRPr="000F28E5">
        <w:rPr>
          <w:rFonts w:ascii="Times New Roman" w:eastAsia="Times New Roman" w:hAnsi="Times New Roman" w:cs="Times New Roman"/>
          <w:sz w:val="24"/>
          <w:szCs w:val="24"/>
        </w:rPr>
        <w:t xml:space="preserve"> ATCC 43300 and </w:t>
      </w:r>
      <w:r w:rsidRPr="000F28E5">
        <w:rPr>
          <w:rFonts w:ascii="Times New Roman" w:eastAsia="Times New Roman" w:hAnsi="Times New Roman" w:cs="Times New Roman"/>
          <w:i/>
          <w:iCs/>
          <w:sz w:val="24"/>
          <w:szCs w:val="24"/>
        </w:rPr>
        <w:t>Staphylococcus aureus</w:t>
      </w:r>
      <w:r w:rsidRPr="000F28E5">
        <w:rPr>
          <w:rFonts w:ascii="Times New Roman" w:eastAsia="Times New Roman" w:hAnsi="Times New Roman" w:cs="Times New Roman"/>
          <w:sz w:val="24"/>
          <w:szCs w:val="24"/>
        </w:rPr>
        <w:t xml:space="preserve"> ATCC 33591). Multidrug-resistant Gram-negative (</w:t>
      </w:r>
      <w:r w:rsidRPr="000F28E5">
        <w:rPr>
          <w:rFonts w:ascii="Times New Roman" w:eastAsia="Times New Roman" w:hAnsi="Times New Roman" w:cs="Times New Roman"/>
          <w:i/>
          <w:iCs/>
          <w:sz w:val="24"/>
          <w:szCs w:val="24"/>
        </w:rPr>
        <w:t>Escherichia coli ATCC BAA</w:t>
      </w:r>
      <w:r w:rsidRPr="000F28E5">
        <w:rPr>
          <w:rFonts w:ascii="Times New Roman" w:eastAsia="Calibri" w:hAnsi="Times New Roman" w:cs="Times New Roman"/>
          <w:sz w:val="24"/>
          <w:szCs w:val="24"/>
        </w:rPr>
        <w:t xml:space="preserve">-196 and </w:t>
      </w:r>
      <w:r w:rsidRPr="000F28E5">
        <w:rPr>
          <w:rFonts w:ascii="Times New Roman" w:eastAsia="Times New Roman" w:hAnsi="Times New Roman" w:cs="Times New Roman"/>
          <w:i/>
          <w:iCs/>
          <w:sz w:val="24"/>
          <w:szCs w:val="24"/>
        </w:rPr>
        <w:t xml:space="preserve">  Pseudomonas</w:t>
      </w:r>
      <w:r w:rsidRPr="00A66903">
        <w:rPr>
          <w:rFonts w:ascii="Times New Roman" w:eastAsia="Times New Roman" w:hAnsi="Times New Roman" w:cs="Times New Roman"/>
          <w:i/>
          <w:iCs/>
          <w:sz w:val="24"/>
          <w:szCs w:val="24"/>
        </w:rPr>
        <w:t xml:space="preserve"> aeruginosa</w:t>
      </w:r>
      <w:r w:rsidRPr="00A66903">
        <w:rPr>
          <w:rFonts w:ascii="Times New Roman" w:eastAsia="Calibri" w:hAnsi="Times New Roman" w:cs="Times New Roman"/>
          <w:sz w:val="24"/>
          <w:szCs w:val="24"/>
        </w:rPr>
        <w:t xml:space="preserve"> ATCC BAA-2111</w:t>
      </w:r>
      <w:r w:rsidRPr="00A66903">
        <w:rPr>
          <w:rFonts w:ascii="Times New Roman" w:eastAsia="Times New Roman" w:hAnsi="Times New Roman" w:cs="Times New Roman"/>
          <w:i/>
          <w:iCs/>
          <w:sz w:val="24"/>
          <w:szCs w:val="24"/>
        </w:rPr>
        <w:t>)</w:t>
      </w:r>
      <w:r w:rsidRPr="00A66903">
        <w:rPr>
          <w:rFonts w:ascii="Times New Roman" w:eastAsia="Calibri" w:hAnsi="Times New Roman" w:cs="Times New Roman"/>
          <w:sz w:val="24"/>
          <w:szCs w:val="24"/>
        </w:rPr>
        <w:t>, Both of inhibition zones and MIC were determined by the same methods as described before. MBC assay against MDRB carries out according to the previously reported method</w:t>
      </w:r>
      <w:r w:rsidR="009669DA" w:rsidRPr="00A66903">
        <w:rPr>
          <w:rFonts w:ascii="Times New Roman" w:eastAsia="Calibri" w:hAnsi="Times New Roman" w:cs="Times New Roman"/>
          <w:sz w:val="24"/>
          <w:szCs w:val="24"/>
        </w:rPr>
        <w:t xml:space="preserve"> </w:t>
      </w:r>
      <w:r w:rsidR="009669DA" w:rsidRPr="00A66903">
        <w:rPr>
          <w:rFonts w:ascii="Times New Roman" w:hAnsi="Times New Roman" w:cs="Times New Roman"/>
          <w:sz w:val="24"/>
          <w:szCs w:val="24"/>
        </w:rPr>
        <w:fldChar w:fldCharType="begin" w:fldLock="1"/>
      </w:r>
      <w:r w:rsidR="00A66903" w:rsidRPr="00A66903">
        <w:rPr>
          <w:rFonts w:ascii="Times New Roman" w:hAnsi="Times New Roman" w:cs="Times New Roman"/>
          <w:sz w:val="24"/>
          <w:szCs w:val="24"/>
        </w:rPr>
        <w:instrText>ADDIN CSL_CITATION { "citationItems" : [ { "id" : "ITEM-1", "itemData" : { "DOI" : "https://doi.org/10.1016/j.molstruc.2021.130748", "ISSN" : "0022-2860", "abstract" : "Over the world and especially the developing countries, one of the major threats to human health is antibiotic resistance due to antibiotics abuse. This challenge can be solved by discovering new targets and inhibitors. The current study involved synthesis quinoline based thiazole analogues for quinoline antibiotic class using classic organic synthesis. The designed derivatives were tested against eight standard microbial pathogens. Among them, seven derivatives showed good antimicrobial activity with MIC and MBC values ranged between (0.97\u201362.5) \u00b5g/mL, and (1.94\u2013118.7) \u00b5g/mL, respectively. Additionally, the active derivatives displayed good activity against three MDR bacterial stains. Compounds 11b, and 5a exhibited to be the most active derivatives against S. aureus and E. coli with MIC (1.95\u20137.81) \u00b5g/mL and MBC (3.31\u201315.62) \u00b5g/mL followed by other derivatives compared with Ciprofloxacin and Vancomycin. Besides, compounds 6, 11c, and 15 appeared the most active derivatives against MDR P. aeruginosa with MIC and MBC values lower than 10\u00a0\u00b5g/mL. These derivatives considered effective for treating bacterial infection by inhibiting DHFR enzyme that showed IC50 values (10.02\u201325.11) \u00b5M in comparison to Trimethoprim (18.95\u00a0\u00b5M). Molecular docking study against DHFR enzyme (1DLS) was carried out, and the active derivatives bind to some the nearly the same amino acid residues as MTX that support our hypothesis. Furthermore, the MEP surfaces were generated using DFT calculation to determine the regions might be responsible for forming different types of interaction and confirm the binding mode in docking study.", "author" : [ { "dropping-particle" : "", "family" : "Ammar", "given" : "Yousry A", "non-dropping-particle" : "", "parse-names" : false, "suffix" : "" }, { "dropping-particle" : "", "family" : "El-Hafez", "given" : "Sondos M A Abd", "non-dropping-particle" : "", "parse-names" : false, "suffix" : "" }, { "dropping-particle" : "", "family" : "Hessein", "given" : "Sadia A", "non-dropping-particle" : "", "parse-names" : false, "suffix" : "" }, { "dropping-particle" : "", "family" : "Ali", "given" : "Abeer M", "non-dropping-particle" : "", "parse-names" : false, "suffix" : "" }, { "dropping-particle" : "", "family" : "Askar", "given" : "Ahmed A", "non-dropping-particle" : "", "parse-names" : false, "suffix" : "" }, { "dropping-particle" : "", "family" : "Ragab", "given" : "Ahmed", "non-dropping-particle" : "", "parse-names" : false, "suffix" : "" } ], "container-title" : "Journal of Molecular Structure", "id" : "ITEM-1", "issued" : { "date-parts" : [ [ "2021" ] ] }, "page" : "130748", "title" : "One-pot strategy for thiazole tethered 7-ethoxy quinoline hybrids: Synthesis and potential antimicrobial agents as dihydrofolate reductase (DHFR) inhibitors with molecular docking study", "type" : "article-journal", "volume" : "1242" }, "uris" : [ "http://www.mendeley.com/documents/?uuid=dd20f217-0623-4659-b81f-3a5e338f8fe5" ] }, { "id" : "ITEM-2", "itemData" : { "DOI" : "10.3390/antibiotics10020162", "ISSN" : "2079-6382", "abstract" : "&lt;p&gt;Herein, a series of novel hybrid sulfaguanidine moieties, bearing 2-cyanoacrylamide 2a\u2013d, pyridine-2-one 3\u201310, and 2-imino-2H-chromene-3-carboxamide 11, 12 derivatives, were synthesized, and their structure confirmed by spectral data and elemental analysis. All the synthesized compounds showed moderate to good antimicrobial activity against eight pathogens. The most promising six derivatives, 2a, 2b, 2d, 3a, 8, and 11, revealed to be best in inhibiting bacterial and fungal growth, thus showing bactericidal and fungicidal activity. These derivatives exhibited moderate to potent inhibition against DNA gyrase and DHFR enzymes, with three derivatives 2d, 3a, and 2a demonstrating inhibition of DNA gyrase, with IC50 values of 18.17\u201323.87 \u00b5M, and of DHFR, with IC50 values of 4.33\u20135.54 \u00b5M; their potency is near to that of the positive controls. Further, the six derivatives exhibited immunomodulatory potential and three derivatives, 2d, 8, and 11, were selected for further study and displayed an increase in spleen and thymus weight and enhanced the activation of CD4+ and CD8+ T lymphocytes. Finally, molecular docking and some AMED studies were performed.&lt;/p&gt;", "author" : [ { "dropping-particle" : "", "family" : "Ragab", "given" : "Ahmed", "non-dropping-particle" : "", "parse-names" : false, "suffix" : "" }, { "dropping-particle" : "", "family" : "Fouad", "given" : "Sawsan A.", "non-dropping-particle" : "", "parse-names" : false, "suffix" : "" }, { "dropping-particle" : "", "family" : "Ali", "given" : "Ola A. Abu", "non-dropping-particle" : "", "parse-names" : false, "suffix" : "" }, { "dropping-particle" : "", "family" : "Ahmed", "given" : "Entsar M.", "non-dropping-particle" : "", "parse-names" : false, "suffix" : "" }, { "dropping-particle" : "", "family" : "Ali", "given" : "Abeer M.", "non-dropping-particle" : "", "parse-names" : false, "suffix" : "" }, { "dropping-particle" : "", "family" : "Askar", "given" : "Ahmed A.", "non-dropping-particle" : "", "parse-names" : false, "suffix" : "" }, { "dropping-particle" : "", "family" : "Ammar", "given" : "Yousry A.", "non-dropping-particle" : "", "parse-names" : false, "suffix" : "" } ], "container-title" : "Antibiotics", "id" : "ITEM-2", "issue" : "2", "issued" : { "date-parts" : [ [ "2021", "2", "5" ] ] }, "page" : "162", "publisher" : "Multidisciplinary Digital Publishing Institute", "title" : "Sulfaguanidine Hybrid with Some New Pyridine-2-One Derivatives: Design, Synthesis, and Antimicrobial Activity against Multidrug-Resistant Bacteria as Dual DNA Gyrase and DHFR Inhibitors", "type" : "article-journal", "volume" : "10" }, "uris" : [ "http://www.mendeley.com/documents/?uuid=8eaf7fd2-e995-3eed-afd8-5c906bfbbaae" ] } ], "mendeley" : { "formattedCitation" : "[4,5]", "plainTextFormattedCitation" : "[4,5]", "previouslyFormattedCitation" : "[4,5]" }, "properties" : { "noteIndex" : 0 }, "schema" : "https://github.com/citation-style-language/schema/raw/master/csl-citation.json" }</w:instrText>
      </w:r>
      <w:r w:rsidR="009669DA" w:rsidRPr="00A66903">
        <w:rPr>
          <w:rFonts w:ascii="Times New Roman" w:hAnsi="Times New Roman" w:cs="Times New Roman"/>
          <w:sz w:val="24"/>
          <w:szCs w:val="24"/>
        </w:rPr>
        <w:fldChar w:fldCharType="separate"/>
      </w:r>
      <w:r w:rsidR="009669DA" w:rsidRPr="00A66903">
        <w:rPr>
          <w:rFonts w:ascii="Times New Roman" w:hAnsi="Times New Roman" w:cs="Times New Roman"/>
          <w:noProof/>
          <w:sz w:val="24"/>
          <w:szCs w:val="24"/>
        </w:rPr>
        <w:t>[4,5]</w:t>
      </w:r>
      <w:r w:rsidR="009669DA" w:rsidRPr="00A66903">
        <w:rPr>
          <w:rFonts w:ascii="Times New Roman" w:hAnsi="Times New Roman" w:cs="Times New Roman"/>
          <w:sz w:val="24"/>
          <w:szCs w:val="24"/>
        </w:rPr>
        <w:fldChar w:fldCharType="end"/>
      </w:r>
      <w:r w:rsidR="009669DA" w:rsidRPr="00A66903">
        <w:rPr>
          <w:rFonts w:ascii="Times New Roman" w:eastAsia="Calibri" w:hAnsi="Times New Roman" w:cs="Times New Roman"/>
          <w:sz w:val="24"/>
          <w:szCs w:val="24"/>
        </w:rPr>
        <w:t xml:space="preserve"> </w:t>
      </w:r>
      <w:r w:rsidRPr="00A66903">
        <w:rPr>
          <w:rFonts w:ascii="Times New Roman" w:eastAsia="Calibri" w:hAnsi="Times New Roman" w:cs="Times New Roman"/>
          <w:sz w:val="24"/>
          <w:szCs w:val="24"/>
        </w:rPr>
        <w:t>.Norfloxacin was chosen to be the control antibiotic.</w:t>
      </w:r>
    </w:p>
    <w:bookmarkEnd w:id="10"/>
    <w:p w14:paraId="79E6573F" w14:textId="77777777" w:rsidR="00276817" w:rsidRPr="00A66903" w:rsidRDefault="00276817" w:rsidP="00276817">
      <w:pPr>
        <w:pStyle w:val="Heading3"/>
        <w:numPr>
          <w:ilvl w:val="2"/>
          <w:numId w:val="1"/>
        </w:numPr>
        <w:spacing w:before="240"/>
        <w:rPr>
          <w:rFonts w:ascii="Times New Roman" w:hAnsi="Times New Roman" w:cs="Times New Roman"/>
          <w:b/>
          <w:bCs/>
          <w:color w:val="auto"/>
        </w:rPr>
      </w:pPr>
      <w:r w:rsidRPr="00A66903">
        <w:rPr>
          <w:rFonts w:ascii="Times New Roman" w:hAnsi="Times New Roman" w:cs="Times New Roman"/>
          <w:b/>
          <w:bCs/>
          <w:color w:val="auto"/>
        </w:rPr>
        <w:t>Immunomodulatory assay</w:t>
      </w:r>
    </w:p>
    <w:p w14:paraId="14ADF7A3" w14:textId="77777777" w:rsidR="00276817" w:rsidRPr="00A66903" w:rsidRDefault="00276817" w:rsidP="00276817">
      <w:pPr>
        <w:pStyle w:val="Heading4"/>
        <w:numPr>
          <w:ilvl w:val="3"/>
          <w:numId w:val="1"/>
        </w:numPr>
        <w:spacing w:before="240"/>
        <w:rPr>
          <w:rFonts w:ascii="Times New Roman" w:hAnsi="Times New Roman" w:cs="Times New Roman"/>
          <w:b/>
          <w:bCs/>
          <w:i w:val="0"/>
          <w:iCs w:val="0"/>
          <w:color w:val="auto"/>
          <w:sz w:val="24"/>
          <w:szCs w:val="24"/>
        </w:rPr>
      </w:pPr>
      <w:bookmarkStart w:id="11" w:name="_Hlk53770843"/>
      <w:r w:rsidRPr="00A66903">
        <w:rPr>
          <w:rFonts w:ascii="Times New Roman" w:eastAsia="Calibri" w:hAnsi="Times New Roman" w:cs="Times New Roman"/>
          <w:b/>
          <w:bCs/>
          <w:i w:val="0"/>
          <w:iCs w:val="0"/>
          <w:color w:val="auto"/>
          <w:sz w:val="24"/>
          <w:szCs w:val="24"/>
        </w:rPr>
        <w:t>Neutrophil isolation</w:t>
      </w:r>
    </w:p>
    <w:p w14:paraId="7101E37B" w14:textId="6701E799" w:rsidR="00276817" w:rsidRPr="00A66903" w:rsidRDefault="00276817" w:rsidP="00276817">
      <w:pPr>
        <w:spacing w:before="240" w:after="240" w:line="360" w:lineRule="auto"/>
        <w:jc w:val="both"/>
        <w:rPr>
          <w:rFonts w:ascii="Times New Roman" w:eastAsia="Times New Roman" w:hAnsi="Times New Roman" w:cs="Times New Roman"/>
          <w:sz w:val="24"/>
          <w:szCs w:val="24"/>
          <w:lang w:bidi="ar-EG"/>
        </w:rPr>
      </w:pPr>
      <w:r w:rsidRPr="00A66903">
        <w:rPr>
          <w:rFonts w:ascii="Times New Roman" w:eastAsia="Times New Roman" w:hAnsi="Times New Roman" w:cs="Times New Roman"/>
          <w:sz w:val="24"/>
          <w:szCs w:val="24"/>
          <w:lang w:bidi="ar-EG"/>
        </w:rPr>
        <w:t xml:space="preserve">From a healthy volunteer, a sample of peripheral blood (15 mL) was taken and collected in preservative-free heparin followed by adding 4.5% dextran B in saline (2 mL). The mixed solution was shaken, kept at 37 °C for 1 hour to sediment erythrocytes. </w:t>
      </w:r>
      <w:r w:rsidRPr="00A66903">
        <w:rPr>
          <w:rFonts w:ascii="Times New Roman" w:eastAsia="Times New Roman" w:hAnsi="Times New Roman" w:cs="Times New Roman"/>
          <w:sz w:val="24"/>
          <w:szCs w:val="24"/>
          <w:shd w:val="clear" w:color="auto" w:fill="FFFFFF"/>
          <w:lang w:bidi="ar-EG"/>
        </w:rPr>
        <w:t xml:space="preserve">Isolation of the </w:t>
      </w:r>
      <w:r w:rsidRPr="00A66903">
        <w:rPr>
          <w:rFonts w:ascii="Times New Roman" w:eastAsia="Times New Roman" w:hAnsi="Times New Roman" w:cs="Times New Roman"/>
          <w:sz w:val="24"/>
          <w:szCs w:val="24"/>
          <w:lang w:bidi="ar-EG"/>
        </w:rPr>
        <w:t>neutrophils</w:t>
      </w:r>
      <w:r w:rsidRPr="00A66903">
        <w:rPr>
          <w:rFonts w:ascii="Times New Roman" w:eastAsia="Times New Roman" w:hAnsi="Times New Roman" w:cs="Times New Roman"/>
          <w:sz w:val="24"/>
          <w:szCs w:val="24"/>
          <w:shd w:val="clear" w:color="auto" w:fill="FFFFFF"/>
          <w:lang w:bidi="ar-EG"/>
        </w:rPr>
        <w:t xml:space="preserve"> through </w:t>
      </w:r>
      <w:r w:rsidRPr="00A66903">
        <w:rPr>
          <w:rFonts w:ascii="Times New Roman" w:eastAsia="Times New Roman" w:hAnsi="Times New Roman" w:cs="Times New Roman"/>
          <w:sz w:val="24"/>
          <w:szCs w:val="24"/>
          <w:lang w:bidi="ar-EG"/>
        </w:rPr>
        <w:t>centrifugation</w:t>
      </w:r>
      <w:r w:rsidRPr="00A66903">
        <w:rPr>
          <w:rFonts w:ascii="Times New Roman" w:eastAsia="Times New Roman" w:hAnsi="Times New Roman" w:cs="Times New Roman"/>
          <w:sz w:val="24"/>
          <w:szCs w:val="24"/>
          <w:shd w:val="clear" w:color="auto" w:fill="FFFFFF"/>
          <w:lang w:bidi="ar-EG"/>
        </w:rPr>
        <w:t xml:space="preserve"> was performed by Ferrante</w:t>
      </w:r>
      <w:r w:rsidRPr="00A66903">
        <w:rPr>
          <w:rFonts w:ascii="Times New Roman" w:eastAsia="Times New Roman" w:hAnsi="Times New Roman" w:cs="Times New Roman"/>
          <w:sz w:val="24"/>
          <w:szCs w:val="24"/>
          <w:lang w:bidi="ar-EG"/>
        </w:rPr>
        <w:t xml:space="preserve"> et al.</w:t>
      </w:r>
      <w:r w:rsidRPr="00A66903">
        <w:rPr>
          <w:rFonts w:ascii="Times New Roman" w:eastAsia="Times New Roman" w:hAnsi="Times New Roman" w:cs="Times New Roman"/>
          <w:sz w:val="24"/>
          <w:szCs w:val="24"/>
          <w:lang w:bidi="ar-EG"/>
        </w:rPr>
        <w:fldChar w:fldCharType="begin" w:fldLock="1"/>
      </w:r>
      <w:r w:rsidR="00A66903" w:rsidRPr="00A66903">
        <w:rPr>
          <w:rFonts w:ascii="Times New Roman" w:eastAsia="Times New Roman" w:hAnsi="Times New Roman" w:cs="Times New Roman"/>
          <w:sz w:val="24"/>
          <w:szCs w:val="24"/>
          <w:lang w:bidi="ar-EG"/>
        </w:rPr>
        <w:instrText>ADDIN CSL_CITATION { "citationItems" : [ { "id" : "ITEM-1", "itemData" : { "DOI" : "https://doi.org/10.1016/0022-1759(80)90036-8", "ISSN" : "0022-1759", "abstract" : "Data on the optimal conditions for the simultaneous purification of mononuclear (MN) and polymorphonuclear (PMN) leucocytes from human blood on Hypaque-Ficoll medium of one density is presented. The efficiency of separation of MN and PMN leucocytes by the Hypaque-Ficoll method was dependent on both the Ficoll concentration and the density of the medium. Best results were obtained with a medium consisting of a Ficoll concentration of 8.2% and a density of 1.114 g/ml. The separation procedure was much more efficient if carried out at room temperature than at 4\u00b0C. Storing human blood markedly affected the efficiency of separation and best results were obtained using fresh blood. Data are also presented on the variability in the separation with respect to 40 adults and 80 children.", "author" : [ { "dropping-particle" : "", "family" : "Ferrante", "given" : "A", "non-dropping-particle" : "", "parse-names" : false, "suffix" : "" }, { "dropping-particle" : "", "family" : "Thong", "given" : "Y H", "non-dropping-particle" : "", "parse-names" : false, "suffix" : "" } ], "container-title" : "Journal of Immunological Methods", "id" : "ITEM-1", "issue" : "2", "issued" : { "date-parts" : [ [ "1980" ] ] }, "page" : "109-117", "title" : "Optimal conditions for simultaneous purification of mononuclear and polymorphonuclear leucocytes from human blood by the hypaque-ficoll method", "type" : "article-journal", "volume" : "36" }, "uris" : [ "http://www.mendeley.com/documents/?uuid=de622801-1ad3-4c35-abf1-8a0fccf29de5" ] } ], "mendeley" : { "formattedCitation" : "[9]", "plainTextFormattedCitation" : "[9]", "previouslyFormattedCitation" : "[9]" }, "properties" : { "noteIndex" : 0 }, "schema" : "https://github.com/citation-style-language/schema/raw/master/csl-citation.json" }</w:instrText>
      </w:r>
      <w:r w:rsidRPr="00A66903">
        <w:rPr>
          <w:rFonts w:ascii="Times New Roman" w:eastAsia="Times New Roman" w:hAnsi="Times New Roman" w:cs="Times New Roman"/>
          <w:sz w:val="24"/>
          <w:szCs w:val="24"/>
          <w:lang w:bidi="ar-EG"/>
        </w:rPr>
        <w:fldChar w:fldCharType="separate"/>
      </w:r>
      <w:r w:rsidR="009669DA" w:rsidRPr="00A66903">
        <w:rPr>
          <w:rFonts w:ascii="Times New Roman" w:eastAsia="Times New Roman" w:hAnsi="Times New Roman" w:cs="Times New Roman"/>
          <w:noProof/>
          <w:sz w:val="24"/>
          <w:szCs w:val="24"/>
          <w:lang w:bidi="ar-EG"/>
        </w:rPr>
        <w:t>[9]</w:t>
      </w:r>
      <w:r w:rsidRPr="00A66903">
        <w:rPr>
          <w:rFonts w:ascii="Times New Roman" w:eastAsia="Times New Roman" w:hAnsi="Times New Roman" w:cs="Times New Roman"/>
          <w:sz w:val="24"/>
          <w:szCs w:val="24"/>
          <w:lang w:bidi="ar-EG"/>
        </w:rPr>
        <w:fldChar w:fldCharType="end"/>
      </w:r>
      <w:r w:rsidRPr="00A66903">
        <w:rPr>
          <w:rFonts w:ascii="Times New Roman" w:eastAsia="Calibri" w:hAnsi="Times New Roman" w:cs="Times New Roman"/>
          <w:sz w:val="24"/>
          <w:szCs w:val="24"/>
        </w:rPr>
        <w:t>.</w:t>
      </w:r>
      <w:r w:rsidRPr="00A66903">
        <w:rPr>
          <w:rFonts w:ascii="Times New Roman" w:eastAsia="Times New Roman" w:hAnsi="Times New Roman" w:cs="Times New Roman"/>
          <w:sz w:val="24"/>
          <w:szCs w:val="24"/>
          <w:lang w:bidi="ar-EG"/>
        </w:rPr>
        <w:t xml:space="preserve"> Hypotonic lysis was used to remove the residual erythrocytes followed by washing the neutrophils via Hank’s balanced salt solution (HBSS, Sigma-Aldrich (USA), followed by suspending the washed neutrophils in the HBSS with a concentration of 25 × 10</w:t>
      </w:r>
      <w:r w:rsidRPr="00A66903">
        <w:rPr>
          <w:rFonts w:ascii="Times New Roman" w:eastAsia="Times New Roman" w:hAnsi="Times New Roman" w:cs="Times New Roman"/>
          <w:sz w:val="24"/>
          <w:szCs w:val="24"/>
          <w:vertAlign w:val="superscript"/>
          <w:lang w:bidi="ar-EG"/>
        </w:rPr>
        <w:t>6</w:t>
      </w:r>
      <w:r w:rsidRPr="00A66903">
        <w:rPr>
          <w:rFonts w:ascii="Times New Roman" w:eastAsia="Times New Roman" w:hAnsi="Times New Roman" w:cs="Times New Roman"/>
          <w:sz w:val="24"/>
          <w:szCs w:val="24"/>
          <w:lang w:bidi="ar-EG"/>
        </w:rPr>
        <w:t xml:space="preserve"> cells/mL to assess the killing efficiency toward the strains' intercellular. Trypan blue exclusion was used to assess the </w:t>
      </w:r>
      <w:proofErr w:type="spellStart"/>
      <w:r w:rsidRPr="00A66903">
        <w:rPr>
          <w:rFonts w:ascii="Times New Roman" w:eastAsia="Times New Roman" w:hAnsi="Times New Roman" w:cs="Times New Roman"/>
          <w:sz w:val="24"/>
          <w:szCs w:val="24"/>
          <w:lang w:bidi="ar-EG"/>
        </w:rPr>
        <w:t>neutrophils's</w:t>
      </w:r>
      <w:proofErr w:type="spellEnd"/>
      <w:r w:rsidRPr="00A66903">
        <w:rPr>
          <w:rFonts w:ascii="Times New Roman" w:eastAsia="Times New Roman" w:hAnsi="Times New Roman" w:cs="Times New Roman"/>
          <w:sz w:val="24"/>
          <w:szCs w:val="24"/>
          <w:lang w:bidi="ar-EG"/>
        </w:rPr>
        <w:t xml:space="preserve"> viability.</w:t>
      </w:r>
    </w:p>
    <w:p w14:paraId="7080D985" w14:textId="77777777" w:rsidR="00276817" w:rsidRPr="00A66903" w:rsidRDefault="00276817" w:rsidP="00276817">
      <w:pPr>
        <w:pStyle w:val="Heading4"/>
        <w:numPr>
          <w:ilvl w:val="3"/>
          <w:numId w:val="1"/>
        </w:numPr>
        <w:spacing w:after="240"/>
        <w:rPr>
          <w:rFonts w:ascii="Times New Roman" w:eastAsia="Calibri" w:hAnsi="Times New Roman" w:cs="Times New Roman"/>
          <w:b/>
          <w:bCs/>
          <w:i w:val="0"/>
          <w:iCs w:val="0"/>
          <w:color w:val="auto"/>
          <w:sz w:val="24"/>
          <w:szCs w:val="24"/>
        </w:rPr>
      </w:pPr>
      <w:r w:rsidRPr="00A66903">
        <w:rPr>
          <w:rFonts w:ascii="Times New Roman" w:eastAsia="Calibri" w:hAnsi="Times New Roman" w:cs="Times New Roman"/>
          <w:b/>
          <w:bCs/>
          <w:i w:val="0"/>
          <w:iCs w:val="0"/>
          <w:color w:val="auto"/>
          <w:sz w:val="24"/>
          <w:szCs w:val="24"/>
        </w:rPr>
        <w:lastRenderedPageBreak/>
        <w:t>Studying the activity of the intracellular killing</w:t>
      </w:r>
    </w:p>
    <w:p w14:paraId="1A25BCA1" w14:textId="4D632492" w:rsidR="00276817" w:rsidRPr="00A66903" w:rsidRDefault="00276817" w:rsidP="00276817">
      <w:pPr>
        <w:widowControl w:val="0"/>
        <w:autoSpaceDE w:val="0"/>
        <w:autoSpaceDN w:val="0"/>
        <w:adjustRightInd w:val="0"/>
        <w:spacing w:after="240" w:line="360" w:lineRule="auto"/>
        <w:jc w:val="both"/>
        <w:rPr>
          <w:rFonts w:ascii="Times New Roman" w:eastAsia="Calibri" w:hAnsi="Times New Roman" w:cs="Times New Roman"/>
          <w:sz w:val="24"/>
          <w:szCs w:val="24"/>
        </w:rPr>
      </w:pPr>
      <w:r w:rsidRPr="00A66903">
        <w:rPr>
          <w:rFonts w:ascii="Times New Roman" w:eastAsia="Times New Roman" w:hAnsi="Times New Roman" w:cs="Times New Roman"/>
          <w:sz w:val="24"/>
          <w:szCs w:val="24"/>
          <w:lang w:bidi="ar-EG"/>
        </w:rPr>
        <w:t>The activity of the intracellular killing</w:t>
      </w:r>
      <w:r w:rsidRPr="00A66903">
        <w:rPr>
          <w:rFonts w:ascii="Times New Roman" w:eastAsia="Calibri" w:hAnsi="Times New Roman" w:cs="Times New Roman"/>
          <w:sz w:val="24"/>
          <w:szCs w:val="24"/>
        </w:rPr>
        <w:t xml:space="preserve"> was studied through a nitro blue tetrazolium (NBT) reduction through the developed </w:t>
      </w:r>
      <w:proofErr w:type="spellStart"/>
      <w:r w:rsidRPr="00A66903">
        <w:rPr>
          <w:rFonts w:ascii="Times New Roman" w:eastAsia="Calibri" w:hAnsi="Times New Roman" w:cs="Times New Roman"/>
          <w:i/>
          <w:iCs/>
          <w:sz w:val="24"/>
          <w:szCs w:val="24"/>
        </w:rPr>
        <w:t>Baehner</w:t>
      </w:r>
      <w:proofErr w:type="spellEnd"/>
      <w:r w:rsidRPr="00A66903">
        <w:rPr>
          <w:rFonts w:ascii="Times New Roman" w:eastAsia="Calibri" w:hAnsi="Times New Roman" w:cs="Times New Roman"/>
          <w:i/>
          <w:iCs/>
          <w:sz w:val="24"/>
          <w:szCs w:val="24"/>
        </w:rPr>
        <w:t xml:space="preserve"> and Nathan </w:t>
      </w:r>
      <w:r w:rsidRPr="00A66903">
        <w:rPr>
          <w:rFonts w:ascii="Times New Roman" w:eastAsia="Calibri" w:hAnsi="Times New Roman" w:cs="Times New Roman"/>
          <w:sz w:val="24"/>
          <w:szCs w:val="24"/>
        </w:rPr>
        <w:t>technique</w:t>
      </w:r>
      <w:r w:rsidRPr="00A66903">
        <w:rPr>
          <w:rFonts w:ascii="Times New Roman" w:eastAsia="Calibri" w:hAnsi="Times New Roman" w:cs="Times New Roman"/>
          <w:sz w:val="24"/>
          <w:szCs w:val="24"/>
        </w:rPr>
        <w:fldChar w:fldCharType="begin" w:fldLock="1"/>
      </w:r>
      <w:r w:rsidR="00A66903" w:rsidRPr="00A66903">
        <w:rPr>
          <w:rFonts w:ascii="Times New Roman" w:eastAsia="Calibri" w:hAnsi="Times New Roman" w:cs="Times New Roman"/>
          <w:sz w:val="24"/>
          <w:szCs w:val="24"/>
        </w:rPr>
        <w:instrText>ADDIN CSL_CITATION { "citationItems" : [ { "id" : "ITEM-1", "itemData" : { "author" : [ { "dropping-particle" : "", "family" : "R.L. Baehner", "given" : "D.G. Nathan", "non-dropping-particle" : "", "parse-names" : false, "suffix" : "" } ], "container-title" : "New England Journal of Medicine", "id" : "ITEM-1", "issue" : "18", "issued" : { "date-parts" : [ [ "1968" ] ] }, "page" : "971-976", "title" : "Quantitative nitroblue tetrazolium test in chronic granulomatous disease", "type" : "article-journal", "volume" : "278" }, "uris" : [ "http://www.mendeley.com/documents/?uuid=dd4b93ea-b950-4942-988b-86d4c772b4a1" ] } ], "mendeley" : { "formattedCitation" : "[10]", "plainTextFormattedCitation" : "[10]", "previouslyFormattedCitation" : "[10]" }, "properties" : { "noteIndex" : 0 }, "schema" : "https://github.com/citation-style-language/schema/raw/master/csl-citation.json" }</w:instrText>
      </w:r>
      <w:r w:rsidRPr="00A66903">
        <w:rPr>
          <w:rFonts w:ascii="Times New Roman" w:eastAsia="Calibri" w:hAnsi="Times New Roman" w:cs="Times New Roman"/>
          <w:sz w:val="24"/>
          <w:szCs w:val="24"/>
        </w:rPr>
        <w:fldChar w:fldCharType="separate"/>
      </w:r>
      <w:r w:rsidR="009669DA" w:rsidRPr="00A66903">
        <w:rPr>
          <w:rFonts w:ascii="Times New Roman" w:eastAsia="Calibri" w:hAnsi="Times New Roman" w:cs="Times New Roman"/>
          <w:noProof/>
          <w:sz w:val="24"/>
          <w:szCs w:val="24"/>
        </w:rPr>
        <w:t>[10]</w:t>
      </w:r>
      <w:r w:rsidRPr="00A66903">
        <w:rPr>
          <w:rFonts w:ascii="Times New Roman" w:eastAsia="Calibri" w:hAnsi="Times New Roman" w:cs="Times New Roman"/>
          <w:sz w:val="24"/>
          <w:szCs w:val="24"/>
        </w:rPr>
        <w:fldChar w:fldCharType="end"/>
      </w:r>
      <w:r w:rsidRPr="00A66903">
        <w:rPr>
          <w:rFonts w:ascii="Times New Roman" w:eastAsia="Calibri" w:hAnsi="Times New Roman" w:cs="Times New Roman"/>
          <w:sz w:val="24"/>
          <w:szCs w:val="24"/>
        </w:rPr>
        <w:t xml:space="preserve">. In HBSS, the isolated neutrophils and flavonoids were incubated at 37 °C (for half an hour) followed by extracting the blue </w:t>
      </w:r>
      <w:proofErr w:type="spellStart"/>
      <w:r w:rsidRPr="00A66903">
        <w:rPr>
          <w:rFonts w:ascii="Times New Roman" w:eastAsia="Calibri" w:hAnsi="Times New Roman" w:cs="Times New Roman"/>
          <w:sz w:val="24"/>
          <w:szCs w:val="24"/>
        </w:rPr>
        <w:t>formazon</w:t>
      </w:r>
      <w:proofErr w:type="spellEnd"/>
      <w:r w:rsidRPr="00A66903">
        <w:rPr>
          <w:rFonts w:ascii="Times New Roman" w:eastAsia="Calibri" w:hAnsi="Times New Roman" w:cs="Times New Roman"/>
          <w:sz w:val="24"/>
          <w:szCs w:val="24"/>
        </w:rPr>
        <w:t xml:space="preserve"> (reduced dye) through pyridine and the spectrophotometric measurements were carried out at 515 nm. A negative control sample (which includes all the reagents without the neutrophil suspension) was used for comparative studies. Absorbance variation between the negative control and the cell cultures which actively phagocyte latex particles express the index of the neutrophils' intracellular killing activity. A sample's activity can be calculated by dividing the active compound's percentage ratio in the latex to the positively charged control latex.</w:t>
      </w:r>
      <w:bookmarkEnd w:id="11"/>
    </w:p>
    <w:p w14:paraId="34C222F6" w14:textId="77777777" w:rsidR="00276817" w:rsidRPr="00A66903" w:rsidRDefault="00276817" w:rsidP="00276817">
      <w:pPr>
        <w:pStyle w:val="Heading3"/>
        <w:numPr>
          <w:ilvl w:val="2"/>
          <w:numId w:val="1"/>
        </w:numPr>
        <w:spacing w:after="240"/>
        <w:rPr>
          <w:rFonts w:ascii="Times New Roman" w:hAnsi="Times New Roman" w:cs="Times New Roman"/>
          <w:b/>
          <w:bCs/>
          <w:color w:val="auto"/>
        </w:rPr>
      </w:pPr>
      <w:r w:rsidRPr="00A66903">
        <w:rPr>
          <w:rFonts w:ascii="Times New Roman" w:hAnsi="Times New Roman" w:cs="Times New Roman"/>
          <w:b/>
          <w:bCs/>
          <w:color w:val="auto"/>
        </w:rPr>
        <w:t xml:space="preserve">DNA gyrase </w:t>
      </w:r>
    </w:p>
    <w:p w14:paraId="16C4133B" w14:textId="14946EC7" w:rsidR="00276817" w:rsidRPr="00A66903" w:rsidRDefault="00276817" w:rsidP="00276817">
      <w:pPr>
        <w:adjustRightInd w:val="0"/>
        <w:snapToGrid w:val="0"/>
        <w:spacing w:after="0" w:line="360" w:lineRule="auto"/>
        <w:jc w:val="both"/>
        <w:rPr>
          <w:rFonts w:ascii="Times New Roman" w:eastAsia="Calibri" w:hAnsi="Times New Roman" w:cs="Times New Roman"/>
          <w:sz w:val="24"/>
          <w:szCs w:val="24"/>
        </w:rPr>
      </w:pPr>
      <w:bookmarkStart w:id="12" w:name="_Hlk53770509"/>
      <w:r w:rsidRPr="00A66903">
        <w:rPr>
          <w:rFonts w:ascii="Times New Roman" w:eastAsia="Calibri" w:hAnsi="Times New Roman" w:cs="Times New Roman"/>
          <w:sz w:val="24"/>
          <w:szCs w:val="24"/>
        </w:rPr>
        <w:t xml:space="preserve">The </w:t>
      </w:r>
      <w:r w:rsidRPr="00A66903">
        <w:rPr>
          <w:rFonts w:ascii="Times New Roman" w:eastAsia="Calibri" w:hAnsi="Times New Roman" w:cs="Times New Roman"/>
          <w:i/>
          <w:iCs/>
          <w:sz w:val="24"/>
          <w:szCs w:val="24"/>
        </w:rPr>
        <w:t>In vitro</w:t>
      </w:r>
      <w:r w:rsidRPr="00A66903">
        <w:rPr>
          <w:rFonts w:ascii="Times New Roman" w:eastAsia="Calibri" w:hAnsi="Times New Roman" w:cs="Times New Roman"/>
          <w:sz w:val="24"/>
          <w:szCs w:val="24"/>
        </w:rPr>
        <w:t xml:space="preserve"> enzyme inhibition determination for most active compounds were carried out in the confirmatory diagnostic unit, </w:t>
      </w:r>
      <w:proofErr w:type="spellStart"/>
      <w:r w:rsidRPr="00A66903">
        <w:rPr>
          <w:rFonts w:ascii="Times New Roman" w:eastAsia="Calibri" w:hAnsi="Times New Roman" w:cs="Times New Roman"/>
          <w:sz w:val="24"/>
          <w:szCs w:val="24"/>
        </w:rPr>
        <w:t>Vacsera</w:t>
      </w:r>
      <w:proofErr w:type="spellEnd"/>
      <w:r w:rsidRPr="00A66903">
        <w:rPr>
          <w:rFonts w:ascii="Times New Roman" w:eastAsia="Calibri" w:hAnsi="Times New Roman" w:cs="Times New Roman"/>
          <w:sz w:val="24"/>
          <w:szCs w:val="24"/>
        </w:rPr>
        <w:t xml:space="preserve">, Egypt. The evaluation performed profiling of compounds against </w:t>
      </w:r>
      <w:r w:rsidRPr="00A66903">
        <w:rPr>
          <w:rFonts w:ascii="Times New Roman" w:eastAsia="Calibri" w:hAnsi="Times New Roman" w:cs="Times New Roman"/>
          <w:i/>
          <w:iCs/>
          <w:sz w:val="24"/>
          <w:szCs w:val="24"/>
        </w:rPr>
        <w:t>Staphylococcus aureus</w:t>
      </w:r>
      <w:r w:rsidRPr="00A66903">
        <w:rPr>
          <w:rFonts w:ascii="Times New Roman" w:eastAsia="Calibri" w:hAnsi="Times New Roman" w:cs="Times New Roman"/>
          <w:sz w:val="24"/>
          <w:szCs w:val="24"/>
        </w:rPr>
        <w:t xml:space="preserve"> DNA gyrase using ciprofloxacin as reference drugs according to the method</w:t>
      </w:r>
      <w:r w:rsidR="00A66903" w:rsidRPr="00A66903">
        <w:rPr>
          <w:rFonts w:ascii="Times New Roman" w:eastAsia="Calibri" w:hAnsi="Times New Roman" w:cs="Times New Roman"/>
          <w:sz w:val="24"/>
          <w:szCs w:val="24"/>
        </w:rPr>
        <w:t xml:space="preserve"> </w:t>
      </w:r>
      <w:r w:rsidR="00A66903" w:rsidRPr="00A66903">
        <w:rPr>
          <w:rFonts w:ascii="Times New Roman" w:eastAsia="Calibri" w:hAnsi="Times New Roman" w:cs="Times New Roman"/>
          <w:sz w:val="24"/>
          <w:szCs w:val="24"/>
        </w:rPr>
        <w:fldChar w:fldCharType="begin" w:fldLock="1"/>
      </w:r>
      <w:r w:rsidR="00A66903" w:rsidRPr="00A66903">
        <w:rPr>
          <w:rFonts w:ascii="Times New Roman" w:eastAsia="Calibri" w:hAnsi="Times New Roman" w:cs="Times New Roman"/>
          <w:sz w:val="24"/>
          <w:szCs w:val="24"/>
        </w:rPr>
        <w:instrText>ADDIN CSL_CITATION { "citationItems" : [ { "id" : "ITEM-1", "itemData" : { "DOI" : "10.1016/j.ejmech.2019.111977", "ISSN" : "17683254", "abstract" : "a series of 2-oxospiro[indoline-3,4\u2032-pyran]derivatives 4 and 7 were obtained in good yield under mild conditions from the one-pot reaction of indole-2,3-dione derivatives 1, appropriate methylene active nitriles 2 and \u03b2-dicarbonyl compound 3 or 6. The newly synthesized compounds were characterized and evaluated for their in vitro antibacterial, antifungal as well as immunomodulatory activity. According to MIC values, the most potent compounds 4f, 4h, 7a, 7c, 7e, 7f, 7g, 8a, and 8c were evaluated for MBC and displayed high activity to killing pathogens with a good MBC value against norfloxacin as well as investigated against an extended panel of multidrug resistance bacteria (MDRB) and exhibited promising to moderate multidrug resistance activities, compounds 7f showed the much better than norfloxacin with higher potency results. Furthermore, the most potent compounds showed an increase in the intracellular killing activity of neutrophils which confirmed the immunostimulatory power. Eight of the nine active compounds exhibited inhibitory activities with IC50 ranged between (18.07 \u00b1 0.18) to (27.03 \u00b1 0.24) \u03bcM stronger than ciprofloxacin (26.43 \u00b1 0.64 \u03bcM) for S. aureus DNA gyrase. Molecular docking was performed inside the active site of S. aureus DNA gyrase to predict the binding mode.", "author" : [ { "dropping-particle" : "", "family" : "Salem", "given" : "Mohamed A.", "non-dropping-particle" : "", "parse-names" : false, "suffix" : "" }, { "dropping-particle" : "", "family" : "Ragab", "given" : "Ahmed", "non-dropping-particle" : "", "parse-names" : false, "suffix" : "" }, { "dropping-particle" : "", "family" : "Askar", "given" : "Ahmed A.", "non-dropping-particle" : "", "parse-names" : false, "suffix" : "" }, { "dropping-particle" : "", "family" : "El-Khalafawy", "given" : "Abeer", "non-dropping-particle" : "", "parse-names" : false, "suffix" : "" }, { "dropping-particle" : "", "family" : "Makhlouf", "given" : "Abeer H.", "non-dropping-particle" : "", "parse-names" : false, "suffix" : "" } ], "container-title" : "European Journal of Medicinal Chemistry", "id" : "ITEM-1", "issued" : { "date-parts" : [ [ "2020", "2", "15" ] ] }, "publisher" : "Elsevier Masson SAS", "title" : "One-pot synthesis and molecular docking of some new spiropyranindol-2-one derivatives as immunomodulatory agents and in vitro antimicrobial potential with DNA gyrase inhibitor", "type" : "article-journal", "volume" : "188" }, "uris" : [ "http://www.mendeley.com/documents/?uuid=3ba40ecd-2b24-39ff-855d-e0230afe88a1" ] } ], "mendeley" : { "formattedCitation" : "[11]", "plainTextFormattedCitation" : "[11]" }, "properties" : { "noteIndex" : 0 }, "schema" : "https://github.com/citation-style-language/schema/raw/master/csl-citation.json" }</w:instrText>
      </w:r>
      <w:r w:rsidR="00A66903" w:rsidRPr="00A66903">
        <w:rPr>
          <w:rFonts w:ascii="Times New Roman" w:eastAsia="Calibri" w:hAnsi="Times New Roman" w:cs="Times New Roman"/>
          <w:sz w:val="24"/>
          <w:szCs w:val="24"/>
        </w:rPr>
        <w:fldChar w:fldCharType="separate"/>
      </w:r>
      <w:r w:rsidR="00A66903" w:rsidRPr="00A66903">
        <w:rPr>
          <w:rFonts w:ascii="Times New Roman" w:eastAsia="Calibri" w:hAnsi="Times New Roman" w:cs="Times New Roman"/>
          <w:noProof/>
          <w:sz w:val="24"/>
          <w:szCs w:val="24"/>
        </w:rPr>
        <w:t>[11]</w:t>
      </w:r>
      <w:r w:rsidR="00A66903" w:rsidRPr="00A66903">
        <w:rPr>
          <w:rFonts w:ascii="Times New Roman" w:eastAsia="Calibri" w:hAnsi="Times New Roman" w:cs="Times New Roman"/>
          <w:sz w:val="24"/>
          <w:szCs w:val="24"/>
        </w:rPr>
        <w:fldChar w:fldCharType="end"/>
      </w:r>
      <w:r w:rsidR="009669DA" w:rsidRPr="00A66903">
        <w:rPr>
          <w:rFonts w:ascii="Times New Roman" w:eastAsia="Calibri" w:hAnsi="Times New Roman" w:cs="Times New Roman"/>
          <w:sz w:val="24"/>
          <w:szCs w:val="24"/>
        </w:rPr>
        <w:t xml:space="preserve"> </w:t>
      </w:r>
      <w:r w:rsidRPr="00A66903">
        <w:rPr>
          <w:rFonts w:ascii="Times New Roman" w:eastAsia="Calibri" w:hAnsi="Times New Roman" w:cs="Times New Roman"/>
          <w:sz w:val="24"/>
          <w:szCs w:val="24"/>
        </w:rPr>
        <w:t>.</w:t>
      </w:r>
    </w:p>
    <w:bookmarkEnd w:id="12"/>
    <w:p w14:paraId="7B228C6E" w14:textId="77777777" w:rsidR="00276817" w:rsidRPr="00A66903" w:rsidRDefault="00276817" w:rsidP="00276817">
      <w:pPr>
        <w:pStyle w:val="Heading3"/>
        <w:numPr>
          <w:ilvl w:val="2"/>
          <w:numId w:val="1"/>
        </w:numPr>
        <w:rPr>
          <w:rFonts w:ascii="Times New Roman" w:hAnsi="Times New Roman" w:cs="Times New Roman"/>
          <w:b/>
          <w:bCs/>
          <w:color w:val="auto"/>
        </w:rPr>
      </w:pPr>
      <w:r w:rsidRPr="00A66903">
        <w:rPr>
          <w:rFonts w:ascii="Times New Roman" w:hAnsi="Times New Roman" w:cs="Times New Roman"/>
          <w:b/>
          <w:bCs/>
          <w:color w:val="auto"/>
        </w:rPr>
        <w:t>Molecular docking study</w:t>
      </w:r>
    </w:p>
    <w:p w14:paraId="77725B88" w14:textId="118594A3" w:rsidR="00276817" w:rsidRPr="00A66903" w:rsidRDefault="00276817" w:rsidP="00276817">
      <w:pPr>
        <w:spacing w:before="240" w:line="360" w:lineRule="auto"/>
        <w:jc w:val="both"/>
        <w:rPr>
          <w:rFonts w:ascii="Times New Roman" w:hAnsi="Times New Roman" w:cs="Times New Roman"/>
          <w:b/>
          <w:bCs/>
          <w:sz w:val="28"/>
          <w:szCs w:val="28"/>
        </w:rPr>
      </w:pPr>
      <w:r w:rsidRPr="00A66903">
        <w:rPr>
          <w:rFonts w:ascii="Times New Roman" w:eastAsia="Times New Roman" w:hAnsi="Times New Roman" w:cs="Times New Roman"/>
          <w:sz w:val="24"/>
          <w:szCs w:val="24"/>
        </w:rPr>
        <w:t xml:space="preserve">Docking simulations were performed using Molecular Operating Environment (MOE) software version 2008.10. The synthesized compounds were drawn and exported to MOE. Energy minimization using the MMFF94x force ﬁeld was calculated for each molecule. The crystal structure of </w:t>
      </w:r>
      <w:r w:rsidRPr="00A66903">
        <w:rPr>
          <w:rFonts w:ascii="Times New Roman" w:hAnsi="Times New Roman" w:cs="Times New Roman"/>
          <w:i/>
          <w:iCs/>
          <w:sz w:val="24"/>
          <w:szCs w:val="24"/>
        </w:rPr>
        <w:t xml:space="preserve">S. aureus </w:t>
      </w:r>
      <w:r w:rsidRPr="00A66903">
        <w:rPr>
          <w:rFonts w:ascii="Times New Roman" w:hAnsi="Times New Roman" w:cs="Times New Roman"/>
          <w:sz w:val="24"/>
          <w:szCs w:val="24"/>
        </w:rPr>
        <w:t>DNA gyrase</w:t>
      </w:r>
      <w:r w:rsidRPr="00A66903">
        <w:rPr>
          <w:rFonts w:ascii="Times New Roman" w:eastAsia="Times New Roman" w:hAnsi="Times New Roman" w:cs="Times New Roman"/>
          <w:sz w:val="24"/>
          <w:szCs w:val="24"/>
        </w:rPr>
        <w:t xml:space="preserve"> in complex with ciprofloxacin was downloaded from the protein data bank (PDB ID: 2XCT) </w:t>
      </w:r>
      <w:r w:rsidR="00A66903" w:rsidRPr="00A66903">
        <w:rPr>
          <w:rFonts w:ascii="Times New Roman" w:eastAsia="Times New Roman" w:hAnsi="Times New Roman" w:cs="Times New Roman"/>
          <w:sz w:val="24"/>
          <w:szCs w:val="24"/>
        </w:rPr>
        <w:fldChar w:fldCharType="begin" w:fldLock="1"/>
      </w:r>
      <w:r w:rsidR="00A66903" w:rsidRPr="00A66903">
        <w:rPr>
          <w:rFonts w:ascii="Times New Roman" w:eastAsia="Times New Roman" w:hAnsi="Times New Roman" w:cs="Times New Roman"/>
          <w:sz w:val="24"/>
          <w:szCs w:val="24"/>
        </w:rPr>
        <w:instrText>ADDIN CSL_CITATION { "citationItems" : [ { "id" : "ITEM-1", "itemData" : { "URL" : "https://www.rcsb.org/structure/2xct, last accessed 30 Aug 2019", "id" : "ITEM-1", "issued" : { "date-parts" : [ [ "0" ] ] }, "title" : "pdb", "type" : "webpage" }, "uris" : [ "http://www.mendeley.com/documents/?uuid=2b28ce51-b450-468e-b463-8556e7bcb85d" ] }, { "id" : "ITEM-2", "itemData" : { "DOI" : "10.3390/antibiotics10020162", "ISSN" : "2079-6382", "abstract" : "&lt;p&gt;Herein, a series of novel hybrid sulfaguanidine moieties, bearing 2-cyanoacrylamide 2a\u2013d, pyridine-2-one 3\u201310, and 2-imino-2H-chromene-3-carboxamide 11, 12 derivatives, were synthesized, and their structure confirmed by spectral data and elemental analysis. All the synthesized compounds showed moderate to good antimicrobial activity against eight pathogens. The most promising six derivatives, 2a, 2b, 2d, 3a, 8, and 11, revealed to be best in inhibiting bacterial and fungal growth, thus showing bactericidal and fungicidal activity. These derivatives exhibited moderate to potent inhibition against DNA gyrase and DHFR enzymes, with three derivatives 2d, 3a, and 2a demonstrating inhibition of DNA gyrase, with IC50 values of 18.17\u201323.87 \u00b5M, and of DHFR, with IC50 values of 4.33\u20135.54 \u00b5M; their potency is near to that of the positive controls. Further, the six derivatives exhibited immunomodulatory potential and three derivatives, 2d, 8, and 11, were selected for further study and displayed an increase in spleen and thymus weight and enhanced the activation of CD4+ and CD8+ T lymphocytes. Finally, molecular docking and some AMED studies were performed.&lt;/p&gt;", "author" : [ { "dropping-particle" : "", "family" : "Ragab", "given" : "Ahmed", "non-dropping-particle" : "", "parse-names" : false, "suffix" : "" }, { "dropping-particle" : "", "family" : "Fouad", "given" : "Sawsan A.", "non-dropping-particle" : "", "parse-names" : false, "suffix" : "" }, { "dropping-particle" : "", "family" : "Ali", "given" : "Ola A. Abu", "non-dropping-particle" : "", "parse-names" : false, "suffix" : "" }, { "dropping-particle" : "", "family" : "Ahmed", "given" : "Entsar M.", "non-dropping-particle" : "", "parse-names" : false, "suffix" : "" }, { "dropping-particle" : "", "family" : "Ali", "given" : "Abeer M.", "non-dropping-particle" : "", "parse-names" : false, "suffix" : "" }, { "dropping-particle" : "", "family" : "Askar", "given" : "Ahmed A.", "non-dropping-particle" : "", "parse-names" : false, "suffix" : "" }, { "dropping-particle" : "", "family" : "Ammar", "given" : "Yousry A.", "non-dropping-particle" : "", "parse-names" : false, "suffix" : "" } ], "container-title" : "Antibiotics", "id" : "ITEM-2", "issue" : "2", "issued" : { "date-parts" : [ [ "2021", "2", "5" ] ] }, "page" : "162", "publisher" : "Multidisciplinary Digital Publishing Institute", "title" : "Sulfaguanidine Hybrid with Some New Pyridine-2-One Derivatives: Design, Synthesis, and Antimicrobial Activity against Multidrug-Resistant Bacteria as Dual DNA Gyrase and DHFR Inhibitors", "type" : "article-journal", "volume" : "10" }, "uris" : [ "http://www.mendeley.com/documents/?uuid=8eaf7fd2-e995-3eed-afd8-5c906bfbbaae" ] }, { "id" : "ITEM-3", "itemData" : { "DOI" : "https://doi.org/10.1016/j.dyepig.2021.109504", "ISSN" : "0143-7208", "abstract" : "A series of new magenta azomethine reactive disperse dyes were synthesized and applied into polyester/cotton blend fabrics. Various spectroscopic and analytical techniques characterized all the synthesized dyes. The obtained data and theoretical values of all the synthesized molecules were in good agreement with the proposed molecular structure. These dyes have proven their efficiency in dyeing blend fabrics, as they give satisfactory results in fastness properties, colorimetric data and exhaustion, fixation study. Moreover, the dyed fabrics were tested for ultraviolet protection factor and offered high ultraviolet protection. The advantage of synthesizing these dyes is quite facile, and scale-up is feasible, preferring industrial dyeing applications. The designed thiazole azomethine dyes exhibited broad-spectrum antibacterial agents against MDR Gram-positive and Gram-negative bacterial isolates, which will facilitate their rational usage in multiple therapeutic applications. Our findings also demonstrate the possibility of using gamma radiation for sterilization of dyed fabrics and the ability of radiation to intensify their antibacterial activities, thereby inhibiting any bacterial growth on the surface of textiles. The molecular docking study showed good binding as a preferred mode between the dyes and DNA gyrase's active site (2XCT).", "author" : [ { "dropping-particle" : "", "family" : "Ibrahim", "given" : "Seham A", "non-dropping-particle" : "", "parse-names" : false, "suffix" : "" }, { "dropping-particle" : "", "family" : "Rizk", "given" : "Hala F", "non-dropping-particle" : "", "parse-names" : false, "suffix" : "" }, { "dropping-particle" : "", "family" : "Aboul-Magd", "given" : "Dina S", "non-dropping-particle" : "", "parse-names" : false, "suffix" : "" }, { "dropping-particle" : "", "family" : "Ragab", "given" : "Ahmed", "non-dropping-particle" : "", "parse-names" : false, "suffix" : "" } ], "container-title" : "Dyes and Pigments", "id" : "ITEM-3", "issued" : { "date-parts" : [ [ "2021" ] ] }, "page" : "109504", "title" : "Design, synthesis of new magenta dyestuffs based on thiazole azomethine disperse reactive dyes with antibacterial potential on both dyes and gamma-irradiated dyed fabric", "type" : "article-journal", "volume" : "193" }, "uris" : [ "http://www.mendeley.com/documents/?uuid=eba91b13-36a1-4cf3-8647-d42fc15d13f1" ] } ], "mendeley" : { "formattedCitation" : "[5,12,13]", "plainTextFormattedCitation" : "[5,12,13]", "previouslyFormattedCitation" : "[5,12,13]" }, "properties" : { "noteIndex" : 0 }, "schema" : "https://github.com/citation-style-language/schema/raw/master/csl-citation.json" }</w:instrText>
      </w:r>
      <w:r w:rsidR="00A66903" w:rsidRPr="00A66903">
        <w:rPr>
          <w:rFonts w:ascii="Times New Roman" w:eastAsia="Times New Roman" w:hAnsi="Times New Roman" w:cs="Times New Roman"/>
          <w:sz w:val="24"/>
          <w:szCs w:val="24"/>
        </w:rPr>
        <w:fldChar w:fldCharType="separate"/>
      </w:r>
      <w:r w:rsidR="00A66903" w:rsidRPr="00A66903">
        <w:rPr>
          <w:rFonts w:ascii="Times New Roman" w:eastAsia="Times New Roman" w:hAnsi="Times New Roman" w:cs="Times New Roman"/>
          <w:noProof/>
          <w:sz w:val="24"/>
          <w:szCs w:val="24"/>
        </w:rPr>
        <w:t>[5,12,13]</w:t>
      </w:r>
      <w:r w:rsidR="00A66903" w:rsidRPr="00A66903">
        <w:rPr>
          <w:rFonts w:ascii="Times New Roman" w:eastAsia="Times New Roman" w:hAnsi="Times New Roman" w:cs="Times New Roman"/>
          <w:sz w:val="24"/>
          <w:szCs w:val="24"/>
        </w:rPr>
        <w:fldChar w:fldCharType="end"/>
      </w:r>
      <w:r w:rsidR="00903BCF">
        <w:rPr>
          <w:rFonts w:ascii="Times New Roman" w:eastAsia="Times New Roman" w:hAnsi="Times New Roman" w:cs="Times New Roman"/>
          <w:sz w:val="24"/>
          <w:szCs w:val="24"/>
        </w:rPr>
        <w:t>.</w:t>
      </w:r>
      <w:r w:rsidRPr="00A66903">
        <w:rPr>
          <w:rFonts w:ascii="Times New Roman" w:eastAsia="Times New Roman" w:hAnsi="Times New Roman" w:cs="Times New Roman"/>
          <w:sz w:val="24"/>
          <w:szCs w:val="24"/>
        </w:rPr>
        <w:t xml:space="preserve"> The protein obtained was prepared by Hydrogen atoms were added and partial charges were computed; The binding pocket has been identiﬁed; Flexible ligand-rigid receptor docking of the most stable conformers was done using Alpha triangle placement method and London </w:t>
      </w:r>
      <w:proofErr w:type="spellStart"/>
      <w:r w:rsidRPr="00A66903">
        <w:rPr>
          <w:rFonts w:ascii="Times New Roman" w:eastAsia="Times New Roman" w:hAnsi="Times New Roman" w:cs="Times New Roman"/>
          <w:sz w:val="24"/>
          <w:szCs w:val="24"/>
        </w:rPr>
        <w:t>dG</w:t>
      </w:r>
      <w:proofErr w:type="spellEnd"/>
      <w:r w:rsidRPr="00A66903">
        <w:rPr>
          <w:rFonts w:ascii="Times New Roman" w:eastAsia="Times New Roman" w:hAnsi="Times New Roman" w:cs="Times New Roman"/>
          <w:sz w:val="24"/>
          <w:szCs w:val="24"/>
        </w:rPr>
        <w:t xml:space="preserve"> as a scoring function. The top-scoring pose was inspected visually.</w:t>
      </w:r>
    </w:p>
    <w:p w14:paraId="772E08A2" w14:textId="72595A2B" w:rsidR="00AE1278" w:rsidRDefault="00AE1278"/>
    <w:p w14:paraId="68E523E5" w14:textId="6A017C0A" w:rsidR="00276817" w:rsidRPr="009669DA" w:rsidRDefault="00276817" w:rsidP="00276817">
      <w:pPr>
        <w:jc w:val="both"/>
        <w:rPr>
          <w:rFonts w:ascii="Times New Roman" w:hAnsi="Times New Roman" w:cs="Times New Roman"/>
          <w:b/>
          <w:bCs/>
          <w:sz w:val="24"/>
          <w:szCs w:val="24"/>
        </w:rPr>
      </w:pPr>
      <w:r w:rsidRPr="009669DA">
        <w:rPr>
          <w:rFonts w:ascii="Times New Roman" w:hAnsi="Times New Roman" w:cs="Times New Roman"/>
          <w:b/>
          <w:bCs/>
          <w:sz w:val="24"/>
          <w:szCs w:val="24"/>
        </w:rPr>
        <w:lastRenderedPageBreak/>
        <w:t>Reference</w:t>
      </w:r>
    </w:p>
    <w:p w14:paraId="4E013058" w14:textId="237B9497" w:rsidR="00A66903" w:rsidRPr="00A66903" w:rsidRDefault="009669DA"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9669DA">
        <w:rPr>
          <w:rFonts w:ascii="Times New Roman" w:hAnsi="Times New Roman" w:cs="Times New Roman"/>
          <w:sz w:val="24"/>
          <w:szCs w:val="24"/>
        </w:rPr>
        <w:fldChar w:fldCharType="begin" w:fldLock="1"/>
      </w:r>
      <w:r w:rsidRPr="009669DA">
        <w:rPr>
          <w:rFonts w:ascii="Times New Roman" w:hAnsi="Times New Roman" w:cs="Times New Roman"/>
          <w:sz w:val="24"/>
          <w:szCs w:val="24"/>
        </w:rPr>
        <w:instrText xml:space="preserve">ADDIN Mendeley Bibliography CSL_BIBLIOGRAPHY </w:instrText>
      </w:r>
      <w:r w:rsidRPr="009669DA">
        <w:rPr>
          <w:rFonts w:ascii="Times New Roman" w:hAnsi="Times New Roman" w:cs="Times New Roman"/>
          <w:sz w:val="24"/>
          <w:szCs w:val="24"/>
        </w:rPr>
        <w:fldChar w:fldCharType="separate"/>
      </w:r>
      <w:r w:rsidR="00A66903" w:rsidRPr="00A66903">
        <w:rPr>
          <w:rFonts w:ascii="Times New Roman" w:hAnsi="Times New Roman" w:cs="Times New Roman"/>
          <w:noProof/>
          <w:sz w:val="24"/>
          <w:szCs w:val="24"/>
        </w:rPr>
        <w:t>[1]</w:t>
      </w:r>
      <w:r w:rsidR="00A66903" w:rsidRPr="00A66903">
        <w:rPr>
          <w:rFonts w:ascii="Times New Roman" w:hAnsi="Times New Roman" w:cs="Times New Roman"/>
          <w:noProof/>
          <w:sz w:val="24"/>
          <w:szCs w:val="24"/>
        </w:rPr>
        <w:tab/>
        <w:t>Y. A Ammar, S. AM, M. El-Sharief, M. M Ghorab, Y. A Mohamed, A. Ragab, S. Y Abbas, New imidazolidineiminothione, imidazolidin-2-one and imidazoquinoxaline derivatives: synthesis and evaluation of antibacterial and antifungal activities, Curr. Org. Synth. 13 (2016) 466–475.</w:t>
      </w:r>
    </w:p>
    <w:p w14:paraId="1EA87EC1"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[2]</w:t>
      </w:r>
      <w:r w:rsidRPr="00A66903">
        <w:rPr>
          <w:rFonts w:ascii="Times New Roman" w:hAnsi="Times New Roman" w:cs="Times New Roman"/>
          <w:noProof/>
          <w:sz w:val="24"/>
          <w:szCs w:val="24"/>
        </w:rPr>
        <w:tab/>
        <w:t>Y.A. Ammar, S.Y. Abbas, M.A.M.S. El-Sharief, M.A.E.-R. Salem, A.R. Mohamed, Synthesis and characterization of new imidazolidineiminothione and bis-imidazolidineiminothione derivatives as potential antimicrobial agents, Eur. J. Chem. 8 (2017) 76–81. https://doi.org/10.5155/eurjchem.8.1.76-81.1542.</w:t>
      </w:r>
    </w:p>
    <w:p w14:paraId="41138356"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[3]</w:t>
      </w:r>
      <w:r w:rsidRPr="00A66903">
        <w:rPr>
          <w:rFonts w:ascii="Times New Roman" w:hAnsi="Times New Roman" w:cs="Times New Roman"/>
          <w:noProof/>
          <w:sz w:val="24"/>
          <w:szCs w:val="24"/>
        </w:rPr>
        <w:tab/>
        <w:t>M.P. Wikler, M.A., Hindler, J.F., Cockerill, F.R., Patel, J.B., Bush, K., Powell, M., Dudley, M.N., Turnidge, J.D., Elopoulos, G.M. and Weinstein, Clinical and Laboratory Standards Institute, in: Methods Dilution Antimicrob. Susceptibility Tests Bact. That Grow Aerob. Approv. Stand. ; CLSI Doc. M07-A8; ISBN ISBN 1-56238-689-1., Wayne, PA, USA., 2008.</w:t>
      </w:r>
    </w:p>
    <w:p w14:paraId="24A25030"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[4]</w:t>
      </w:r>
      <w:r w:rsidRPr="00A66903">
        <w:rPr>
          <w:rFonts w:ascii="Times New Roman" w:hAnsi="Times New Roman" w:cs="Times New Roman"/>
          <w:noProof/>
          <w:sz w:val="24"/>
          <w:szCs w:val="24"/>
        </w:rPr>
        <w:tab/>
        <w:t>Y.A. Ammar, S.M.A.A. El-Hafez, S.A. Hessein, A.M. Ali, A.A. Askar, A. Ragab, One-pot strategy for thiazole tethered 7-ethoxy quinoline hybrids: Synthesis and potential antimicrobial agents as dihydrofolate reductase (DHFR) inhibitors with molecular docking study, J. Mol. Struct. 1242 (2021) 130748. https://doi.org/https://doi.org/10.1016/j.molstruc.2021.130748.</w:t>
      </w:r>
    </w:p>
    <w:p w14:paraId="01EB0208"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[5]</w:t>
      </w:r>
      <w:r w:rsidRPr="00A66903">
        <w:rPr>
          <w:rFonts w:ascii="Times New Roman" w:hAnsi="Times New Roman" w:cs="Times New Roman"/>
          <w:noProof/>
          <w:sz w:val="24"/>
          <w:szCs w:val="24"/>
        </w:rPr>
        <w:tab/>
        <w:t>A. Ragab, S.A. Fouad, O.A.A. Ali, E.M. Ahmed, A.M. Ali, A.A. Askar, Y.A. Ammar, Sulfaguanidine Hybrid with Some New Pyridine-2-One Derivatives: Design, Synthesis, and Antimicrobial Activity against Multidrug-Resistant Bacteria as Dual DNA Gyrase and DHFR Inhibitors, Antibiotics. 10 (2021) 162. https://doi.org/10.3390/antibiotics10020162.</w:t>
      </w:r>
    </w:p>
    <w:p w14:paraId="2FB9900D"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[6]</w:t>
      </w:r>
      <w:r w:rsidRPr="00A66903">
        <w:rPr>
          <w:rFonts w:ascii="Times New Roman" w:hAnsi="Times New Roman" w:cs="Times New Roman"/>
          <w:noProof/>
          <w:sz w:val="24"/>
          <w:szCs w:val="24"/>
        </w:rPr>
        <w:tab/>
        <w:t>F.R.F. Dias, J.S. Novais, T.A. do N.S. Devillart, W.A. da Silva, M.O. Ferreira, R. de S. Loureiro, V.R. Campos, V.F. Ferreira, M.C.B. V de Souza, H.C. Castro, A.C. Cunha, Synthesis and antimicrobial evaluation of amino sugar-based naphthoquinones and isoquinoline-5,8-diones and their halogenated compounds, Eur. J. Med. Chem. 156 (2018) 1–12. https://doi.org/https://doi.org/10.1016/j.ejmech.2018.06.050.</w:t>
      </w:r>
    </w:p>
    <w:p w14:paraId="7CD7FD77"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[7]</w:t>
      </w:r>
      <w:r w:rsidRPr="00A66903">
        <w:rPr>
          <w:rFonts w:ascii="Times New Roman" w:hAnsi="Times New Roman" w:cs="Times New Roman"/>
          <w:noProof/>
          <w:sz w:val="24"/>
          <w:szCs w:val="24"/>
        </w:rPr>
        <w:tab/>
        <w:t>Y.A. Ammar, A.A. Farag, A.M. Ali, S.A. Hessein, A.A. Askar, E.A. Fayed, D.M. Elsisi, A. Ragab, Antimicrobial evaluation of thiadiazino and thiazolo quinoxaline hybrids as potential DNA gyrase inhibitors; design, synthesis, characterization and morphological studies, Bioorg. Chem. 99 (2020) 103841. https://doi.org/https://doi.org/10.1016/j.bioorg.2020.103841.</w:t>
      </w:r>
    </w:p>
    <w:p w14:paraId="0523BEA9"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[8]</w:t>
      </w:r>
      <w:r w:rsidRPr="00A66903">
        <w:rPr>
          <w:rFonts w:ascii="Times New Roman" w:hAnsi="Times New Roman" w:cs="Times New Roman"/>
          <w:noProof/>
          <w:sz w:val="24"/>
          <w:szCs w:val="24"/>
        </w:rPr>
        <w:tab/>
        <w:t>Y.A. Ammar, A.A. Farag, A.M. Ali, A. Ragab, A.A. Askar, D.M. Elsisi, A. Belal, Design, synthesis, antimicrobial activity and molecular docking studies of some novel di-substituted sulfonylquinoxaline derivatives, Bioorg. Chem. 104 (2020) 104164. https://doi.org/https://doi.org/10.1016/j.bioorg.2020.104164.</w:t>
      </w:r>
    </w:p>
    <w:p w14:paraId="475619C2"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[9]</w:t>
      </w:r>
      <w:r w:rsidRPr="00A66903">
        <w:rPr>
          <w:rFonts w:ascii="Times New Roman" w:hAnsi="Times New Roman" w:cs="Times New Roman"/>
          <w:noProof/>
          <w:sz w:val="24"/>
          <w:szCs w:val="24"/>
        </w:rPr>
        <w:tab/>
        <w:t xml:space="preserve">A. Ferrante, Y.H. Thong, Optimal conditions for simultaneous purification of mononuclear and polymorphonuclear leucocytes from human blood by the hypaque-ficoll method, J. Immunol. Methods. 36 (1980) 109–117. </w:t>
      </w:r>
      <w:r w:rsidRPr="00A66903">
        <w:rPr>
          <w:rFonts w:ascii="Times New Roman" w:hAnsi="Times New Roman" w:cs="Times New Roman"/>
          <w:noProof/>
          <w:sz w:val="24"/>
          <w:szCs w:val="24"/>
        </w:rPr>
        <w:lastRenderedPageBreak/>
        <w:t>https://doi.org/https://doi.org/10.1016/0022-1759(80)90036-8.</w:t>
      </w:r>
    </w:p>
    <w:p w14:paraId="4D270270"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[10]</w:t>
      </w:r>
      <w:r w:rsidRPr="00A66903">
        <w:rPr>
          <w:rFonts w:ascii="Times New Roman" w:hAnsi="Times New Roman" w:cs="Times New Roman"/>
          <w:noProof/>
          <w:sz w:val="24"/>
          <w:szCs w:val="24"/>
        </w:rPr>
        <w:tab/>
        <w:t>D.G.N. R.L. Baehner, Quantitative nitroblue tetrazolium test in chronic granulomatous disease, N. Engl. J. Med. 278 (1968) 971–976.</w:t>
      </w:r>
    </w:p>
    <w:p w14:paraId="6C957028"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[11]</w:t>
      </w:r>
      <w:r w:rsidRPr="00A66903">
        <w:rPr>
          <w:rFonts w:ascii="Times New Roman" w:hAnsi="Times New Roman" w:cs="Times New Roman"/>
          <w:noProof/>
          <w:sz w:val="24"/>
          <w:szCs w:val="24"/>
        </w:rPr>
        <w:tab/>
        <w:t>M.A. Salem, A. Ragab, A.A. Askar, A. El-Khalafawy, A.H. Makhlouf, One-pot synthesis and molecular docking of some new spiropyranindol-2-one derivatives as immunomodulatory agents and in vitro antimicrobial potential with DNA gyrase inhibitor, Eur. J. Med. Chem. 188 (2020). https://doi.org/10.1016/j.ejmech.2019.111977.</w:t>
      </w:r>
    </w:p>
    <w:p w14:paraId="3BFC96D5" w14:textId="11AF4282"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szCs w:val="24"/>
        </w:rPr>
      </w:pPr>
      <w:r w:rsidRPr="00A66903">
        <w:rPr>
          <w:rFonts w:ascii="Times New Roman" w:hAnsi="Times New Roman" w:cs="Times New Roman"/>
          <w:noProof/>
          <w:sz w:val="24"/>
          <w:szCs w:val="24"/>
        </w:rPr>
        <w:t>[12]</w:t>
      </w:r>
      <w:r w:rsidR="0095627E">
        <w:rPr>
          <w:rFonts w:ascii="Times New Roman" w:hAnsi="Times New Roman" w:cs="Times New Roman"/>
          <w:noProof/>
          <w:sz w:val="24"/>
          <w:szCs w:val="24"/>
        </w:rPr>
        <w:tab/>
      </w:r>
      <w:r w:rsidRPr="00A66903">
        <w:rPr>
          <w:rFonts w:ascii="Times New Roman" w:hAnsi="Times New Roman" w:cs="Times New Roman"/>
          <w:noProof/>
          <w:sz w:val="24"/>
          <w:szCs w:val="24"/>
        </w:rPr>
        <w:t xml:space="preserve"> https://www.rcsb.org/structure/2xct, last accessed 30 Aug 2019.</w:t>
      </w:r>
    </w:p>
    <w:p w14:paraId="64333D39" w14:textId="77777777" w:rsidR="00A66903" w:rsidRPr="00A66903" w:rsidRDefault="00A66903" w:rsidP="00A66903">
      <w:pPr>
        <w:widowControl w:val="0"/>
        <w:autoSpaceDE w:val="0"/>
        <w:autoSpaceDN w:val="0"/>
        <w:adjustRightInd w:val="0"/>
        <w:spacing w:line="240" w:lineRule="auto"/>
        <w:ind w:left="640" w:hanging="640"/>
        <w:rPr>
          <w:rFonts w:ascii="Times New Roman" w:hAnsi="Times New Roman" w:cs="Times New Roman"/>
          <w:noProof/>
          <w:sz w:val="24"/>
        </w:rPr>
      </w:pPr>
      <w:r w:rsidRPr="00A66903">
        <w:rPr>
          <w:rFonts w:ascii="Times New Roman" w:hAnsi="Times New Roman" w:cs="Times New Roman"/>
          <w:noProof/>
          <w:sz w:val="24"/>
          <w:szCs w:val="24"/>
        </w:rPr>
        <w:t>[13]</w:t>
      </w:r>
      <w:r w:rsidRPr="00A66903">
        <w:rPr>
          <w:rFonts w:ascii="Times New Roman" w:hAnsi="Times New Roman" w:cs="Times New Roman"/>
          <w:noProof/>
          <w:sz w:val="24"/>
          <w:szCs w:val="24"/>
        </w:rPr>
        <w:tab/>
        <w:t>S.A. Ibrahim, H.F. Rizk, D.S. Aboul-Magd, A. Ragab, Design, synthesis of new magenta dyestuffs based on thiazole azomethine disperse reactive dyes with antibacterial potential on both dyes and gamma-irradiated dyed fabric, Dye. Pigment. 193 (2021) 109504. https://doi.org/https://doi.org/10.1016/j.dyepig.2021.109504.</w:t>
      </w:r>
    </w:p>
    <w:p w14:paraId="17CF441D" w14:textId="73297464" w:rsidR="00A15BB5" w:rsidRDefault="009669DA">
      <w:r w:rsidRPr="009669DA">
        <w:rPr>
          <w:rFonts w:ascii="Times New Roman" w:hAnsi="Times New Roman" w:cs="Times New Roman"/>
          <w:sz w:val="24"/>
          <w:szCs w:val="24"/>
        </w:rPr>
        <w:fldChar w:fldCharType="end"/>
      </w:r>
      <w:r w:rsidR="00A15BB5">
        <w:br w:type="page"/>
      </w:r>
    </w:p>
    <w:p w14:paraId="2155455A" w14:textId="2B347DEA" w:rsidR="00100252" w:rsidRDefault="00A15BB5" w:rsidP="00100252">
      <w:r w:rsidRPr="00E908AF">
        <w:rPr>
          <w:noProof/>
        </w:rPr>
        <w:lastRenderedPageBreak/>
        <w:drawing>
          <wp:anchor distT="0" distB="0" distL="114300" distR="114300" simplePos="0" relativeHeight="251659264" behindDoc="0" locked="0" layoutInCell="1" allowOverlap="1" wp14:anchorId="72DE511A" wp14:editId="24A9CCDC">
            <wp:simplePos x="0" y="0"/>
            <wp:positionH relativeFrom="column">
              <wp:posOffset>-228600</wp:posOffset>
            </wp:positionH>
            <wp:positionV relativeFrom="paragraph">
              <wp:posOffset>0</wp:posOffset>
            </wp:positionV>
            <wp:extent cx="8229600" cy="5753100"/>
            <wp:effectExtent l="0" t="0" r="0" b="0"/>
            <wp:wrapSquare wrapText="bothSides"/>
            <wp:docPr id="46" name="Picture 46" descr="D:\ياسمين\work\PhD+د.يسرى\العملى+25-11-2017\chemical sketch\analysis\ALL DATA\so2nhnh2\supplementary data\di(OH)sulfonyl chlor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ياسمين\work\PhD+د.يسرى\العملى+25-11-2017\chemical sketch\analysis\ALL DATA\so2nhnh2\supplementary data\di(OH)sulfonyl chlorid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229600" cy="575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448DC">
        <w:rPr>
          <w:noProof/>
        </w:rPr>
        <w:object w:dxaOrig="1440" w:dyaOrig="1440" w14:anchorId="2984E5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8" type="#_x0000_t75" style="position:absolute;margin-left:65.8pt;margin-top:154.3pt;width:127.45pt;height:101.55pt;z-index:251660288;mso-position-horizontal-relative:text;mso-position-vertical-relative:text">
            <v:imagedata r:id="rId10" o:title=""/>
            <w10:wrap type="square"/>
          </v:shape>
          <o:OLEObject Type="Embed" ProgID="ChemDraw.Document.6.0" ShapeID="_x0000_s1158" DrawAspect="Content" ObjectID="_1689028178" r:id="rId11"/>
        </w:object>
      </w:r>
    </w:p>
    <w:p w14:paraId="5F524999" w14:textId="77777777" w:rsidR="00100252" w:rsidRDefault="00100252" w:rsidP="00100252">
      <w:r w:rsidRPr="00E05CC3">
        <w:rPr>
          <w:noProof/>
        </w:rPr>
        <w:lastRenderedPageBreak/>
        <w:drawing>
          <wp:anchor distT="0" distB="0" distL="114300" distR="114300" simplePos="0" relativeHeight="251661312" behindDoc="0" locked="0" layoutInCell="1" allowOverlap="1" wp14:anchorId="318DB40E" wp14:editId="2441392E">
            <wp:simplePos x="0" y="0"/>
            <wp:positionH relativeFrom="margin">
              <wp:align>left</wp:align>
            </wp:positionH>
            <wp:positionV relativeFrom="paragraph">
              <wp:posOffset>144780</wp:posOffset>
            </wp:positionV>
            <wp:extent cx="8021320" cy="5605145"/>
            <wp:effectExtent l="0" t="0" r="0" b="0"/>
            <wp:wrapSquare wrapText="bothSides"/>
            <wp:docPr id="18" name="Picture 18" descr="D:\ياسمين\work\PhD+د.يسرى\العملى+25-11-2017\chemical sketch\analysis\ALL DATA\so2nhnh2\supplementary data+hydrazine\M420+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D:\ياسمين\work\PhD+د.يسرى\العملى+25-11-2017\chemical sketch\analysis\ALL DATA\so2nhnh2\supplementary data+hydrazine\M420+C1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021320" cy="5605145"/>
                    </a:xfrm>
                    <a:prstGeom prst="rect">
                      <a:avLst/>
                    </a:prstGeom>
                    <a:noFill/>
                    <a:ln>
                      <a:noFill/>
                    </a:ln>
                  </pic:spPr>
                </pic:pic>
              </a:graphicData>
            </a:graphic>
            <wp14:sizeRelH relativeFrom="page">
              <wp14:pctWidth>0</wp14:pctWidth>
            </wp14:sizeRelH>
            <wp14:sizeRelV relativeFrom="page">
              <wp14:pctHeight>0</wp14:pctHeight>
            </wp14:sizeRelV>
          </wp:anchor>
        </w:drawing>
      </w:r>
      <w:r w:rsidR="007448DC">
        <w:rPr>
          <w:noProof/>
        </w:rPr>
        <w:object w:dxaOrig="1440" w:dyaOrig="1440" w14:anchorId="6A6074FB">
          <v:shape id="_x0000_s1159" type="#_x0000_t75" style="position:absolute;margin-left:99.45pt;margin-top:131.9pt;width:127.45pt;height:101.55pt;z-index:251662336;mso-position-horizontal-relative:text;mso-position-vertical-relative:text">
            <v:imagedata r:id="rId13" o:title=""/>
            <w10:wrap type="square"/>
          </v:shape>
          <o:OLEObject Type="Embed" ProgID="ChemDraw.Document.6.0" ShapeID="_x0000_s1159" DrawAspect="Content" ObjectID="_1689028179" r:id="rId14"/>
        </w:object>
      </w:r>
    </w:p>
    <w:p w14:paraId="7E4BC042" w14:textId="27E5F86E" w:rsidR="003A5DB5" w:rsidRDefault="007448DC" w:rsidP="003A5DB5">
      <w:pPr>
        <w:rPr>
          <w:rtl/>
        </w:rPr>
      </w:pPr>
      <w:r>
        <w:rPr>
          <w:noProof/>
          <w:rtl/>
        </w:rPr>
        <w:lastRenderedPageBreak/>
        <w:object w:dxaOrig="1440" w:dyaOrig="1440" w14:anchorId="5EFE9A18">
          <v:shape id="_x0000_s1196" type="#_x0000_t75" style="position:absolute;margin-left:33.5pt;margin-top:179pt;width:152.95pt;height:110.7pt;z-index:251714560">
            <v:imagedata r:id="rId15" o:title=""/>
          </v:shape>
          <o:OLEObject Type="Embed" ProgID="ChemDraw.Document.6.0" ShapeID="_x0000_s1196" DrawAspect="Content" ObjectID="_1689028180" r:id="rId16"/>
        </w:object>
      </w:r>
      <w:r w:rsidR="003A5DB5">
        <w:rPr>
          <w:noProof/>
        </w:rPr>
        <w:drawing>
          <wp:inline distT="0" distB="0" distL="0" distR="0" wp14:anchorId="7125C23D" wp14:editId="50999765">
            <wp:extent cx="8229600" cy="5747385"/>
            <wp:effectExtent l="0" t="0" r="0" b="5715"/>
            <wp:docPr id="17" name="Picture 17" descr="D:\ياسمين\work\PhD+د.يسرى\العملى+25-11-2017\chemical sketch\analysis\ALL DATA\cl, amine scheme\supplementary Cl, Amine\m2+hn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ياسمين\work\PhD+د.يسرى\العملى+25-11-2017\chemical sketch\analysis\ALL DATA\cl, amine scheme\supplementary Cl, Amine\m2+hnm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29600" cy="5747385"/>
                    </a:xfrm>
                    <a:prstGeom prst="rect">
                      <a:avLst/>
                    </a:prstGeom>
                    <a:noFill/>
                    <a:ln>
                      <a:noFill/>
                    </a:ln>
                  </pic:spPr>
                </pic:pic>
              </a:graphicData>
            </a:graphic>
          </wp:inline>
        </w:drawing>
      </w:r>
    </w:p>
    <w:p w14:paraId="3B1B9558" w14:textId="6010F03F" w:rsidR="003A5DB5" w:rsidRDefault="007448DC" w:rsidP="003A5DB5">
      <w:r>
        <w:rPr>
          <w:noProof/>
          <w:lang w:val="ar-SA"/>
        </w:rPr>
        <w:lastRenderedPageBreak/>
        <w:object w:dxaOrig="1440" w:dyaOrig="1440" w14:anchorId="5EFE9A18">
          <v:shape id="_x0000_s1215" type="#_x0000_t75" style="position:absolute;margin-left:55.05pt;margin-top:125.7pt;width:152.95pt;height:110.7pt;z-index:251737088">
            <v:imagedata r:id="rId15" o:title=""/>
          </v:shape>
          <o:OLEObject Type="Embed" ProgID="ChemDraw.Document.6.0" ShapeID="_x0000_s1215" DrawAspect="Content" ObjectID="_1689028181" r:id="rId18"/>
        </w:object>
      </w:r>
      <w:r w:rsidR="003A5DB5">
        <w:rPr>
          <w:noProof/>
        </w:rPr>
        <w:drawing>
          <wp:inline distT="0" distB="0" distL="0" distR="0" wp14:anchorId="2F51D3A3" wp14:editId="7130D4CD">
            <wp:extent cx="8229600" cy="5747385"/>
            <wp:effectExtent l="0" t="0" r="0" b="5715"/>
            <wp:docPr id="49" name="Picture 49" descr="D:\ياسمين\work\PhD+د.يسرى\العملى+25-11-2017\chemical sketch\analysis\ALL DATA\cl, amine scheme\supplementary Cl, Amine\M2+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ياسمين\work\PhD+د.يسرى\العملى+25-11-2017\chemical sketch\analysis\ALL DATA\cl, amine scheme\supplementary Cl, Amine\M2+C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229600" cy="5747385"/>
                    </a:xfrm>
                    <a:prstGeom prst="rect">
                      <a:avLst/>
                    </a:prstGeom>
                    <a:noFill/>
                    <a:ln>
                      <a:noFill/>
                    </a:ln>
                  </pic:spPr>
                </pic:pic>
              </a:graphicData>
            </a:graphic>
          </wp:inline>
        </w:drawing>
      </w:r>
    </w:p>
    <w:p w14:paraId="2C3D2411" w14:textId="218B25E6" w:rsidR="003A5DB5" w:rsidRDefault="007448DC" w:rsidP="003A5DB5">
      <w:pPr>
        <w:rPr>
          <w:noProof/>
        </w:rPr>
      </w:pPr>
      <w:r>
        <w:rPr>
          <w:noProof/>
          <w:lang w:val="ar-SA"/>
        </w:rPr>
        <w:lastRenderedPageBreak/>
        <w:object w:dxaOrig="1440" w:dyaOrig="1440" w14:anchorId="5EFE9A18">
          <v:shape id="_x0000_s1216" type="#_x0000_t75" style="position:absolute;margin-left:389.85pt;margin-top:36.9pt;width:152.95pt;height:110.7pt;z-index:251738112">
            <v:imagedata r:id="rId15" o:title=""/>
          </v:shape>
          <o:OLEObject Type="Embed" ProgID="ChemDraw.Document.6.0" ShapeID="_x0000_s1216" DrawAspect="Content" ObjectID="_1689028182" r:id="rId20"/>
        </w:object>
      </w:r>
      <w:r w:rsidR="003A5DB5" w:rsidRPr="005A6A78">
        <w:rPr>
          <w:noProof/>
        </w:rPr>
        <w:drawing>
          <wp:inline distT="0" distB="0" distL="0" distR="0" wp14:anchorId="7960AC56" wp14:editId="0CC066CA">
            <wp:extent cx="7997588" cy="5481769"/>
            <wp:effectExtent l="0" t="0" r="381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a:lum bright="-20000" contrast="40000"/>
                      <a:extLst>
                        <a:ext uri="{28A0092B-C50C-407E-A947-70E740481C1C}">
                          <a14:useLocalDpi xmlns:a14="http://schemas.microsoft.com/office/drawing/2010/main" val="0"/>
                        </a:ext>
                      </a:extLst>
                    </a:blip>
                    <a:srcRect/>
                    <a:stretch>
                      <a:fillRect/>
                    </a:stretch>
                  </pic:blipFill>
                  <pic:spPr bwMode="auto">
                    <a:xfrm>
                      <a:off x="0" y="0"/>
                      <a:ext cx="8016868" cy="5494984"/>
                    </a:xfrm>
                    <a:prstGeom prst="rect">
                      <a:avLst/>
                    </a:prstGeom>
                    <a:noFill/>
                    <a:ln>
                      <a:noFill/>
                    </a:ln>
                  </pic:spPr>
                </pic:pic>
              </a:graphicData>
            </a:graphic>
          </wp:inline>
        </w:drawing>
      </w:r>
    </w:p>
    <w:p w14:paraId="409D6483" w14:textId="77777777" w:rsidR="003A5DB5" w:rsidRDefault="003A5DB5" w:rsidP="003A5DB5">
      <w:pPr>
        <w:rPr>
          <w:noProof/>
        </w:rPr>
      </w:pPr>
    </w:p>
    <w:p w14:paraId="2309848A" w14:textId="279631BB" w:rsidR="003A5DB5" w:rsidRDefault="007448DC" w:rsidP="003A5DB5">
      <w:pPr>
        <w:rPr>
          <w:noProof/>
        </w:rPr>
      </w:pPr>
      <w:r>
        <w:rPr>
          <w:noProof/>
        </w:rPr>
        <w:lastRenderedPageBreak/>
        <w:object w:dxaOrig="1440" w:dyaOrig="1440" w14:anchorId="43B07F1D">
          <v:shape id="_x0000_s1188" type="#_x0000_t75" style="position:absolute;margin-left:82.3pt;margin-top:163.65pt;width:183.85pt;height:101.3pt;z-index:251701248">
            <v:imagedata r:id="rId22" o:title=""/>
            <w10:wrap type="square"/>
          </v:shape>
          <o:OLEObject Type="Embed" ProgID="ChemDraw.Document.6.0" ShapeID="_x0000_s1188" DrawAspect="Content" ObjectID="_1689028183" r:id="rId23"/>
        </w:object>
      </w:r>
      <w:r w:rsidR="003A5DB5" w:rsidRPr="00FC64B0">
        <w:rPr>
          <w:noProof/>
        </w:rPr>
        <w:drawing>
          <wp:anchor distT="0" distB="0" distL="114300" distR="114300" simplePos="0" relativeHeight="251696128" behindDoc="0" locked="0" layoutInCell="1" allowOverlap="1" wp14:anchorId="47537FE4" wp14:editId="695E396C">
            <wp:simplePos x="0" y="0"/>
            <wp:positionH relativeFrom="column">
              <wp:posOffset>0</wp:posOffset>
            </wp:positionH>
            <wp:positionV relativeFrom="paragraph">
              <wp:posOffset>187325</wp:posOffset>
            </wp:positionV>
            <wp:extent cx="8229600" cy="5751195"/>
            <wp:effectExtent l="0" t="0" r="0" b="1905"/>
            <wp:wrapSquare wrapText="bothSides"/>
            <wp:docPr id="66" name="Picture 66" descr="D:\ياسمين\work\PhD+د.يسرى\العملى+25-11-2017\chemical sketch\analysis\ALL DATA\so2nhnh2\supplementary data+hydrazine\m3+hnm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D:\ياسمين\work\PhD+د.يسرى\العملى+25-11-2017\chemical sketch\analysis\ALL DATA\so2nhnh2\supplementary data+hydrazine\m3+hnmr copy.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0" cy="575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2E6EC9" w14:textId="731131A2" w:rsidR="003A5DB5" w:rsidRDefault="007448DC" w:rsidP="003A5DB5">
      <w:r>
        <w:rPr>
          <w:noProof/>
        </w:rPr>
        <w:lastRenderedPageBreak/>
        <w:object w:dxaOrig="1440" w:dyaOrig="1440" w14:anchorId="43B07F1D">
          <v:shape id="_x0000_s1217" type="#_x0000_t75" style="position:absolute;margin-left:109.4pt;margin-top:116.05pt;width:183.85pt;height:101.3pt;z-index:251739136">
            <v:imagedata r:id="rId25" o:title=""/>
            <w10:wrap type="square"/>
          </v:shape>
          <o:OLEObject Type="Embed" ProgID="ChemDraw.Document.6.0" ShapeID="_x0000_s1217" DrawAspect="Content" ObjectID="_1689028184" r:id="rId26"/>
        </w:object>
      </w:r>
      <w:r w:rsidR="003A5DB5" w:rsidRPr="000B1647">
        <w:rPr>
          <w:noProof/>
        </w:rPr>
        <w:drawing>
          <wp:anchor distT="0" distB="0" distL="114300" distR="114300" simplePos="0" relativeHeight="251709440" behindDoc="0" locked="0" layoutInCell="1" allowOverlap="1" wp14:anchorId="5ECDDE24" wp14:editId="1ACFF93A">
            <wp:simplePos x="0" y="0"/>
            <wp:positionH relativeFrom="margin">
              <wp:posOffset>83426</wp:posOffset>
            </wp:positionH>
            <wp:positionV relativeFrom="paragraph">
              <wp:posOffset>9459</wp:posOffset>
            </wp:positionV>
            <wp:extent cx="8477452" cy="5931600"/>
            <wp:effectExtent l="0" t="0" r="0" b="0"/>
            <wp:wrapSquare wrapText="bothSides"/>
            <wp:docPr id="28" name="Picture 28" descr="D:\ياسمين\work\PhD+د.يسرى\العملى+25-11-2017\chemical sketch\analysis\ALL DATA\so2nhnh2\supplementary data\m3+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D:\ياسمين\work\PhD+د.يسرى\العملى+25-11-2017\chemical sketch\analysis\ALL DATA\so2nhnh2\supplementary data\m3+c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477452" cy="593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CE7E3" w14:textId="15B3F2BC" w:rsidR="003A5DB5" w:rsidRDefault="007448DC" w:rsidP="003A5DB5">
      <w:r>
        <w:rPr>
          <w:noProof/>
        </w:rPr>
        <w:lastRenderedPageBreak/>
        <w:object w:dxaOrig="1440" w:dyaOrig="1440" w14:anchorId="43B07F1D">
          <v:shape id="_x0000_s1218" type="#_x0000_t75" style="position:absolute;margin-left:415.2pt;margin-top:26.45pt;width:183.85pt;height:101.3pt;z-index:251740160">
            <v:imagedata r:id="rId28" o:title=""/>
            <w10:wrap type="square"/>
          </v:shape>
          <o:OLEObject Type="Embed" ProgID="ChemDraw.Document.6.0" ShapeID="_x0000_s1218" DrawAspect="Content" ObjectID="_1689028185" r:id="rId29"/>
        </w:object>
      </w:r>
      <w:r w:rsidR="003A5DB5">
        <w:rPr>
          <w:noProof/>
        </w:rPr>
        <w:drawing>
          <wp:anchor distT="0" distB="0" distL="114300" distR="114300" simplePos="0" relativeHeight="251697152" behindDoc="0" locked="0" layoutInCell="1" allowOverlap="1" wp14:anchorId="3798D9FF" wp14:editId="7DEFE0C0">
            <wp:simplePos x="0" y="0"/>
            <wp:positionH relativeFrom="margin">
              <wp:align>right</wp:align>
            </wp:positionH>
            <wp:positionV relativeFrom="paragraph">
              <wp:posOffset>0</wp:posOffset>
            </wp:positionV>
            <wp:extent cx="8229600" cy="5942330"/>
            <wp:effectExtent l="0" t="0" r="0" b="1270"/>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a:extLst>
                        <a:ext uri="{28A0092B-C50C-407E-A947-70E740481C1C}">
                          <a14:useLocalDpi xmlns:a14="http://schemas.microsoft.com/office/drawing/2010/main" val="0"/>
                        </a:ext>
                      </a:extLst>
                    </a:blip>
                    <a:stretch>
                      <a:fillRect/>
                    </a:stretch>
                  </pic:blipFill>
                  <pic:spPr>
                    <a:xfrm>
                      <a:off x="0" y="0"/>
                      <a:ext cx="8229600" cy="5942330"/>
                    </a:xfrm>
                    <a:prstGeom prst="rect">
                      <a:avLst/>
                    </a:prstGeom>
                  </pic:spPr>
                </pic:pic>
              </a:graphicData>
            </a:graphic>
            <wp14:sizeRelH relativeFrom="page">
              <wp14:pctWidth>0</wp14:pctWidth>
            </wp14:sizeRelH>
            <wp14:sizeRelV relativeFrom="page">
              <wp14:pctHeight>0</wp14:pctHeight>
            </wp14:sizeRelV>
          </wp:anchor>
        </w:drawing>
      </w:r>
    </w:p>
    <w:p w14:paraId="4E38EB9F" w14:textId="3680E968" w:rsidR="003A5DB5" w:rsidRDefault="007448DC" w:rsidP="003A5DB5">
      <w:r>
        <w:rPr>
          <w:noProof/>
        </w:rPr>
        <w:lastRenderedPageBreak/>
        <w:object w:dxaOrig="1440" w:dyaOrig="1440" w14:anchorId="04D9BC2F">
          <v:shape id="_x0000_s1194" type="#_x0000_t75" style="position:absolute;margin-left:30.65pt;margin-top:174.9pt;width:249.15pt;height:111.5pt;z-index:251711488">
            <v:imagedata r:id="rId31" o:title=""/>
            <w10:wrap type="square"/>
          </v:shape>
          <o:OLEObject Type="Embed" ProgID="ChemDraw.Document.6.0" ShapeID="_x0000_s1194" DrawAspect="Content" ObjectID="_1689028186" r:id="rId32"/>
        </w:object>
      </w:r>
      <w:r w:rsidR="003A5DB5" w:rsidRPr="004113C2">
        <w:rPr>
          <w:noProof/>
        </w:rPr>
        <w:drawing>
          <wp:anchor distT="0" distB="0" distL="114300" distR="114300" simplePos="0" relativeHeight="251695104" behindDoc="0" locked="0" layoutInCell="1" allowOverlap="1" wp14:anchorId="768E3323" wp14:editId="484CBCA0">
            <wp:simplePos x="0" y="0"/>
            <wp:positionH relativeFrom="column">
              <wp:posOffset>0</wp:posOffset>
            </wp:positionH>
            <wp:positionV relativeFrom="paragraph">
              <wp:posOffset>186690</wp:posOffset>
            </wp:positionV>
            <wp:extent cx="8229600" cy="5753735"/>
            <wp:effectExtent l="0" t="0" r="0" b="0"/>
            <wp:wrapSquare wrapText="bothSides"/>
            <wp:docPr id="67" name="Picture 67" descr="D:\ياسمين\work\PhD+د.يسرى\العملى+25-11-2017\chemical sketch\analysis\ALL DATA\so2nhnh2\supplementary data+hydrazine\m317+hnm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D:\ياسمين\work\PhD+د.يسرى\العملى+25-11-2017\chemical sketch\analysis\ALL DATA\so2nhnh2\supplementary data+hydrazine\m317+hnmr copy.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229600" cy="575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B40BD9" w14:textId="4E4A2AF8" w:rsidR="003A5DB5" w:rsidRDefault="007448DC" w:rsidP="003A5DB5">
      <w:r>
        <w:rPr>
          <w:noProof/>
        </w:rPr>
        <w:lastRenderedPageBreak/>
        <w:object w:dxaOrig="1440" w:dyaOrig="1440" w14:anchorId="433398EB">
          <v:shape id="_x0000_s1264" type="#_x0000_t75" style="position:absolute;margin-left:119.25pt;margin-top:99.75pt;width:249pt;height:111.75pt;z-index:251816960">
            <v:imagedata r:id="rId34" o:title=""/>
          </v:shape>
          <o:OLEObject Type="Embed" ProgID="Unknown" ShapeID="_x0000_s1264" DrawAspect="Content" ObjectID="_1689028187" r:id="rId35"/>
        </w:object>
      </w:r>
      <w:r w:rsidR="003A5DB5" w:rsidRPr="00396ECB">
        <w:rPr>
          <w:noProof/>
        </w:rPr>
        <w:drawing>
          <wp:anchor distT="0" distB="0" distL="114300" distR="114300" simplePos="0" relativeHeight="251707392" behindDoc="0" locked="0" layoutInCell="1" allowOverlap="1" wp14:anchorId="42ED2A28" wp14:editId="1F7706D1">
            <wp:simplePos x="0" y="0"/>
            <wp:positionH relativeFrom="column">
              <wp:posOffset>0</wp:posOffset>
            </wp:positionH>
            <wp:positionV relativeFrom="paragraph">
              <wp:posOffset>182245</wp:posOffset>
            </wp:positionV>
            <wp:extent cx="8229600" cy="5758180"/>
            <wp:effectExtent l="0" t="0" r="0" b="0"/>
            <wp:wrapSquare wrapText="bothSides"/>
            <wp:docPr id="26" name="Picture 26" descr="D:\ياسمين\work\PhD+د.يسرى\العملى+25-11-2017\chemical sketch\analysis\ALL DATA\so2nhnh2\supplementary data\m317+c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D:\ياسمين\work\PhD+د.يسرى\العملى+25-11-2017\chemical sketch\analysis\ALL DATA\so2nhnh2\supplementary data\m317+c1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229600" cy="5758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782E9" w14:textId="4C52A985" w:rsidR="003A5DB5" w:rsidRDefault="007448DC" w:rsidP="003A5DB5">
      <w:r>
        <w:rPr>
          <w:noProof/>
        </w:rPr>
        <w:lastRenderedPageBreak/>
        <w:pict w14:anchorId="0DF0073F">
          <v:shape id="_x0000_s1267" type="#_x0000_t75" style="position:absolute;margin-left:30.85pt;margin-top:154.35pt;width:245.35pt;height:111.7pt;z-index:251821056">
            <v:imagedata r:id="rId37" o:title=""/>
            <w10:wrap type="square"/>
          </v:shape>
        </w:pict>
      </w:r>
      <w:r w:rsidR="003A5DB5" w:rsidRPr="004113C2">
        <w:rPr>
          <w:noProof/>
        </w:rPr>
        <w:drawing>
          <wp:anchor distT="0" distB="0" distL="114300" distR="114300" simplePos="0" relativeHeight="251694080" behindDoc="0" locked="0" layoutInCell="1" allowOverlap="1" wp14:anchorId="344D41F0" wp14:editId="12E76F01">
            <wp:simplePos x="0" y="0"/>
            <wp:positionH relativeFrom="column">
              <wp:posOffset>0</wp:posOffset>
            </wp:positionH>
            <wp:positionV relativeFrom="paragraph">
              <wp:posOffset>187325</wp:posOffset>
            </wp:positionV>
            <wp:extent cx="8229600" cy="5751195"/>
            <wp:effectExtent l="0" t="0" r="0" b="1905"/>
            <wp:wrapSquare wrapText="bothSides"/>
            <wp:docPr id="68" name="Picture 68" descr="D:\ياسمين\work\PhD+د.يسرى\العملى+25-11-2017\chemical sketch\analysis\ALL DATA\so2nhnh2\supplementary data+hydrazine\m322+hnm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D:\ياسمين\work\PhD+د.يسرى\العملى+25-11-2017\chemical sketch\analysis\ALL DATA\so2nhnh2\supplementary data+hydrazine\m322+hnmr cop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29600" cy="575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A600E2" w14:textId="2FAC16B1" w:rsidR="003A5DB5" w:rsidRDefault="007448DC" w:rsidP="003A5DB5">
      <w:r>
        <w:rPr>
          <w:noProof/>
        </w:rPr>
        <w:lastRenderedPageBreak/>
        <w:object w:dxaOrig="1440" w:dyaOrig="1440" w14:anchorId="30DE24EF">
          <v:shape id="_x0000_s1265" type="#_x0000_t75" style="position:absolute;margin-left:92.35pt;margin-top:109.35pt;width:245.35pt;height:111.7pt;z-index:251817984">
            <v:imagedata r:id="rId37" o:title=""/>
            <w10:wrap type="square"/>
          </v:shape>
          <o:OLEObject Type="Embed" ProgID="ChemDraw.Document.6.0" ShapeID="_x0000_s1265" DrawAspect="Content" ObjectID="_1689028188" r:id="rId39"/>
        </w:object>
      </w:r>
      <w:r w:rsidR="003A5DB5" w:rsidRPr="00BB74F1">
        <w:rPr>
          <w:noProof/>
        </w:rPr>
        <w:drawing>
          <wp:anchor distT="0" distB="0" distL="114300" distR="114300" simplePos="0" relativeHeight="251705344" behindDoc="0" locked="0" layoutInCell="1" allowOverlap="1" wp14:anchorId="539A3288" wp14:editId="5D917BF2">
            <wp:simplePos x="0" y="0"/>
            <wp:positionH relativeFrom="column">
              <wp:posOffset>0</wp:posOffset>
            </wp:positionH>
            <wp:positionV relativeFrom="paragraph">
              <wp:posOffset>0</wp:posOffset>
            </wp:positionV>
            <wp:extent cx="8229600" cy="5720715"/>
            <wp:effectExtent l="0" t="0" r="0" b="0"/>
            <wp:wrapSquare wrapText="bothSides"/>
            <wp:docPr id="24" name="Picture 24" descr="D:\ياسمين\work\PhD+د.يسرى\العملى+25-11-2017\chemical sketch\analysis\ALL DATA\so2nhnh2\supplementary data\m322+c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D:\ياسمين\work\PhD+د.يسرى\العملى+25-11-2017\chemical sketch\analysis\ALL DATA\so2nhnh2\supplementary data\m322+c13.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229600" cy="5720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7CA894" w14:textId="77777777" w:rsidR="003A5DB5" w:rsidRDefault="007448DC" w:rsidP="003A5DB5">
      <w:r>
        <w:rPr>
          <w:noProof/>
        </w:rPr>
        <w:lastRenderedPageBreak/>
        <w:object w:dxaOrig="1440" w:dyaOrig="1440" w14:anchorId="6C14BF35">
          <v:shape id="_x0000_s1190" type="#_x0000_t75" style="position:absolute;margin-left:22.95pt;margin-top:158.25pt;width:263pt;height:111.85pt;z-index:251704320">
            <v:imagedata r:id="rId41" o:title=""/>
            <w10:wrap type="square"/>
          </v:shape>
          <o:OLEObject Type="Embed" ProgID="ChemDraw.Document.6.0" ShapeID="_x0000_s1190" DrawAspect="Content" ObjectID="_1689028189" r:id="rId42"/>
        </w:object>
      </w:r>
      <w:r w:rsidR="003A5DB5" w:rsidRPr="00F0539B">
        <w:rPr>
          <w:noProof/>
        </w:rPr>
        <w:drawing>
          <wp:anchor distT="0" distB="0" distL="114300" distR="114300" simplePos="0" relativeHeight="251702272" behindDoc="0" locked="0" layoutInCell="1" allowOverlap="1" wp14:anchorId="314CEC60" wp14:editId="6F14E335">
            <wp:simplePos x="0" y="0"/>
            <wp:positionH relativeFrom="column">
              <wp:posOffset>0</wp:posOffset>
            </wp:positionH>
            <wp:positionV relativeFrom="paragraph">
              <wp:posOffset>0</wp:posOffset>
            </wp:positionV>
            <wp:extent cx="8229600" cy="5749290"/>
            <wp:effectExtent l="0" t="0" r="0" b="3810"/>
            <wp:wrapSquare wrapText="bothSides"/>
            <wp:docPr id="8" name="Picture 8" descr="D:\ياسمين\work\PhD+د.يسرى\العملى+25-11-2017\chemical sketch\analysis\ALL DATA\so2nhnh2\supplementary data\m321+hnm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ياسمين\work\PhD+د.يسرى\العملى+25-11-2017\chemical sketch\analysis\ALL DATA\so2nhnh2\supplementary data\m321+hnmr.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29600" cy="5749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D7AD0" w14:textId="638C7072" w:rsidR="00611019" w:rsidRDefault="007448DC" w:rsidP="00611019">
      <w:r>
        <w:lastRenderedPageBreak/>
        <w:object w:dxaOrig="1440" w:dyaOrig="1440" w14:anchorId="19079ABD">
          <v:shape id="_x0000_s1206" type="#_x0000_t75" style="position:absolute;margin-left:85.55pt;margin-top:174pt;width:226.35pt;height:114.25pt;z-index:251721728">
            <v:imagedata r:id="rId44" o:title=""/>
            <w10:wrap type="square"/>
          </v:shape>
          <o:OLEObject Type="Embed" ProgID="ChemDraw.Document.6.0" ShapeID="_x0000_s1206" DrawAspect="Content" ObjectID="_1689028190" r:id="rId45"/>
        </w:object>
      </w:r>
      <w:r w:rsidR="00611019">
        <w:rPr>
          <w:noProof/>
        </w:rPr>
        <w:drawing>
          <wp:anchor distT="0" distB="0" distL="114300" distR="114300" simplePos="0" relativeHeight="251718656" behindDoc="0" locked="0" layoutInCell="1" allowOverlap="1" wp14:anchorId="53C7F3B7" wp14:editId="0227DE21">
            <wp:simplePos x="0" y="0"/>
            <wp:positionH relativeFrom="column">
              <wp:posOffset>0</wp:posOffset>
            </wp:positionH>
            <wp:positionV relativeFrom="paragraph">
              <wp:posOffset>185420</wp:posOffset>
            </wp:positionV>
            <wp:extent cx="8229600" cy="5755005"/>
            <wp:effectExtent l="0" t="0" r="0" b="0"/>
            <wp:wrapSquare wrapText="bothSides"/>
            <wp:docPr id="29" name="Picture 29" descr="m320+hnmr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320+hnmr cop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29600" cy="5755005"/>
                    </a:xfrm>
                    <a:prstGeom prst="rect">
                      <a:avLst/>
                    </a:prstGeom>
                    <a:noFill/>
                  </pic:spPr>
                </pic:pic>
              </a:graphicData>
            </a:graphic>
            <wp14:sizeRelH relativeFrom="page">
              <wp14:pctWidth>0</wp14:pctWidth>
            </wp14:sizeRelH>
            <wp14:sizeRelV relativeFrom="page">
              <wp14:pctHeight>0</wp14:pctHeight>
            </wp14:sizeRelV>
          </wp:anchor>
        </w:drawing>
      </w:r>
    </w:p>
    <w:p w14:paraId="3BED645D" w14:textId="1883C3EA" w:rsidR="00611019" w:rsidRDefault="007448DC" w:rsidP="00611019">
      <w:r>
        <w:rPr>
          <w:noProof/>
        </w:rPr>
        <w:lastRenderedPageBreak/>
        <w:object w:dxaOrig="1440" w:dyaOrig="1440" w14:anchorId="19079ABD">
          <v:shape id="_x0000_s1266" type="#_x0000_t75" style="position:absolute;margin-left:369.05pt;margin-top:20.25pt;width:226.35pt;height:114.25pt;z-index:251819008">
            <v:imagedata r:id="rId44" o:title=""/>
            <w10:wrap type="square"/>
          </v:shape>
          <o:OLEObject Type="Embed" ProgID="ChemDraw.Document.6.0" ShapeID="_x0000_s1266" DrawAspect="Content" ObjectID="_1689028191" r:id="rId47"/>
        </w:object>
      </w:r>
      <w:r w:rsidR="00611019">
        <w:rPr>
          <w:noProof/>
        </w:rPr>
        <w:drawing>
          <wp:anchor distT="0" distB="0" distL="114300" distR="114300" simplePos="0" relativeHeight="251719680" behindDoc="0" locked="0" layoutInCell="1" allowOverlap="1" wp14:anchorId="38DD9005" wp14:editId="068D1C07">
            <wp:simplePos x="0" y="0"/>
            <wp:positionH relativeFrom="margin">
              <wp:align>left</wp:align>
            </wp:positionH>
            <wp:positionV relativeFrom="paragraph">
              <wp:posOffset>0</wp:posOffset>
            </wp:positionV>
            <wp:extent cx="8229600" cy="550799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229600" cy="5507990"/>
                    </a:xfrm>
                    <a:prstGeom prst="rect">
                      <a:avLst/>
                    </a:prstGeom>
                    <a:noFill/>
                  </pic:spPr>
                </pic:pic>
              </a:graphicData>
            </a:graphic>
            <wp14:sizeRelH relativeFrom="page">
              <wp14:pctWidth>0</wp14:pctWidth>
            </wp14:sizeRelH>
            <wp14:sizeRelV relativeFrom="page">
              <wp14:pctHeight>0</wp14:pctHeight>
            </wp14:sizeRelV>
          </wp:anchor>
        </w:drawing>
      </w:r>
    </w:p>
    <w:p w14:paraId="33A3BFD3" w14:textId="7596F3C8" w:rsidR="00050553" w:rsidRDefault="007448DC" w:rsidP="00050553">
      <w:r>
        <w:lastRenderedPageBreak/>
        <w:object w:dxaOrig="1440" w:dyaOrig="1440" w14:anchorId="7AEE0CC2">
          <v:shape id="_x0000_s1210" type="#_x0000_t75" style="position:absolute;margin-left:9.6pt;margin-top:176.5pt;width:269.45pt;height:117.6pt;z-index:251726848">
            <v:imagedata r:id="rId49" o:title=""/>
            <w10:wrap type="square"/>
          </v:shape>
          <o:OLEObject Type="Embed" ProgID="ChemDraw.Document.6.0" ShapeID="_x0000_s1210" DrawAspect="Content" ObjectID="_1689028192" r:id="rId50"/>
        </w:object>
      </w:r>
      <w:r w:rsidR="00050553">
        <w:rPr>
          <w:noProof/>
        </w:rPr>
        <w:drawing>
          <wp:anchor distT="0" distB="0" distL="114300" distR="114300" simplePos="0" relativeHeight="251724800" behindDoc="0" locked="0" layoutInCell="1" allowOverlap="1" wp14:anchorId="196C71E7" wp14:editId="2D9A87BB">
            <wp:simplePos x="0" y="0"/>
            <wp:positionH relativeFrom="column">
              <wp:posOffset>94615</wp:posOffset>
            </wp:positionH>
            <wp:positionV relativeFrom="paragraph">
              <wp:posOffset>182880</wp:posOffset>
            </wp:positionV>
            <wp:extent cx="8229600" cy="5757545"/>
            <wp:effectExtent l="0" t="0" r="0" b="0"/>
            <wp:wrapSquare wrapText="bothSides"/>
            <wp:docPr id="37" name="Picture 37" descr="m34+hn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34+hnm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229600" cy="5757545"/>
                    </a:xfrm>
                    <a:prstGeom prst="rect">
                      <a:avLst/>
                    </a:prstGeom>
                    <a:noFill/>
                  </pic:spPr>
                </pic:pic>
              </a:graphicData>
            </a:graphic>
            <wp14:sizeRelH relativeFrom="page">
              <wp14:pctWidth>0</wp14:pctWidth>
            </wp14:sizeRelH>
            <wp14:sizeRelV relativeFrom="page">
              <wp14:pctHeight>0</wp14:pctHeight>
            </wp14:sizeRelV>
          </wp:anchor>
        </w:drawing>
      </w:r>
    </w:p>
    <w:p w14:paraId="239929C9" w14:textId="56E3B26D" w:rsidR="004A74A3" w:rsidRDefault="004A74A3" w:rsidP="004A74A3">
      <w:r>
        <w:rPr>
          <w:noProof/>
        </w:rPr>
        <w:lastRenderedPageBreak/>
        <w:drawing>
          <wp:anchor distT="0" distB="0" distL="114300" distR="114300" simplePos="0" relativeHeight="251723776" behindDoc="0" locked="0" layoutInCell="1" allowOverlap="1" wp14:anchorId="59597288" wp14:editId="31C0BFD1">
            <wp:simplePos x="0" y="0"/>
            <wp:positionH relativeFrom="column">
              <wp:posOffset>0</wp:posOffset>
            </wp:positionH>
            <wp:positionV relativeFrom="paragraph">
              <wp:posOffset>190500</wp:posOffset>
            </wp:positionV>
            <wp:extent cx="8229600" cy="5314950"/>
            <wp:effectExtent l="0" t="0" r="0" b="0"/>
            <wp:wrapSquare wrapText="bothSides"/>
            <wp:docPr id="32" name="Picture 32" descr="m34+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34+C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229600" cy="5314950"/>
                    </a:xfrm>
                    <a:prstGeom prst="rect">
                      <a:avLst/>
                    </a:prstGeom>
                    <a:noFill/>
                  </pic:spPr>
                </pic:pic>
              </a:graphicData>
            </a:graphic>
            <wp14:sizeRelH relativeFrom="page">
              <wp14:pctWidth>0</wp14:pctWidth>
            </wp14:sizeRelH>
            <wp14:sizeRelV relativeFrom="page">
              <wp14:pctHeight>0</wp14:pctHeight>
            </wp14:sizeRelV>
          </wp:anchor>
        </w:drawing>
      </w:r>
      <w:r w:rsidR="007448DC">
        <w:rPr>
          <w:rFonts w:ascii="Times New Roman" w:hAnsi="Times New Roman" w:cs="Times New Roman"/>
          <w:sz w:val="24"/>
          <w:szCs w:val="24"/>
        </w:rPr>
        <w:object w:dxaOrig="1440" w:dyaOrig="1440" w14:anchorId="3F3C9763">
          <v:shape id="_x0000_s1223" type="#_x0000_t75" style="position:absolute;margin-left:34.05pt;margin-top:161.2pt;width:236.1pt;height:131.25pt;z-index:251748352;mso-position-horizontal-relative:text;mso-position-vertical-relative:text">
            <v:imagedata r:id="rId53" o:title=""/>
            <w10:wrap type="square"/>
          </v:shape>
          <o:OLEObject Type="Embed" ProgID="ChemDraw.Document.6.0" ShapeID="_x0000_s1223" DrawAspect="Content" ObjectID="_1689028193" r:id="rId54"/>
        </w:object>
      </w:r>
      <w:r w:rsidR="007448DC">
        <w:rPr>
          <w:noProof/>
        </w:rPr>
        <w:object w:dxaOrig="1440" w:dyaOrig="1440" w14:anchorId="3F3C9763">
          <v:shape id="_x0000_s1226" type="#_x0000_t75" style="position:absolute;margin-left:-13.45pt;margin-top:117.15pt;width:252.75pt;height:92.9pt;z-index:251751424;mso-position-horizontal-relative:text;mso-position-vertical-relative:text">
            <v:imagedata r:id="rId55" o:title=""/>
            <w10:wrap type="square"/>
          </v:shape>
          <o:OLEObject Type="Embed" ProgID="ChemDraw.Document.6.0" ShapeID="_x0000_s1226" DrawAspect="Content" ObjectID="_1689028194" r:id="rId56"/>
        </w:object>
      </w:r>
      <w:r w:rsidR="00A55614" w:rsidRPr="00BC2E74">
        <w:rPr>
          <w:noProof/>
        </w:rPr>
        <w:drawing>
          <wp:anchor distT="0" distB="0" distL="114300" distR="114300" simplePos="0" relativeHeight="251750400" behindDoc="0" locked="0" layoutInCell="1" allowOverlap="1" wp14:anchorId="77052C47" wp14:editId="1C809881">
            <wp:simplePos x="0" y="0"/>
            <wp:positionH relativeFrom="column">
              <wp:posOffset>0</wp:posOffset>
            </wp:positionH>
            <wp:positionV relativeFrom="paragraph">
              <wp:posOffset>0</wp:posOffset>
            </wp:positionV>
            <wp:extent cx="8229600" cy="5760720"/>
            <wp:effectExtent l="0" t="0" r="0" b="0"/>
            <wp:wrapSquare wrapText="bothSides"/>
            <wp:docPr id="4" name="Picture 4" descr="D:\ياسمين\work\PhD+د.يسرى\العملى+25-11-2017\chemical sketch\analysis\ALL DATA\so2nhnh2\supplementary data\m32+hnm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D:\ياسمين\work\PhD+د.يسرى\العملى+25-11-2017\chemical sketch\analysis\ALL DATA\so2nhnh2\supplementary data\m32+hnmr.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229600" cy="576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BFEFBF" w14:textId="6940DCFC" w:rsidR="004A74A3" w:rsidRDefault="004A74A3" w:rsidP="004A74A3">
      <w:r w:rsidRPr="00922C89">
        <w:rPr>
          <w:noProof/>
        </w:rPr>
        <w:lastRenderedPageBreak/>
        <w:drawing>
          <wp:anchor distT="0" distB="0" distL="114300" distR="114300" simplePos="0" relativeHeight="251746304" behindDoc="0" locked="0" layoutInCell="1" allowOverlap="1" wp14:anchorId="0C675852" wp14:editId="2DB4AED4">
            <wp:simplePos x="0" y="0"/>
            <wp:positionH relativeFrom="column">
              <wp:posOffset>0</wp:posOffset>
            </wp:positionH>
            <wp:positionV relativeFrom="paragraph">
              <wp:posOffset>0</wp:posOffset>
            </wp:positionV>
            <wp:extent cx="8229600" cy="5505450"/>
            <wp:effectExtent l="0" t="0" r="0" b="0"/>
            <wp:wrapSquare wrapText="bothSides"/>
            <wp:docPr id="21" name="Picture 21" descr="D:\ياسمين\work\PhD+د.يسرى\العملى+25-11-2017\chemical sketch\analysis\ALL DATA\so2nhnh2\supplementary data\m32+c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D:\ياسمين\work\PhD+د.يسرى\العملى+25-11-2017\chemical sketch\analysis\ALL DATA\so2nhnh2\supplementary data\m32+c13.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29600" cy="550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7448DC">
        <w:rPr>
          <w:noProof/>
        </w:rPr>
        <w:object w:dxaOrig="1440" w:dyaOrig="1440" w14:anchorId="3F3C9763">
          <v:shape id="_x0000_s1227" type="#_x0000_t75" style="position:absolute;margin-left:8pt;margin-top:81.7pt;width:252.75pt;height:95.05pt;z-index:251752448;mso-position-horizontal-relative:text;mso-position-vertical-relative:text">
            <v:imagedata r:id="rId59" o:title=""/>
            <w10:wrap type="square"/>
          </v:shape>
          <o:OLEObject Type="Embed" ProgID="ChemDraw.Document.6.0" ShapeID="_x0000_s1227" DrawAspect="Content" ObjectID="_1689028195" r:id="rId60"/>
        </w:object>
      </w:r>
    </w:p>
    <w:p w14:paraId="6A5D7DE7" w14:textId="77777777" w:rsidR="004A74A3" w:rsidRDefault="007448DC" w:rsidP="004A74A3">
      <w:r>
        <w:rPr>
          <w:noProof/>
        </w:rPr>
        <w:lastRenderedPageBreak/>
        <w:object w:dxaOrig="1440" w:dyaOrig="1440" w14:anchorId="3DA70CBE">
          <v:shape id="_x0000_s1273" type="#_x0000_t75" style="position:absolute;margin-left:11.3pt;margin-top:150.85pt;width:250.35pt;height:112.25pt;z-index:251829248">
            <v:imagedata r:id="rId61" o:title=""/>
            <w10:wrap type="square"/>
          </v:shape>
          <o:OLEObject Type="Embed" ProgID="ChemDraw.Document.6.0" ShapeID="_x0000_s1273" DrawAspect="Content" ObjectID="_1689028196" r:id="rId62"/>
        </w:object>
      </w:r>
      <w:r w:rsidR="004A74A3" w:rsidRPr="00E93662">
        <w:rPr>
          <w:noProof/>
        </w:rPr>
        <w:drawing>
          <wp:anchor distT="0" distB="0" distL="114300" distR="114300" simplePos="0" relativeHeight="251827200" behindDoc="0" locked="0" layoutInCell="1" allowOverlap="1" wp14:anchorId="45914619" wp14:editId="713B1468">
            <wp:simplePos x="0" y="0"/>
            <wp:positionH relativeFrom="column">
              <wp:posOffset>0</wp:posOffset>
            </wp:positionH>
            <wp:positionV relativeFrom="paragraph">
              <wp:posOffset>225425</wp:posOffset>
            </wp:positionV>
            <wp:extent cx="8229600" cy="5714365"/>
            <wp:effectExtent l="0" t="0" r="0" b="635"/>
            <wp:wrapSquare wrapText="bothSides"/>
            <wp:docPr id="70" name="Picture 70" descr="D:\ياسمين\work\PhD+د.يسرى\العملى+25-11-2017\chemical sketch\analysis\ALL DATA\so2nhnh2\supplementary data+hydrazine\m36+HNM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D:\ياسمين\work\PhD+د.يسرى\العملى+25-11-2017\chemical sketch\analysis\ALL DATA\so2nhnh2\supplementary data+hydrazine\m36+HNMR copy.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229600" cy="5714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3E927" w14:textId="105ED393" w:rsidR="004A74A3" w:rsidRDefault="007448DC" w:rsidP="004A74A3">
      <w:r>
        <w:rPr>
          <w:noProof/>
        </w:rPr>
        <w:lastRenderedPageBreak/>
        <w:object w:dxaOrig="1440" w:dyaOrig="1440" w14:anchorId="3482CD24">
          <v:shape id="_x0000_s1277" type="#_x0000_t75" style="position:absolute;margin-left:95.25pt;margin-top:116.25pt;width:249.75pt;height:112.5pt;z-index:251834368">
            <v:imagedata r:id="rId64" o:title=""/>
          </v:shape>
          <o:OLEObject Type="Embed" ProgID="Unknown" ShapeID="_x0000_s1277" DrawAspect="Content" ObjectID="_1689028197" r:id="rId65"/>
        </w:object>
      </w:r>
      <w:r w:rsidR="004A74A3" w:rsidRPr="00E93662">
        <w:rPr>
          <w:noProof/>
        </w:rPr>
        <w:drawing>
          <wp:anchor distT="0" distB="0" distL="114300" distR="114300" simplePos="0" relativeHeight="251826176" behindDoc="0" locked="0" layoutInCell="1" allowOverlap="1" wp14:anchorId="028AC622" wp14:editId="20DFACA4">
            <wp:simplePos x="0" y="0"/>
            <wp:positionH relativeFrom="column">
              <wp:posOffset>0</wp:posOffset>
            </wp:positionH>
            <wp:positionV relativeFrom="paragraph">
              <wp:posOffset>220980</wp:posOffset>
            </wp:positionV>
            <wp:extent cx="8229600" cy="5719445"/>
            <wp:effectExtent l="0" t="0" r="0" b="0"/>
            <wp:wrapSquare wrapText="bothSides"/>
            <wp:docPr id="71" name="Picture 71" descr="D:\ياسمين\work\PhD+د.يسرى\العملى+25-11-2017\chemical sketch\analysis\ALL DATA\so2nhnh2\supplementary data+hydrazine\m36+C1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D:\ياسمين\work\PhD+د.يسرى\العملى+25-11-2017\chemical sketch\analysis\ALL DATA\so2nhnh2\supplementary data+hydrazine\m36+C13 copy.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229600" cy="5719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435AA" w14:textId="77777777" w:rsidR="004A74A3" w:rsidRDefault="007448DC" w:rsidP="004A74A3">
      <w:r>
        <w:rPr>
          <w:rFonts w:ascii="Times New Roman" w:hAnsi="Times New Roman" w:cs="Times New Roman"/>
          <w:noProof/>
          <w:sz w:val="24"/>
          <w:szCs w:val="24"/>
        </w:rPr>
        <w:lastRenderedPageBreak/>
        <w:object w:dxaOrig="1440" w:dyaOrig="1440" w14:anchorId="488FA66B">
          <v:shape id="_x0000_s1274" type="#_x0000_t75" style="position:absolute;margin-left:26.7pt;margin-top:204.7pt;width:259.65pt;height:112.45pt;z-index:251830272">
            <v:imagedata r:id="rId67" o:title=""/>
            <w10:wrap type="square"/>
          </v:shape>
          <o:OLEObject Type="Embed" ProgID="ChemDraw.Document.6.0" ShapeID="_x0000_s1274" DrawAspect="Content" ObjectID="_1689028198" r:id="rId68"/>
        </w:object>
      </w:r>
      <w:r w:rsidR="004A74A3" w:rsidRPr="000817FE">
        <w:rPr>
          <w:noProof/>
        </w:rPr>
        <w:drawing>
          <wp:anchor distT="0" distB="0" distL="114300" distR="114300" simplePos="0" relativeHeight="251825152" behindDoc="0" locked="0" layoutInCell="1" allowOverlap="1" wp14:anchorId="3FEEE274" wp14:editId="4A724293">
            <wp:simplePos x="0" y="0"/>
            <wp:positionH relativeFrom="column">
              <wp:posOffset>0</wp:posOffset>
            </wp:positionH>
            <wp:positionV relativeFrom="paragraph">
              <wp:posOffset>186690</wp:posOffset>
            </wp:positionV>
            <wp:extent cx="8229600" cy="5753735"/>
            <wp:effectExtent l="0" t="0" r="0" b="0"/>
            <wp:wrapSquare wrapText="bothSides"/>
            <wp:docPr id="73" name="Picture 73" descr="D:\ياسمين\work\PhD+د.يسرى\العملى+25-11-2017\chemical sketch\analysis\ALL DATA\so2nhnh2\supplementary data+hydrazine\m37+hnm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D:\ياسمين\work\PhD+د.يسرى\العملى+25-11-2017\chemical sketch\analysis\ALL DATA\so2nhnh2\supplementary data+hydrazine\m37+hnmr copy.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229600" cy="575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B92F3" w14:textId="58293D8D" w:rsidR="004A74A3" w:rsidRDefault="007448DC" w:rsidP="004A74A3">
      <w:r>
        <w:rPr>
          <w:noProof/>
        </w:rPr>
        <w:lastRenderedPageBreak/>
        <w:object w:dxaOrig="1440" w:dyaOrig="1440" w14:anchorId="49F02ED6">
          <v:shape id="_x0000_s1276" type="#_x0000_t75" style="position:absolute;margin-left:12.5pt;margin-top:91.35pt;width:259.65pt;height:112.45pt;z-index:251832320">
            <v:imagedata r:id="rId70" o:title=""/>
            <w10:wrap type="square"/>
          </v:shape>
          <o:OLEObject Type="Embed" ProgID="ChemDraw.Document.6.0" ShapeID="_x0000_s1276" DrawAspect="Content" ObjectID="_1689028199" r:id="rId71"/>
        </w:object>
      </w:r>
      <w:r w:rsidR="004A74A3" w:rsidRPr="00DF5BD8">
        <w:rPr>
          <w:noProof/>
        </w:rPr>
        <w:drawing>
          <wp:anchor distT="0" distB="0" distL="114300" distR="114300" simplePos="0" relativeHeight="251828224" behindDoc="0" locked="0" layoutInCell="1" allowOverlap="1" wp14:anchorId="1C70D15A" wp14:editId="2F1C3C45">
            <wp:simplePos x="0" y="0"/>
            <wp:positionH relativeFrom="margin">
              <wp:align>right</wp:align>
            </wp:positionH>
            <wp:positionV relativeFrom="paragraph">
              <wp:posOffset>89573</wp:posOffset>
            </wp:positionV>
            <wp:extent cx="8229600" cy="5741670"/>
            <wp:effectExtent l="0" t="0" r="0" b="0"/>
            <wp:wrapSquare wrapText="bothSides"/>
            <wp:docPr id="13" name="Picture 13" descr="D:\ياسمين\work\PhD+د.يسرى\العملى+25-11-2017\chemical sketch\analysis\ALL DATA\so2nhnh2\supplementary data+hydrazine\m37+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ياسمين\work\PhD+د.يسرى\العملى+25-11-2017\chemical sketch\analysis\ALL DATA\so2nhnh2\supplementary data+hydrazine\m37+C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229600" cy="5741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477D84" w14:textId="4776A549" w:rsidR="004A74A3" w:rsidRDefault="004A74A3"/>
    <w:p w14:paraId="57E0A308" w14:textId="77777777" w:rsidR="00B16597" w:rsidRDefault="00B16597" w:rsidP="00B16597">
      <w:r w:rsidRPr="000817FE">
        <w:rPr>
          <w:noProof/>
        </w:rPr>
        <w:drawing>
          <wp:anchor distT="0" distB="0" distL="114300" distR="114300" simplePos="0" relativeHeight="251836416" behindDoc="0" locked="0" layoutInCell="1" allowOverlap="1" wp14:anchorId="5FDB616A" wp14:editId="7E3514D8">
            <wp:simplePos x="0" y="0"/>
            <wp:positionH relativeFrom="column">
              <wp:posOffset>0</wp:posOffset>
            </wp:positionH>
            <wp:positionV relativeFrom="paragraph">
              <wp:posOffset>600075</wp:posOffset>
            </wp:positionV>
            <wp:extent cx="8229600" cy="5339715"/>
            <wp:effectExtent l="0" t="0" r="0" b="0"/>
            <wp:wrapSquare wrapText="bothSides"/>
            <wp:docPr id="74" name="Picture 74" descr="D:\ياسمين\work\PhD+د.يسرى\العملى+25-11-2017\chemical sketch\analysis\ALL DATA\so2nhnh2\supplementary data+hydrazine\M35+hnm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D:\ياسمين\work\PhD+د.يسرى\العملى+25-11-2017\chemical sketch\analysis\ALL DATA\so2nhnh2\supplementary data+hydrazine\M35+hnmr copy.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229600" cy="5339715"/>
                    </a:xfrm>
                    <a:prstGeom prst="rect">
                      <a:avLst/>
                    </a:prstGeom>
                    <a:noFill/>
                    <a:ln>
                      <a:noFill/>
                    </a:ln>
                  </pic:spPr>
                </pic:pic>
              </a:graphicData>
            </a:graphic>
            <wp14:sizeRelH relativeFrom="page">
              <wp14:pctWidth>0</wp14:pctWidth>
            </wp14:sizeRelH>
            <wp14:sizeRelV relativeFrom="page">
              <wp14:pctHeight>0</wp14:pctHeight>
            </wp14:sizeRelV>
          </wp:anchor>
        </w:drawing>
      </w:r>
      <w:r w:rsidR="007448DC">
        <w:rPr>
          <w:rFonts w:ascii="Times New Roman" w:hAnsi="Times New Roman" w:cs="Times New Roman"/>
          <w:sz w:val="24"/>
          <w:szCs w:val="24"/>
        </w:rPr>
        <w:object w:dxaOrig="1440" w:dyaOrig="1440" w14:anchorId="4C14EEAD">
          <v:shape id="_x0000_s1279" type="#_x0000_t75" style="position:absolute;margin-left:-11.05pt;margin-top:149.4pt;width:257.75pt;height:114.7pt;z-index:251837440;mso-position-horizontal-relative:text;mso-position-vertical-relative:text">
            <v:imagedata r:id="rId74" o:title=""/>
            <w10:wrap type="square"/>
          </v:shape>
          <o:OLEObject Type="Embed" ProgID="ChemDraw.Document.6.0" ShapeID="_x0000_s1279" DrawAspect="Content" ObjectID="_1689028200" r:id="rId75"/>
        </w:object>
      </w:r>
    </w:p>
    <w:p w14:paraId="47CA11BB" w14:textId="77777777" w:rsidR="00C8372B" w:rsidRDefault="007448DC" w:rsidP="00C8372B">
      <w:r>
        <w:rPr>
          <w:rFonts w:ascii="Times New Roman" w:hAnsi="Times New Roman" w:cs="Times New Roman"/>
          <w:sz w:val="24"/>
          <w:szCs w:val="24"/>
        </w:rPr>
        <w:lastRenderedPageBreak/>
        <w:object w:dxaOrig="1440" w:dyaOrig="1440" w14:anchorId="7F7FC0CE">
          <v:shape id="_x0000_s1240" type="#_x0000_t75" style="position:absolute;margin-left:44.05pt;margin-top:136.45pt;width:226.45pt;height:111.4pt;z-index:251778048">
            <v:imagedata r:id="rId76" o:title=""/>
            <w10:wrap type="square"/>
          </v:shape>
          <o:OLEObject Type="Embed" ProgID="ChemDraw.Document.6.0" ShapeID="_x0000_s1240" DrawAspect="Content" ObjectID="_1689028201" r:id="rId77"/>
        </w:object>
      </w:r>
      <w:r w:rsidR="00C8372B" w:rsidRPr="004A11FC">
        <w:rPr>
          <w:noProof/>
        </w:rPr>
        <w:drawing>
          <wp:anchor distT="0" distB="0" distL="114300" distR="114300" simplePos="0" relativeHeight="251658239" behindDoc="0" locked="0" layoutInCell="1" allowOverlap="1" wp14:anchorId="01403458" wp14:editId="5B0C44AB">
            <wp:simplePos x="0" y="0"/>
            <wp:positionH relativeFrom="column">
              <wp:posOffset>0</wp:posOffset>
            </wp:positionH>
            <wp:positionV relativeFrom="paragraph">
              <wp:posOffset>285115</wp:posOffset>
            </wp:positionV>
            <wp:extent cx="8229600" cy="5323205"/>
            <wp:effectExtent l="0" t="0" r="0" b="0"/>
            <wp:wrapSquare wrapText="bothSides"/>
            <wp:docPr id="1" name="Picture 1" descr="D:\ياسمين\work\PhD+د.يسرى\العملى+25-11-2017\chemical sketch\analysis\ALL DATA\so2nhnh2\supplementary data+hydrazine\m325+HNMR-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D:\ياسمين\work\PhD+د.يسرى\العملى+25-11-2017\chemical sketch\analysis\ALL DATA\so2nhnh2\supplementary data+hydrazine\m325+HNMR-1 copy.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229600" cy="5323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995F59" w14:textId="7840D191" w:rsidR="00C8372B" w:rsidRDefault="00C8372B" w:rsidP="00C8372B"/>
    <w:p w14:paraId="69B49CF0" w14:textId="78D36559" w:rsidR="000C02A4" w:rsidRDefault="000C02A4" w:rsidP="00C8372B">
      <w:r>
        <w:rPr>
          <w:noProof/>
        </w:rPr>
        <w:lastRenderedPageBreak/>
        <w:object w:dxaOrig="1440" w:dyaOrig="1440" w14:anchorId="4A43C6A3">
          <v:shape id="_x0000_s1285" type="#_x0000_t75" style="position:absolute;margin-left:63.1pt;margin-top:149.6pt;width:253.8pt;height:140.25pt;z-index:251849728">
            <v:imagedata r:id="rId79" o:title=""/>
          </v:shape>
          <o:OLEObject Type="Embed" ProgID="ChemDraw.Document.6.0" ShapeID="_x0000_s1285" DrawAspect="Content" ObjectID="_1689028202" r:id="rId80"/>
        </w:object>
      </w:r>
      <w:r w:rsidRPr="000C02A4">
        <w:rPr>
          <w:noProof/>
        </w:rPr>
        <w:drawing>
          <wp:inline distT="0" distB="0" distL="0" distR="0" wp14:anchorId="5D242B34" wp14:editId="71773A4F">
            <wp:extent cx="7867650" cy="5514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867650" cy="5514975"/>
                    </a:xfrm>
                    <a:prstGeom prst="rect">
                      <a:avLst/>
                    </a:prstGeom>
                    <a:noFill/>
                    <a:ln>
                      <a:noFill/>
                    </a:ln>
                  </pic:spPr>
                </pic:pic>
              </a:graphicData>
            </a:graphic>
          </wp:inline>
        </w:drawing>
      </w:r>
    </w:p>
    <w:p w14:paraId="2609140C" w14:textId="655B40D7" w:rsidR="00C8372B" w:rsidRDefault="007448DC" w:rsidP="00C8372B">
      <w:r>
        <w:rPr>
          <w:noProof/>
        </w:rPr>
        <w:lastRenderedPageBreak/>
        <w:object w:dxaOrig="1440" w:dyaOrig="1440" w14:anchorId="4A43C6A3">
          <v:shape id="_x0000_s1282" type="#_x0000_t75" style="position:absolute;margin-left:-18.65pt;margin-top:88.1pt;width:253.8pt;height:140.25pt;z-index:251846656">
            <v:imagedata r:id="rId79" o:title=""/>
            <w10:wrap type="square"/>
          </v:shape>
          <o:OLEObject Type="Embed" ProgID="ChemDraw.Document.6.0" ShapeID="_x0000_s1282" DrawAspect="Content" ObjectID="_1689028203" r:id="rId82"/>
        </w:object>
      </w:r>
      <w:r w:rsidR="00C8372B" w:rsidRPr="0005370D">
        <w:rPr>
          <w:noProof/>
        </w:rPr>
        <w:drawing>
          <wp:anchor distT="0" distB="0" distL="114300" distR="114300" simplePos="0" relativeHeight="251841536" behindDoc="0" locked="0" layoutInCell="1" allowOverlap="1" wp14:anchorId="384C9674" wp14:editId="6D34BFF9">
            <wp:simplePos x="0" y="0"/>
            <wp:positionH relativeFrom="column">
              <wp:posOffset>0</wp:posOffset>
            </wp:positionH>
            <wp:positionV relativeFrom="paragraph">
              <wp:posOffset>0</wp:posOffset>
            </wp:positionV>
            <wp:extent cx="8229600" cy="5758180"/>
            <wp:effectExtent l="0" t="0" r="0" b="0"/>
            <wp:wrapSquare wrapText="bothSides"/>
            <wp:docPr id="77" name="Picture 77" descr="D:\ياسمين\work\PhD+د.يسرى\العملى+25-11-2017\chemical sketch\analysis\ALL DATA\so2nhnh2\supplementary data+hydrazine\M323+C1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D:\ياسمين\work\PhD+د.يسرى\العملى+25-11-2017\chemical sketch\analysis\ALL DATA\so2nhnh2\supplementary data+hydrazine\M323+C13 copy.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229600" cy="5758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2E9D3" w14:textId="77777777" w:rsidR="00C8372B" w:rsidRDefault="007448DC" w:rsidP="00C8372B">
      <w:r>
        <w:rPr>
          <w:noProof/>
        </w:rPr>
        <w:lastRenderedPageBreak/>
        <w:object w:dxaOrig="1440" w:dyaOrig="1440" w14:anchorId="2528325C">
          <v:shape id="_x0000_s1283" type="#_x0000_t75" style="position:absolute;margin-left:371.4pt;margin-top:32.2pt;width:253.8pt;height:140.4pt;z-index:251847680">
            <v:imagedata r:id="rId84" o:title=""/>
            <w10:wrap type="square"/>
          </v:shape>
          <o:OLEObject Type="Embed" ProgID="ChemDraw.Document.6.0" ShapeID="_x0000_s1283" DrawAspect="Content" ObjectID="_1689028204" r:id="rId85"/>
        </w:object>
      </w:r>
      <w:r w:rsidR="00C8372B">
        <w:rPr>
          <w:noProof/>
        </w:rPr>
        <w:drawing>
          <wp:anchor distT="0" distB="0" distL="114300" distR="114300" simplePos="0" relativeHeight="251843584" behindDoc="0" locked="0" layoutInCell="1" allowOverlap="1" wp14:anchorId="1BB59983" wp14:editId="20CEF95A">
            <wp:simplePos x="0" y="0"/>
            <wp:positionH relativeFrom="column">
              <wp:posOffset>0</wp:posOffset>
            </wp:positionH>
            <wp:positionV relativeFrom="paragraph">
              <wp:posOffset>123190</wp:posOffset>
            </wp:positionV>
            <wp:extent cx="8691245" cy="581723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8691245" cy="5817235"/>
                    </a:xfrm>
                    <a:prstGeom prst="rect">
                      <a:avLst/>
                    </a:prstGeom>
                  </pic:spPr>
                </pic:pic>
              </a:graphicData>
            </a:graphic>
            <wp14:sizeRelH relativeFrom="page">
              <wp14:pctWidth>0</wp14:pctWidth>
            </wp14:sizeRelH>
            <wp14:sizeRelV relativeFrom="page">
              <wp14:pctHeight>0</wp14:pctHeight>
            </wp14:sizeRelV>
          </wp:anchor>
        </w:drawing>
      </w:r>
    </w:p>
    <w:p w14:paraId="18E118D9" w14:textId="77777777" w:rsidR="00C8372B" w:rsidRDefault="007448DC" w:rsidP="00C8372B">
      <w:pPr>
        <w:rPr>
          <w:rtl/>
        </w:rPr>
      </w:pPr>
      <w:r>
        <w:rPr>
          <w:noProof/>
          <w:rtl/>
        </w:rPr>
        <w:lastRenderedPageBreak/>
        <w:object w:dxaOrig="1440" w:dyaOrig="1440" w14:anchorId="1220B06B">
          <v:shape id="_x0000_s1280" type="#_x0000_t75" style="position:absolute;margin-left:11.7pt;margin-top:146.5pt;width:253.55pt;height:135.8pt;z-index:251844608">
            <v:imagedata r:id="rId87" o:title=""/>
            <w10:wrap type="square"/>
          </v:shape>
          <o:OLEObject Type="Embed" ProgID="ChemDraw.Document.6.0" ShapeID="_x0000_s1280" DrawAspect="Content" ObjectID="_1689028205" r:id="rId88"/>
        </w:object>
      </w:r>
      <w:r w:rsidR="00C8372B" w:rsidRPr="006A5299">
        <w:rPr>
          <w:noProof/>
        </w:rPr>
        <w:drawing>
          <wp:anchor distT="0" distB="0" distL="114300" distR="114300" simplePos="0" relativeHeight="251840512" behindDoc="0" locked="0" layoutInCell="1" allowOverlap="1" wp14:anchorId="3F40C577" wp14:editId="32E442EB">
            <wp:simplePos x="0" y="0"/>
            <wp:positionH relativeFrom="column">
              <wp:posOffset>0</wp:posOffset>
            </wp:positionH>
            <wp:positionV relativeFrom="paragraph">
              <wp:posOffset>187325</wp:posOffset>
            </wp:positionV>
            <wp:extent cx="8229600" cy="5751195"/>
            <wp:effectExtent l="0" t="0" r="0" b="1905"/>
            <wp:wrapSquare wrapText="bothSides"/>
            <wp:docPr id="79" name="Picture 79" descr="D:\ياسمين\work\PhD+د.يسرى\العملى+25-11-2017\chemical sketch\analysis\ALL DATA\so2nhnh2\supplementary data+hydrazine\m324+hnm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D:\ياسمين\work\PhD+د.يسرى\العملى+25-11-2017\chemical sketch\analysis\ALL DATA\so2nhnh2\supplementary data+hydrazine\m324+hnmr copy.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229600" cy="575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830478" w14:textId="77777777" w:rsidR="00C8372B" w:rsidRDefault="00C8372B" w:rsidP="00C8372B">
      <w:r w:rsidRPr="007F01E6">
        <w:rPr>
          <w:noProof/>
        </w:rPr>
        <w:lastRenderedPageBreak/>
        <w:drawing>
          <wp:anchor distT="0" distB="0" distL="114300" distR="114300" simplePos="0" relativeHeight="251839488" behindDoc="0" locked="0" layoutInCell="1" allowOverlap="1" wp14:anchorId="79E7FF4B" wp14:editId="5439DCDA">
            <wp:simplePos x="0" y="0"/>
            <wp:positionH relativeFrom="column">
              <wp:posOffset>0</wp:posOffset>
            </wp:positionH>
            <wp:positionV relativeFrom="paragraph">
              <wp:posOffset>180975</wp:posOffset>
            </wp:positionV>
            <wp:extent cx="8229600" cy="5029200"/>
            <wp:effectExtent l="0" t="0" r="0" b="0"/>
            <wp:wrapSquare wrapText="bothSides"/>
            <wp:docPr id="80" name="Picture 80" descr="D:\ياسمين\work\PhD+د.يسرى\العملى+25-11-2017\chemical sketch\analysis\ALL DATA\so2nhnh2\supplementary data+hydrazine\m324+c1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D:\ياسمين\work\PhD+د.يسرى\العملى+25-11-2017\chemical sketch\analysis\ALL DATA\so2nhnh2\supplementary data+hydrazine\m324+c13 copy.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229600" cy="502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448DC">
        <w:rPr>
          <w:noProof/>
        </w:rPr>
        <w:object w:dxaOrig="1440" w:dyaOrig="1440" w14:anchorId="0B1CA6CE">
          <v:shape id="_x0000_s1284" type="#_x0000_t75" style="position:absolute;margin-left:-.4pt;margin-top:102.1pt;width:253.55pt;height:135.8pt;z-index:251848704;mso-position-horizontal-relative:text;mso-position-vertical-relative:text">
            <v:imagedata r:id="rId91" o:title=""/>
            <w10:wrap type="square"/>
          </v:shape>
          <o:OLEObject Type="Embed" ProgID="ChemDraw.Document.6.0" ShapeID="_x0000_s1284" DrawAspect="Content" ObjectID="_1689028206" r:id="rId92"/>
        </w:object>
      </w:r>
    </w:p>
    <w:p w14:paraId="759E6A2B" w14:textId="77777777" w:rsidR="00B06931" w:rsidRDefault="00B06931" w:rsidP="004A068B"/>
    <w:p w14:paraId="51AFD380" w14:textId="3835738B" w:rsidR="004A068B" w:rsidRDefault="004A74A3" w:rsidP="004A068B">
      <w:pPr>
        <w:rPr>
          <w:rtl/>
        </w:rPr>
      </w:pPr>
      <w:r w:rsidRPr="00E205F0">
        <w:rPr>
          <w:noProof/>
        </w:rPr>
        <w:lastRenderedPageBreak/>
        <w:drawing>
          <wp:anchor distT="0" distB="0" distL="114300" distR="114300" simplePos="0" relativeHeight="251755520" behindDoc="0" locked="0" layoutInCell="1" allowOverlap="1" wp14:anchorId="17E295B5" wp14:editId="3A191F5A">
            <wp:simplePos x="0" y="0"/>
            <wp:positionH relativeFrom="column">
              <wp:posOffset>-190500</wp:posOffset>
            </wp:positionH>
            <wp:positionV relativeFrom="paragraph">
              <wp:posOffset>875665</wp:posOffset>
            </wp:positionV>
            <wp:extent cx="8229600" cy="4938395"/>
            <wp:effectExtent l="0" t="0" r="0" b="0"/>
            <wp:wrapSquare wrapText="bothSides"/>
            <wp:docPr id="62" name="Picture 62" descr="D:\ياسمين\work\PhD+د.يسرى\العملى+25-11-2017\chemical sketch\analysis\ALL DATA\so2nhnh2\supplementary data\m327+hn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D:\ياسمين\work\PhD+د.يسرى\العملى+25-11-2017\chemical sketch\analysis\ALL DATA\so2nhnh2\supplementary data\m327+hnmr.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229600" cy="4938395"/>
                    </a:xfrm>
                    <a:prstGeom prst="rect">
                      <a:avLst/>
                    </a:prstGeom>
                    <a:noFill/>
                    <a:ln>
                      <a:noFill/>
                    </a:ln>
                  </pic:spPr>
                </pic:pic>
              </a:graphicData>
            </a:graphic>
            <wp14:sizeRelH relativeFrom="page">
              <wp14:pctWidth>0</wp14:pctWidth>
            </wp14:sizeRelH>
            <wp14:sizeRelV relativeFrom="page">
              <wp14:pctHeight>0</wp14:pctHeight>
            </wp14:sizeRelV>
          </wp:anchor>
        </w:drawing>
      </w:r>
      <w:r w:rsidR="007448DC">
        <w:rPr>
          <w:noProof/>
          <w:rtl/>
        </w:rPr>
        <w:object w:dxaOrig="1440" w:dyaOrig="1440" w14:anchorId="65BF97D7">
          <v:shape id="_x0000_s1229" type="#_x0000_t75" style="position:absolute;margin-left:23.25pt;margin-top:153.8pt;width:280.2pt;height:129.15pt;z-index:251757568;mso-position-horizontal-relative:text;mso-position-vertical-relative:text">
            <v:imagedata r:id="rId94" o:title=""/>
            <w10:wrap type="square"/>
          </v:shape>
          <o:OLEObject Type="Embed" ProgID="ChemDraw.Document.6.0" ShapeID="_x0000_s1229" DrawAspect="Content" ObjectID="_1689028207" r:id="rId95"/>
        </w:object>
      </w:r>
    </w:p>
    <w:p w14:paraId="683D705E" w14:textId="4A645C10" w:rsidR="00FF2D95" w:rsidRDefault="00C8372B" w:rsidP="00C8372B">
      <w:bookmarkStart w:id="13" w:name="_GoBack"/>
      <w:bookmarkEnd w:id="13"/>
      <w:r>
        <w:rPr>
          <w:noProof/>
        </w:rPr>
        <w:lastRenderedPageBreak/>
        <w:drawing>
          <wp:anchor distT="0" distB="0" distL="114300" distR="114300" simplePos="0" relativeHeight="251754496" behindDoc="0" locked="0" layoutInCell="1" allowOverlap="1" wp14:anchorId="191A26D4" wp14:editId="4E0E4567">
            <wp:simplePos x="0" y="0"/>
            <wp:positionH relativeFrom="column">
              <wp:posOffset>0</wp:posOffset>
            </wp:positionH>
            <wp:positionV relativeFrom="paragraph">
              <wp:posOffset>0</wp:posOffset>
            </wp:positionV>
            <wp:extent cx="8534400" cy="5114925"/>
            <wp:effectExtent l="0" t="0" r="0" b="9525"/>
            <wp:wrapSquare wrapText="bothSides"/>
            <wp:docPr id="35" name="Picture 35"/>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6">
                      <a:extLst>
                        <a:ext uri="{28A0092B-C50C-407E-A947-70E740481C1C}">
                          <a14:useLocalDpi xmlns:a14="http://schemas.microsoft.com/office/drawing/2010/main" val="0"/>
                        </a:ext>
                      </a:extLst>
                    </a:blip>
                    <a:stretch>
                      <a:fillRect/>
                    </a:stretch>
                  </pic:blipFill>
                  <pic:spPr>
                    <a:xfrm>
                      <a:off x="0" y="0"/>
                      <a:ext cx="8534400" cy="5114925"/>
                    </a:xfrm>
                    <a:prstGeom prst="rect">
                      <a:avLst/>
                    </a:prstGeom>
                  </pic:spPr>
                </pic:pic>
              </a:graphicData>
            </a:graphic>
            <wp14:sizeRelH relativeFrom="page">
              <wp14:pctWidth>0</wp14:pctWidth>
            </wp14:sizeRelH>
            <wp14:sizeRelV relativeFrom="page">
              <wp14:pctHeight>0</wp14:pctHeight>
            </wp14:sizeRelV>
          </wp:anchor>
        </w:drawing>
      </w:r>
      <w:r w:rsidR="007448DC">
        <w:rPr>
          <w:noProof/>
        </w:rPr>
        <w:object w:dxaOrig="1440" w:dyaOrig="1440" w14:anchorId="65BF97D7">
          <v:shape id="_x0000_s1230" type="#_x0000_t75" style="position:absolute;margin-left:325.2pt;margin-top:72.05pt;width:280.15pt;height:129.15pt;z-index:251758592;mso-position-horizontal-relative:text;mso-position-vertical-relative:text">
            <v:imagedata r:id="rId97" o:title=""/>
            <w10:wrap type="square"/>
          </v:shape>
          <o:OLEObject Type="Embed" ProgID="ChemDraw.Document.6.0" ShapeID="_x0000_s1230" DrawAspect="Content" ObjectID="_1689028208" r:id="rId98"/>
        </w:object>
      </w:r>
    </w:p>
    <w:p w14:paraId="2A3B49B6" w14:textId="77777777" w:rsidR="003B4D14" w:rsidRDefault="007448DC" w:rsidP="003B4D14">
      <w:r>
        <w:rPr>
          <w:noProof/>
        </w:rPr>
        <w:lastRenderedPageBreak/>
        <w:object w:dxaOrig="1440" w:dyaOrig="1440" w14:anchorId="4D31F09D">
          <v:shape id="_x0000_s1244" type="#_x0000_t75" style="position:absolute;margin-left:34.5pt;margin-top:168pt;width:297.1pt;height:134.45pt;z-index:251787264">
            <v:imagedata r:id="rId99" o:title=""/>
            <w10:wrap type="square"/>
          </v:shape>
          <o:OLEObject Type="Embed" ProgID="ChemDraw.Document.6.0" ShapeID="_x0000_s1244" DrawAspect="Content" ObjectID="_1689028209" r:id="rId100"/>
        </w:object>
      </w:r>
      <w:r w:rsidR="003B4D14" w:rsidRPr="00084E61">
        <w:rPr>
          <w:noProof/>
        </w:rPr>
        <w:drawing>
          <wp:anchor distT="0" distB="0" distL="114300" distR="114300" simplePos="0" relativeHeight="251786240" behindDoc="0" locked="0" layoutInCell="1" allowOverlap="1" wp14:anchorId="25AF9B1D" wp14:editId="5CDE7576">
            <wp:simplePos x="0" y="0"/>
            <wp:positionH relativeFrom="column">
              <wp:posOffset>0</wp:posOffset>
            </wp:positionH>
            <wp:positionV relativeFrom="paragraph">
              <wp:posOffset>149225</wp:posOffset>
            </wp:positionV>
            <wp:extent cx="8229600" cy="5788660"/>
            <wp:effectExtent l="0" t="0" r="0" b="2540"/>
            <wp:wrapSquare wrapText="bothSides"/>
            <wp:docPr id="39" name="Picture 39" descr="D:\ياسمين\work\PhD+د.يسرى\العملى+25-11-2017\chemical sketch\analysis\ALL DATA\so2nhnh2\supplementary data\m329+hn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D:\ياسمين\work\PhD+د.يسرى\العملى+25-11-2017\chemical sketch\analysis\ALL DATA\so2nhnh2\supplementary data\m329+hnmr.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229600" cy="578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87906D" w14:textId="46822BB5" w:rsidR="003B4D14" w:rsidRDefault="007448DC" w:rsidP="003B4D14">
      <w:r>
        <w:rPr>
          <w:noProof/>
        </w:rPr>
        <w:lastRenderedPageBreak/>
        <w:object w:dxaOrig="1440" w:dyaOrig="1440" w14:anchorId="4D31F09D">
          <v:shape id="_x0000_s1257" type="#_x0000_t75" style="position:absolute;margin-left:.65pt;margin-top:99.95pt;width:297.1pt;height:134.45pt;z-index:251808768">
            <v:imagedata r:id="rId102" o:title=""/>
            <w10:wrap type="square"/>
          </v:shape>
          <o:OLEObject Type="Embed" ProgID="ChemDraw.Document.6.0" ShapeID="_x0000_s1257" DrawAspect="Content" ObjectID="_1689028210" r:id="rId103"/>
        </w:object>
      </w:r>
      <w:r w:rsidR="003B4D14" w:rsidRPr="00E016AA">
        <w:rPr>
          <w:noProof/>
        </w:rPr>
        <w:drawing>
          <wp:anchor distT="0" distB="0" distL="114300" distR="114300" simplePos="0" relativeHeight="251783168" behindDoc="0" locked="0" layoutInCell="1" allowOverlap="1" wp14:anchorId="5D4D061C" wp14:editId="6EF03CA1">
            <wp:simplePos x="0" y="0"/>
            <wp:positionH relativeFrom="column">
              <wp:posOffset>0</wp:posOffset>
            </wp:positionH>
            <wp:positionV relativeFrom="paragraph">
              <wp:posOffset>187325</wp:posOffset>
            </wp:positionV>
            <wp:extent cx="8229600" cy="5752465"/>
            <wp:effectExtent l="0" t="0" r="0" b="635"/>
            <wp:wrapSquare wrapText="bothSides"/>
            <wp:docPr id="82" name="Picture 82" descr="D:\ياسمين\work\PhD+د.يسرى\العملى+25-11-2017\chemical sketch\analysis\ALL DATA\so2nhnh2\supplementary data+hydrazine\m329+c1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D:\ياسمين\work\PhD+د.يسرى\العملى+25-11-2017\chemical sketch\analysis\ALL DATA\so2nhnh2\supplementary data+hydrazine\m329+c13 copy.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229600" cy="5752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BC801C" w14:textId="2B0C540F" w:rsidR="003B4D14" w:rsidRDefault="007448DC" w:rsidP="003B4D14">
      <w:pPr>
        <w:rPr>
          <w:rtl/>
        </w:rPr>
      </w:pPr>
      <w:r>
        <w:rPr>
          <w:noProof/>
          <w:rtl/>
        </w:rPr>
        <w:lastRenderedPageBreak/>
        <w:object w:dxaOrig="1440" w:dyaOrig="1440" w14:anchorId="4D31F09D">
          <v:shape id="_x0000_s1258" type="#_x0000_t75" style="position:absolute;margin-left:387.65pt;margin-top:3.4pt;width:297.1pt;height:134.45pt;z-index:251809792">
            <v:imagedata r:id="rId105" o:title=""/>
            <w10:wrap type="square"/>
          </v:shape>
          <o:OLEObject Type="Embed" ProgID="ChemDraw.Document.6.0" ShapeID="_x0000_s1258" DrawAspect="Content" ObjectID="_1689028211" r:id="rId106"/>
        </w:object>
      </w:r>
      <w:r w:rsidR="003B4D14">
        <w:rPr>
          <w:noProof/>
        </w:rPr>
        <w:drawing>
          <wp:anchor distT="0" distB="0" distL="114300" distR="114300" simplePos="0" relativeHeight="251785216" behindDoc="0" locked="0" layoutInCell="1" allowOverlap="1" wp14:anchorId="1152F23D" wp14:editId="3623CA7A">
            <wp:simplePos x="0" y="0"/>
            <wp:positionH relativeFrom="margin">
              <wp:posOffset>-323850</wp:posOffset>
            </wp:positionH>
            <wp:positionV relativeFrom="paragraph">
              <wp:posOffset>0</wp:posOffset>
            </wp:positionV>
            <wp:extent cx="8877300" cy="6096000"/>
            <wp:effectExtent l="0" t="0" r="0" b="0"/>
            <wp:wrapSquare wrapText="bothSides"/>
            <wp:docPr id="38" name="Picture 38"/>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7">
                      <a:extLst>
                        <a:ext uri="{28A0092B-C50C-407E-A947-70E740481C1C}">
                          <a14:useLocalDpi xmlns:a14="http://schemas.microsoft.com/office/drawing/2010/main" val="0"/>
                        </a:ext>
                      </a:extLst>
                    </a:blip>
                    <a:stretch>
                      <a:fillRect/>
                    </a:stretch>
                  </pic:blipFill>
                  <pic:spPr>
                    <a:xfrm>
                      <a:off x="0" y="0"/>
                      <a:ext cx="8877300" cy="6096000"/>
                    </a:xfrm>
                    <a:prstGeom prst="rect">
                      <a:avLst/>
                    </a:prstGeom>
                  </pic:spPr>
                </pic:pic>
              </a:graphicData>
            </a:graphic>
            <wp14:sizeRelH relativeFrom="page">
              <wp14:pctWidth>0</wp14:pctWidth>
            </wp14:sizeRelH>
            <wp14:sizeRelV relativeFrom="page">
              <wp14:pctHeight>0</wp14:pctHeight>
            </wp14:sizeRelV>
          </wp:anchor>
        </w:drawing>
      </w:r>
    </w:p>
    <w:p w14:paraId="308B9C32" w14:textId="77777777" w:rsidR="003B4D14" w:rsidRDefault="003B4D14" w:rsidP="003B4D14">
      <w:pPr>
        <w:rPr>
          <w:rtl/>
        </w:rPr>
      </w:pPr>
      <w:r w:rsidRPr="004C067F">
        <w:rPr>
          <w:noProof/>
        </w:rPr>
        <w:lastRenderedPageBreak/>
        <w:drawing>
          <wp:anchor distT="0" distB="0" distL="114300" distR="114300" simplePos="0" relativeHeight="251784192" behindDoc="0" locked="0" layoutInCell="1" allowOverlap="1" wp14:anchorId="161B8CA1" wp14:editId="39EEBBF4">
            <wp:simplePos x="0" y="0"/>
            <wp:positionH relativeFrom="column">
              <wp:posOffset>0</wp:posOffset>
            </wp:positionH>
            <wp:positionV relativeFrom="paragraph">
              <wp:posOffset>187325</wp:posOffset>
            </wp:positionV>
            <wp:extent cx="8229600" cy="5753100"/>
            <wp:effectExtent l="0" t="0" r="0" b="0"/>
            <wp:wrapSquare wrapText="bothSides"/>
            <wp:docPr id="63" name="Picture 63" descr="D:\ياسمين\work\PhD+د.يسرى\العملى+25-11-2017\chemical sketch\analysis\ALL DATA\so2nhnh2\supplementary data\M315+hn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D:\ياسمين\work\PhD+د.يسرى\العملى+25-11-2017\chemical sketch\analysis\ALL DATA\so2nhnh2\supplementary data\M315+hnmr.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229600" cy="575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448DC">
        <w:rPr>
          <w:noProof/>
          <w:rtl/>
        </w:rPr>
        <w:object w:dxaOrig="1440" w:dyaOrig="1440" w14:anchorId="6B6CBF51">
          <v:shape id="_x0000_s1245" type="#_x0000_t75" style="position:absolute;margin-left:28.6pt;margin-top:155.3pt;width:285.4pt;height:161.2pt;z-index:251790336;mso-position-horizontal-relative:text;mso-position-vertical-relative:text">
            <v:imagedata r:id="rId109" o:title=""/>
            <w10:wrap type="square"/>
          </v:shape>
          <o:OLEObject Type="Embed" ProgID="ChemDraw.Document.6.0" ShapeID="_x0000_s1245" DrawAspect="Content" ObjectID="_1689028212" r:id="rId110"/>
        </w:object>
      </w:r>
    </w:p>
    <w:p w14:paraId="76F404D3" w14:textId="49E03573" w:rsidR="003B4D14" w:rsidRDefault="007448DC" w:rsidP="003B4D14">
      <w:r>
        <w:rPr>
          <w:noProof/>
        </w:rPr>
        <w:lastRenderedPageBreak/>
        <w:object w:dxaOrig="1440" w:dyaOrig="1440" w14:anchorId="6B6CBF51">
          <v:shape id="_x0000_s1259" type="#_x0000_t75" style="position:absolute;margin-left:280.4pt;margin-top:33.35pt;width:285.4pt;height:161.2pt;z-index:251810816">
            <v:imagedata r:id="rId111" o:title=""/>
            <w10:wrap type="square"/>
          </v:shape>
          <o:OLEObject Type="Embed" ProgID="ChemDraw.Document.6.0" ShapeID="_x0000_s1259" DrawAspect="Content" ObjectID="_1689028213" r:id="rId112"/>
        </w:object>
      </w:r>
      <w:r w:rsidR="0007299C">
        <w:rPr>
          <w:noProof/>
        </w:rPr>
        <w:drawing>
          <wp:anchor distT="0" distB="0" distL="114300" distR="114300" simplePos="0" relativeHeight="251657214" behindDoc="0" locked="0" layoutInCell="1" allowOverlap="1" wp14:anchorId="396F5891" wp14:editId="131862BD">
            <wp:simplePos x="0" y="0"/>
            <wp:positionH relativeFrom="margin">
              <wp:posOffset>0</wp:posOffset>
            </wp:positionH>
            <wp:positionV relativeFrom="paragraph">
              <wp:posOffset>0</wp:posOffset>
            </wp:positionV>
            <wp:extent cx="8292662" cy="6257749"/>
            <wp:effectExtent l="0" t="0" r="0" b="0"/>
            <wp:wrapSquare wrapText="bothSides"/>
            <wp:docPr id="40" name="Picture 40"/>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3">
                      <a:extLst>
                        <a:ext uri="{28A0092B-C50C-407E-A947-70E740481C1C}">
                          <a14:useLocalDpi xmlns:a14="http://schemas.microsoft.com/office/drawing/2010/main" val="0"/>
                        </a:ext>
                      </a:extLst>
                    </a:blip>
                    <a:stretch>
                      <a:fillRect/>
                    </a:stretch>
                  </pic:blipFill>
                  <pic:spPr>
                    <a:xfrm>
                      <a:off x="0" y="0"/>
                      <a:ext cx="8292662" cy="6257749"/>
                    </a:xfrm>
                    <a:prstGeom prst="rect">
                      <a:avLst/>
                    </a:prstGeom>
                  </pic:spPr>
                </pic:pic>
              </a:graphicData>
            </a:graphic>
            <wp14:sizeRelH relativeFrom="page">
              <wp14:pctWidth>0</wp14:pctWidth>
            </wp14:sizeRelH>
            <wp14:sizeRelV relativeFrom="page">
              <wp14:pctHeight>0</wp14:pctHeight>
            </wp14:sizeRelV>
          </wp:anchor>
        </w:drawing>
      </w:r>
    </w:p>
    <w:p w14:paraId="0A6A0A9E" w14:textId="77777777" w:rsidR="003B4D14" w:rsidRDefault="007448DC" w:rsidP="003B4D14">
      <w:pPr>
        <w:rPr>
          <w:rtl/>
        </w:rPr>
      </w:pPr>
      <w:r>
        <w:rPr>
          <w:noProof/>
          <w:rtl/>
        </w:rPr>
        <w:lastRenderedPageBreak/>
        <w:object w:dxaOrig="1440" w:dyaOrig="1440" w14:anchorId="4EA199E5">
          <v:shape id="_x0000_s1246" type="#_x0000_t75" style="position:absolute;margin-left:0;margin-top:43.85pt;width:249.05pt;height:146.45pt;z-index:251792384">
            <v:imagedata r:id="rId114" o:title=""/>
            <w10:wrap type="square"/>
          </v:shape>
          <o:OLEObject Type="Embed" ProgID="ChemDraw.Document.6.0" ShapeID="_x0000_s1246" DrawAspect="Content" ObjectID="_1689028214" r:id="rId115"/>
        </w:object>
      </w:r>
      <w:r w:rsidR="003B4D14" w:rsidRPr="00F51693">
        <w:rPr>
          <w:noProof/>
        </w:rPr>
        <w:drawing>
          <wp:anchor distT="0" distB="0" distL="114300" distR="114300" simplePos="0" relativeHeight="251791360" behindDoc="0" locked="0" layoutInCell="1" allowOverlap="1" wp14:anchorId="1D96C3DF" wp14:editId="3BE4F364">
            <wp:simplePos x="0" y="0"/>
            <wp:positionH relativeFrom="column">
              <wp:posOffset>0</wp:posOffset>
            </wp:positionH>
            <wp:positionV relativeFrom="paragraph">
              <wp:posOffset>0</wp:posOffset>
            </wp:positionV>
            <wp:extent cx="8664575" cy="6073140"/>
            <wp:effectExtent l="0" t="0" r="3175" b="3810"/>
            <wp:wrapSquare wrapText="bothSides"/>
            <wp:docPr id="45" name="Picture 45" descr="D:\ياسمين\work\PhD+د.يسرى\العملى+25-11-2017\chemical sketch\analysis\ALL DATA\so2nhnh2\supplementary data\m39+hn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ياسمين\work\PhD+د.يسرى\العملى+25-11-2017\chemical sketch\analysis\ALL DATA\so2nhnh2\supplementary data\m39+hnmr.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664575" cy="6073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B4D14">
        <w:rPr>
          <w:rFonts w:hint="cs"/>
          <w:rtl/>
        </w:rPr>
        <w:t>––</w:t>
      </w:r>
    </w:p>
    <w:p w14:paraId="2125FB89" w14:textId="7A4DEBD9" w:rsidR="003B4D14" w:rsidRDefault="007448DC" w:rsidP="003B4D14">
      <w:pPr>
        <w:rPr>
          <w:rtl/>
        </w:rPr>
      </w:pPr>
      <w:r>
        <w:rPr>
          <w:noProof/>
          <w:rtl/>
          <w:lang w:val="ar-SA"/>
        </w:rPr>
        <w:lastRenderedPageBreak/>
        <w:object w:dxaOrig="1440" w:dyaOrig="1440" w14:anchorId="4EA199E5">
          <v:shape id="_x0000_s1260" type="#_x0000_t75" style="position:absolute;margin-left:391.8pt;margin-top:54.1pt;width:249.05pt;height:146.45pt;z-index:251811840">
            <v:imagedata r:id="rId117" o:title=""/>
            <w10:wrap type="square"/>
          </v:shape>
          <o:OLEObject Type="Embed" ProgID="ChemDraw.Document.6.0" ShapeID="_x0000_s1260" DrawAspect="Content" ObjectID="_1689028215" r:id="rId118"/>
        </w:object>
      </w:r>
    </w:p>
    <w:p w14:paraId="492F69B8" w14:textId="77777777" w:rsidR="003B4D14" w:rsidRDefault="003B4D14" w:rsidP="003B4D14">
      <w:pPr>
        <w:rPr>
          <w:rtl/>
        </w:rPr>
      </w:pPr>
      <w:r>
        <w:rPr>
          <w:noProof/>
        </w:rPr>
        <w:drawing>
          <wp:anchor distT="0" distB="0" distL="114300" distR="114300" simplePos="0" relativeHeight="251789312" behindDoc="0" locked="0" layoutInCell="1" allowOverlap="1" wp14:anchorId="595A11B4" wp14:editId="6F660014">
            <wp:simplePos x="0" y="0"/>
            <wp:positionH relativeFrom="column">
              <wp:posOffset>0</wp:posOffset>
            </wp:positionH>
            <wp:positionV relativeFrom="paragraph">
              <wp:posOffset>0</wp:posOffset>
            </wp:positionV>
            <wp:extent cx="8161361" cy="5172501"/>
            <wp:effectExtent l="0" t="0" r="0" b="9525"/>
            <wp:wrapSquare wrapText="bothSides"/>
            <wp:docPr id="43" name="Picture 43"/>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19">
                      <a:extLst>
                        <a:ext uri="{28A0092B-C50C-407E-A947-70E740481C1C}">
                          <a14:useLocalDpi xmlns:a14="http://schemas.microsoft.com/office/drawing/2010/main" val="0"/>
                        </a:ext>
                      </a:extLst>
                    </a:blip>
                    <a:stretch>
                      <a:fillRect/>
                    </a:stretch>
                  </pic:blipFill>
                  <pic:spPr>
                    <a:xfrm>
                      <a:off x="0" y="0"/>
                      <a:ext cx="8161361" cy="5172501"/>
                    </a:xfrm>
                    <a:prstGeom prst="rect">
                      <a:avLst/>
                    </a:prstGeom>
                  </pic:spPr>
                </pic:pic>
              </a:graphicData>
            </a:graphic>
            <wp14:sizeRelH relativeFrom="page">
              <wp14:pctWidth>0</wp14:pctWidth>
            </wp14:sizeRelH>
            <wp14:sizeRelV relativeFrom="page">
              <wp14:pctHeight>0</wp14:pctHeight>
            </wp14:sizeRelV>
          </wp:anchor>
        </w:drawing>
      </w:r>
    </w:p>
    <w:p w14:paraId="3AF7A577" w14:textId="77777777" w:rsidR="003B4D14" w:rsidRDefault="003B4D14" w:rsidP="003B4D14"/>
    <w:p w14:paraId="4993961B" w14:textId="77777777" w:rsidR="003B4D14" w:rsidRDefault="007448DC" w:rsidP="003B4D14">
      <w:pPr>
        <w:rPr>
          <w:rtl/>
        </w:rPr>
      </w:pPr>
      <w:r>
        <w:rPr>
          <w:noProof/>
          <w:rtl/>
        </w:rPr>
        <w:lastRenderedPageBreak/>
        <w:object w:dxaOrig="1440" w:dyaOrig="1440" w14:anchorId="2F824C65">
          <v:shape id="_x0000_s1248" type="#_x0000_t75" style="position:absolute;margin-left:32.95pt;margin-top:146.95pt;width:267.8pt;height:142.65pt;z-index:251797504">
            <v:imagedata r:id="rId120" o:title=""/>
            <w10:wrap type="square"/>
          </v:shape>
          <o:OLEObject Type="Embed" ProgID="ChemDraw.Document.6.0" ShapeID="_x0000_s1248" DrawAspect="Content" ObjectID="_1689028216" r:id="rId121"/>
        </w:object>
      </w:r>
      <w:r w:rsidR="003B4D14" w:rsidRPr="00E016AA">
        <w:rPr>
          <w:noProof/>
        </w:rPr>
        <w:drawing>
          <wp:anchor distT="0" distB="0" distL="114300" distR="114300" simplePos="0" relativeHeight="251793408" behindDoc="0" locked="0" layoutInCell="1" allowOverlap="1" wp14:anchorId="371DE95D" wp14:editId="118E766B">
            <wp:simplePos x="0" y="0"/>
            <wp:positionH relativeFrom="column">
              <wp:posOffset>0</wp:posOffset>
            </wp:positionH>
            <wp:positionV relativeFrom="paragraph">
              <wp:posOffset>181610</wp:posOffset>
            </wp:positionV>
            <wp:extent cx="8229600" cy="5758815"/>
            <wp:effectExtent l="0" t="0" r="0" b="0"/>
            <wp:wrapSquare wrapText="bothSides"/>
            <wp:docPr id="81" name="Picture 81" descr="D:\ياسمين\work\PhD+د.يسرى\العملى+25-11-2017\chemical sketch\analysis\ALL DATA\so2nhnh2\supplementary data+hydrazine\m328+m314+HNM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D:\ياسمين\work\PhD+د.يسرى\العملى+25-11-2017\chemical sketch\analysis\ALL DATA\so2nhnh2\supplementary data+hydrazine\m328+m314+HNMR copy.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229600" cy="575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25569" w14:textId="4FE1D0B8" w:rsidR="003B4D14" w:rsidRDefault="007448DC" w:rsidP="003B4D14">
      <w:pPr>
        <w:rPr>
          <w:rtl/>
        </w:rPr>
      </w:pPr>
      <w:r>
        <w:rPr>
          <w:noProof/>
          <w:rtl/>
          <w:lang w:val="ar-SA"/>
        </w:rPr>
        <w:lastRenderedPageBreak/>
        <w:object w:dxaOrig="1440" w:dyaOrig="1440" w14:anchorId="2F824C65">
          <v:shape id="_x0000_s1261" type="#_x0000_t75" style="position:absolute;margin-left:-.4pt;margin-top:69.85pt;width:267.8pt;height:142.65pt;z-index:251812864">
            <v:imagedata r:id="rId123" o:title=""/>
            <w10:wrap type="square"/>
          </v:shape>
          <o:OLEObject Type="Embed" ProgID="ChemDraw.Document.6.0" ShapeID="_x0000_s1261" DrawAspect="Content" ObjectID="_1689028217" r:id="rId124"/>
        </w:object>
      </w:r>
      <w:r>
        <w:rPr>
          <w:noProof/>
          <w:rtl/>
        </w:rPr>
        <w:object w:dxaOrig="1440" w:dyaOrig="1440" w14:anchorId="4E8AD1AC">
          <v:shape id="_x0000_s1247" type="#_x0000_t75" style="position:absolute;margin-left:34.45pt;margin-top:93.8pt;width:225.95pt;height:149.5pt;z-index:251795456">
            <v:imagedata r:id="rId125" o:title=""/>
            <w10:wrap type="square"/>
          </v:shape>
          <o:OLEObject Type="Embed" ProgID="ChemDraw.Document.6.0" ShapeID="_x0000_s1247" DrawAspect="Content" ObjectID="_1689028218" r:id="rId126"/>
        </w:object>
      </w:r>
      <w:r w:rsidR="003B4D14" w:rsidRPr="00115E4B">
        <w:rPr>
          <w:noProof/>
        </w:rPr>
        <w:drawing>
          <wp:anchor distT="0" distB="0" distL="114300" distR="114300" simplePos="0" relativeHeight="251796480" behindDoc="0" locked="0" layoutInCell="1" allowOverlap="1" wp14:anchorId="2161B459" wp14:editId="3C508D21">
            <wp:simplePos x="0" y="0"/>
            <wp:positionH relativeFrom="column">
              <wp:posOffset>0</wp:posOffset>
            </wp:positionH>
            <wp:positionV relativeFrom="paragraph">
              <wp:posOffset>0</wp:posOffset>
            </wp:positionV>
            <wp:extent cx="8229600" cy="5745480"/>
            <wp:effectExtent l="0" t="0" r="0" b="7620"/>
            <wp:wrapSquare wrapText="bothSides"/>
            <wp:docPr id="30" name="Picture 30" descr="D:\ياسمين\work\PhD+د.يسرى\العملى+25-11-2017\chemical sketch\analysis\ALL DATA\so2nhnh2\supplementary data\m328+m314+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ياسمين\work\PhD+د.يسرى\العملى+25-11-2017\chemical sketch\analysis\ALL DATA\so2nhnh2\supplementary data\m328+m314+C1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8229600" cy="5745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C3818D" w14:textId="6C2944B0" w:rsidR="003B4D14" w:rsidRDefault="007448DC" w:rsidP="003B4D14">
      <w:pPr>
        <w:tabs>
          <w:tab w:val="left" w:pos="2520"/>
        </w:tabs>
        <w:rPr>
          <w:rtl/>
        </w:rPr>
      </w:pPr>
      <w:r>
        <w:rPr>
          <w:noProof/>
          <w:rtl/>
        </w:rPr>
        <w:lastRenderedPageBreak/>
        <w:object w:dxaOrig="1440" w:dyaOrig="1440" w14:anchorId="2F824C65">
          <v:shape id="_x0000_s1262" type="#_x0000_t75" style="position:absolute;margin-left:199.5pt;margin-top:51.6pt;width:267.8pt;height:142.65pt;z-index:251813888">
            <v:imagedata r:id="rId128" o:title=""/>
            <w10:wrap type="square"/>
          </v:shape>
          <o:OLEObject Type="Embed" ProgID="ChemDraw.Document.6.0" ShapeID="_x0000_s1262" DrawAspect="Content" ObjectID="_1689028219" r:id="rId129"/>
        </w:object>
      </w:r>
      <w:r w:rsidR="003B4D14">
        <w:rPr>
          <w:noProof/>
        </w:rPr>
        <w:drawing>
          <wp:anchor distT="0" distB="0" distL="114300" distR="114300" simplePos="0" relativeHeight="251794432" behindDoc="0" locked="0" layoutInCell="1" allowOverlap="1" wp14:anchorId="7942F9CF" wp14:editId="19767DB3">
            <wp:simplePos x="0" y="0"/>
            <wp:positionH relativeFrom="margin">
              <wp:align>right</wp:align>
            </wp:positionH>
            <wp:positionV relativeFrom="paragraph">
              <wp:posOffset>0</wp:posOffset>
            </wp:positionV>
            <wp:extent cx="8229600" cy="5911850"/>
            <wp:effectExtent l="0" t="0" r="0" b="0"/>
            <wp:wrapSquare wrapText="bothSides"/>
            <wp:docPr id="15" name="Picture 15"/>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0">
                      <a:extLst>
                        <a:ext uri="{28A0092B-C50C-407E-A947-70E740481C1C}">
                          <a14:useLocalDpi xmlns:a14="http://schemas.microsoft.com/office/drawing/2010/main" val="0"/>
                        </a:ext>
                      </a:extLst>
                    </a:blip>
                    <a:stretch>
                      <a:fillRect/>
                    </a:stretch>
                  </pic:blipFill>
                  <pic:spPr>
                    <a:xfrm>
                      <a:off x="0" y="0"/>
                      <a:ext cx="8229600" cy="5911850"/>
                    </a:xfrm>
                    <a:prstGeom prst="rect">
                      <a:avLst/>
                    </a:prstGeom>
                  </pic:spPr>
                </pic:pic>
              </a:graphicData>
            </a:graphic>
            <wp14:sizeRelH relativeFrom="page">
              <wp14:pctWidth>0</wp14:pctWidth>
            </wp14:sizeRelH>
            <wp14:sizeRelV relativeFrom="page">
              <wp14:pctHeight>0</wp14:pctHeight>
            </wp14:sizeRelV>
          </wp:anchor>
        </w:drawing>
      </w:r>
    </w:p>
    <w:p w14:paraId="2B4DC0FC" w14:textId="075867A7" w:rsidR="003B4D14" w:rsidRDefault="007448DC" w:rsidP="003B4D14">
      <w:pPr>
        <w:rPr>
          <w:rtl/>
        </w:rPr>
      </w:pPr>
      <w:r>
        <w:rPr>
          <w:noProof/>
          <w:rtl/>
        </w:rPr>
        <w:lastRenderedPageBreak/>
        <w:object w:dxaOrig="1440" w:dyaOrig="1440" w14:anchorId="4CDB7BEA">
          <v:shape id="_x0000_s1249" type="#_x0000_t75" style="position:absolute;margin-left:67.5pt;margin-top:151.65pt;width:234.15pt;height:140.55pt;z-index:251800576">
            <v:imagedata r:id="rId131" o:title=""/>
            <w10:wrap type="square"/>
          </v:shape>
          <o:OLEObject Type="Embed" ProgID="ChemDraw.Document.6.0" ShapeID="_x0000_s1249" DrawAspect="Content" ObjectID="_1689028220" r:id="rId132"/>
        </w:object>
      </w:r>
      <w:r w:rsidR="003B4D14" w:rsidRPr="00752ADC">
        <w:rPr>
          <w:noProof/>
        </w:rPr>
        <w:drawing>
          <wp:anchor distT="0" distB="0" distL="114300" distR="114300" simplePos="0" relativeHeight="251799552" behindDoc="0" locked="0" layoutInCell="1" allowOverlap="1" wp14:anchorId="71C10D79" wp14:editId="384C16EF">
            <wp:simplePos x="0" y="0"/>
            <wp:positionH relativeFrom="column">
              <wp:posOffset>0</wp:posOffset>
            </wp:positionH>
            <wp:positionV relativeFrom="paragraph">
              <wp:posOffset>0</wp:posOffset>
            </wp:positionV>
            <wp:extent cx="8229600" cy="5760720"/>
            <wp:effectExtent l="0" t="0" r="0" b="9525"/>
            <wp:wrapSquare wrapText="bothSides"/>
            <wp:docPr id="34" name="Picture 34" descr="D:\ياسمين\work\PhD+د.يسرى\العملى+25-11-2017\chemical sketch\analysis\ALL DATA\so2nhnh2\supplementary data\m312+hn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D:\ياسمين\work\PhD+د.يسرى\العملى+25-11-2017\chemical sketch\analysis\ALL DATA\so2nhnh2\supplementary data\m312+hnmr.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229600" cy="576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86A324" w14:textId="7E4F2DC9" w:rsidR="00151E7C" w:rsidRDefault="00151E7C" w:rsidP="00151E7C">
      <w:r>
        <w:rPr>
          <w:noProof/>
        </w:rPr>
        <w:lastRenderedPageBreak/>
        <w:drawing>
          <wp:anchor distT="0" distB="0" distL="114300" distR="114300" simplePos="0" relativeHeight="251798528" behindDoc="0" locked="0" layoutInCell="1" allowOverlap="1" wp14:anchorId="1B674A94" wp14:editId="2A68A58B">
            <wp:simplePos x="0" y="0"/>
            <wp:positionH relativeFrom="column">
              <wp:posOffset>-123825</wp:posOffset>
            </wp:positionH>
            <wp:positionV relativeFrom="paragraph">
              <wp:posOffset>0</wp:posOffset>
            </wp:positionV>
            <wp:extent cx="8172450" cy="5400675"/>
            <wp:effectExtent l="0" t="0" r="0" b="9525"/>
            <wp:wrapSquare wrapText="bothSides"/>
            <wp:docPr id="33" name="Picture 33"/>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34">
                      <a:extLst>
                        <a:ext uri="{28A0092B-C50C-407E-A947-70E740481C1C}">
                          <a14:useLocalDpi xmlns:a14="http://schemas.microsoft.com/office/drawing/2010/main" val="0"/>
                        </a:ext>
                      </a:extLst>
                    </a:blip>
                    <a:stretch>
                      <a:fillRect/>
                    </a:stretch>
                  </pic:blipFill>
                  <pic:spPr>
                    <a:xfrm>
                      <a:off x="0" y="0"/>
                      <a:ext cx="8172450" cy="5400675"/>
                    </a:xfrm>
                    <a:prstGeom prst="rect">
                      <a:avLst/>
                    </a:prstGeom>
                  </pic:spPr>
                </pic:pic>
              </a:graphicData>
            </a:graphic>
            <wp14:sizeRelH relativeFrom="page">
              <wp14:pctWidth>0</wp14:pctWidth>
            </wp14:sizeRelH>
            <wp14:sizeRelV relativeFrom="page">
              <wp14:pctHeight>0</wp14:pctHeight>
            </wp14:sizeRelV>
          </wp:anchor>
        </w:drawing>
      </w:r>
      <w:r w:rsidR="007448DC">
        <w:rPr>
          <w:noProof/>
        </w:rPr>
        <w:object w:dxaOrig="1440" w:dyaOrig="1440" w14:anchorId="4CDB7BEA">
          <v:shape id="_x0000_s1263" type="#_x0000_t75" style="position:absolute;margin-left:329.9pt;margin-top:46.5pt;width:234.15pt;height:140.55pt;z-index:251814912;mso-position-horizontal-relative:text;mso-position-vertical-relative:text">
            <v:imagedata r:id="rId135" o:title=""/>
          </v:shape>
          <o:OLEObject Type="Embed" ProgID="ChemDraw.Document.6.0" ShapeID="_x0000_s1263" DrawAspect="Content" ObjectID="_1689028221" r:id="rId136"/>
        </w:object>
      </w:r>
    </w:p>
    <w:p w14:paraId="5181B3B1" w14:textId="77777777" w:rsidR="00151E7C" w:rsidRDefault="00151E7C" w:rsidP="00151E7C"/>
    <w:p w14:paraId="1EC4B46F" w14:textId="3E9C790C" w:rsidR="00151E7C" w:rsidRDefault="00151E7C" w:rsidP="00151E7C"/>
    <w:p w14:paraId="13DC931C" w14:textId="7E52F946" w:rsidR="00151E7C" w:rsidRDefault="00151E7C" w:rsidP="00151E7C">
      <w:pPr>
        <w:jc w:val="center"/>
        <w:rPr>
          <w:sz w:val="144"/>
          <w:szCs w:val="144"/>
        </w:rPr>
      </w:pPr>
      <w:r w:rsidRPr="00151E7C">
        <w:rPr>
          <w:sz w:val="144"/>
          <w:szCs w:val="144"/>
        </w:rPr>
        <w:t>Molecular docking Figures</w:t>
      </w:r>
    </w:p>
    <w:p w14:paraId="50320058" w14:textId="25AD9D21" w:rsidR="00151E7C" w:rsidRDefault="00151E7C">
      <w:pPr>
        <w:rPr>
          <w:sz w:val="24"/>
          <w:szCs w:val="24"/>
        </w:rPr>
      </w:pPr>
      <w:r>
        <w:rPr>
          <w:sz w:val="24"/>
          <w:szCs w:val="24"/>
        </w:rPr>
        <w:br w:type="page"/>
      </w:r>
    </w:p>
    <w:p w14:paraId="1071BC07" w14:textId="5B1D6CBF" w:rsidR="00F20108" w:rsidRDefault="00F20108" w:rsidP="006D7717">
      <w:pPr>
        <w:jc w:val="center"/>
        <w:rPr>
          <w:sz w:val="24"/>
          <w:szCs w:val="24"/>
        </w:rPr>
      </w:pPr>
      <w:r w:rsidRPr="00F20108">
        <w:rPr>
          <w:noProof/>
          <w:sz w:val="24"/>
          <w:szCs w:val="24"/>
        </w:rPr>
        <w:lastRenderedPageBreak/>
        <w:drawing>
          <wp:inline distT="0" distB="0" distL="0" distR="0" wp14:anchorId="4378AE98" wp14:editId="63259876">
            <wp:extent cx="8135620" cy="51063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141026" cy="5109783"/>
                    </a:xfrm>
                    <a:prstGeom prst="rect">
                      <a:avLst/>
                    </a:prstGeom>
                    <a:noFill/>
                    <a:ln>
                      <a:noFill/>
                    </a:ln>
                  </pic:spPr>
                </pic:pic>
              </a:graphicData>
            </a:graphic>
          </wp:inline>
        </w:drawing>
      </w:r>
    </w:p>
    <w:p w14:paraId="6B75FF04" w14:textId="3456CF18"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C7071F">
        <w:rPr>
          <w:rFonts w:ascii="Times New Roman" w:hAnsi="Times New Roman"/>
          <w:sz w:val="24"/>
          <w:szCs w:val="24"/>
        </w:rPr>
        <w:t xml:space="preserve">2D interaction between the quinoxaline derivative </w:t>
      </w:r>
      <w:r>
        <w:rPr>
          <w:rFonts w:ascii="Times New Roman" w:hAnsi="Times New Roman"/>
          <w:b/>
          <w:bCs/>
          <w:sz w:val="24"/>
          <w:szCs w:val="24"/>
        </w:rPr>
        <w:t>Ciprofloxacin</w:t>
      </w:r>
      <w:r w:rsidRPr="00C7071F">
        <w:rPr>
          <w:rFonts w:ascii="Times New Roman" w:hAnsi="Times New Roman"/>
          <w:sz w:val="24"/>
          <w:szCs w:val="24"/>
        </w:rPr>
        <w:t xml:space="preserve"> and the active site of DNA gyrase (2XCT)</w:t>
      </w:r>
    </w:p>
    <w:p w14:paraId="01539899" w14:textId="6654B5CF"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5ACFB53E" w14:textId="6D68ECB4"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6D4DA5C8" w14:textId="77777777"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6CD78E11" w14:textId="29DB8A48"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F20108">
        <w:rPr>
          <w:rFonts w:ascii="Times New Roman" w:hAnsi="Times New Roman"/>
          <w:noProof/>
          <w:sz w:val="24"/>
          <w:szCs w:val="24"/>
        </w:rPr>
        <w:drawing>
          <wp:inline distT="0" distB="0" distL="0" distR="0" wp14:anchorId="77F6319A" wp14:editId="0EA035F9">
            <wp:extent cx="8003969" cy="510622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38">
                      <a:extLst>
                        <a:ext uri="{28A0092B-C50C-407E-A947-70E740481C1C}">
                          <a14:useLocalDpi xmlns:a14="http://schemas.microsoft.com/office/drawing/2010/main" val="0"/>
                        </a:ext>
                      </a:extLst>
                    </a:blip>
                    <a:srcRect l="6943" r="18457"/>
                    <a:stretch/>
                  </pic:blipFill>
                  <pic:spPr bwMode="auto">
                    <a:xfrm>
                      <a:off x="0" y="0"/>
                      <a:ext cx="8072014" cy="5149633"/>
                    </a:xfrm>
                    <a:prstGeom prst="rect">
                      <a:avLst/>
                    </a:prstGeom>
                    <a:noFill/>
                    <a:ln>
                      <a:noFill/>
                    </a:ln>
                    <a:extLst>
                      <a:ext uri="{53640926-AAD7-44D8-BBD7-CCE9431645EC}">
                        <a14:shadowObscured xmlns:a14="http://schemas.microsoft.com/office/drawing/2010/main"/>
                      </a:ext>
                    </a:extLst>
                  </pic:spPr>
                </pic:pic>
              </a:graphicData>
            </a:graphic>
          </wp:inline>
        </w:drawing>
      </w:r>
    </w:p>
    <w:p w14:paraId="0B97E47D" w14:textId="76297B05"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Pr>
          <w:rFonts w:ascii="Times New Roman" w:hAnsi="Times New Roman"/>
          <w:sz w:val="24"/>
          <w:szCs w:val="24"/>
        </w:rPr>
        <w:t>3</w:t>
      </w:r>
      <w:r w:rsidRPr="00C7071F">
        <w:rPr>
          <w:rFonts w:ascii="Times New Roman" w:hAnsi="Times New Roman"/>
          <w:sz w:val="24"/>
          <w:szCs w:val="24"/>
        </w:rPr>
        <w:t xml:space="preserve">D interaction between the quinoxaline derivative </w:t>
      </w:r>
      <w:r>
        <w:rPr>
          <w:rFonts w:ascii="Times New Roman" w:hAnsi="Times New Roman"/>
          <w:b/>
          <w:bCs/>
          <w:sz w:val="24"/>
          <w:szCs w:val="24"/>
        </w:rPr>
        <w:t>Ciprofloxacin</w:t>
      </w:r>
      <w:r w:rsidRPr="00C7071F">
        <w:rPr>
          <w:rFonts w:ascii="Times New Roman" w:hAnsi="Times New Roman"/>
          <w:sz w:val="24"/>
          <w:szCs w:val="24"/>
        </w:rPr>
        <w:t xml:space="preserve"> and the active site of DNA gyrase (2XCT)</w:t>
      </w:r>
    </w:p>
    <w:p w14:paraId="350168B4" w14:textId="33434C6D"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37D7C990" w14:textId="20BD5A9F"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F20108">
        <w:rPr>
          <w:rFonts w:ascii="Times New Roman" w:hAnsi="Times New Roman"/>
          <w:noProof/>
          <w:sz w:val="24"/>
          <w:szCs w:val="24"/>
        </w:rPr>
        <w:drawing>
          <wp:inline distT="0" distB="0" distL="0" distR="0" wp14:anchorId="0AA66CEA" wp14:editId="48E3CCE6">
            <wp:extent cx="7566025" cy="4833257"/>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568783" cy="4835019"/>
                    </a:xfrm>
                    <a:prstGeom prst="rect">
                      <a:avLst/>
                    </a:prstGeom>
                    <a:noFill/>
                    <a:ln>
                      <a:noFill/>
                    </a:ln>
                  </pic:spPr>
                </pic:pic>
              </a:graphicData>
            </a:graphic>
          </wp:inline>
        </w:drawing>
      </w:r>
    </w:p>
    <w:p w14:paraId="14DA54EE" w14:textId="66386274"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C7071F">
        <w:rPr>
          <w:rFonts w:ascii="Times New Roman" w:hAnsi="Times New Roman"/>
          <w:sz w:val="24"/>
          <w:szCs w:val="24"/>
        </w:rPr>
        <w:t xml:space="preserve">2D interaction between the quinoxaline derivative </w:t>
      </w:r>
      <w:r>
        <w:rPr>
          <w:rFonts w:ascii="Times New Roman" w:hAnsi="Times New Roman"/>
          <w:b/>
          <w:bCs/>
          <w:sz w:val="24"/>
          <w:szCs w:val="24"/>
        </w:rPr>
        <w:t>4a</w:t>
      </w:r>
      <w:r w:rsidRPr="00C7071F">
        <w:rPr>
          <w:rFonts w:ascii="Times New Roman" w:hAnsi="Times New Roman"/>
          <w:sz w:val="24"/>
          <w:szCs w:val="24"/>
        </w:rPr>
        <w:t xml:space="preserve"> and the active site of DNA gyrase (2XCT)</w:t>
      </w:r>
    </w:p>
    <w:p w14:paraId="1C25E03F" w14:textId="74189E23"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6F7788F7" w14:textId="35839FA6"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15907FC5" w14:textId="77777777"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2548FEFD" w14:textId="1BF58889"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F20108">
        <w:rPr>
          <w:rFonts w:ascii="Times New Roman" w:hAnsi="Times New Roman"/>
          <w:noProof/>
          <w:sz w:val="24"/>
          <w:szCs w:val="24"/>
        </w:rPr>
        <w:drawing>
          <wp:inline distT="0" distB="0" distL="0" distR="0" wp14:anchorId="78CC56A2" wp14:editId="08887B67">
            <wp:extent cx="8084185" cy="4453247"/>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115455" cy="4470472"/>
                    </a:xfrm>
                    <a:prstGeom prst="rect">
                      <a:avLst/>
                    </a:prstGeom>
                    <a:noFill/>
                    <a:ln>
                      <a:noFill/>
                    </a:ln>
                  </pic:spPr>
                </pic:pic>
              </a:graphicData>
            </a:graphic>
          </wp:inline>
        </w:drawing>
      </w:r>
    </w:p>
    <w:p w14:paraId="16F8EE01" w14:textId="7155FB05"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Pr>
          <w:rFonts w:ascii="Times New Roman" w:hAnsi="Times New Roman"/>
          <w:sz w:val="24"/>
          <w:szCs w:val="24"/>
        </w:rPr>
        <w:t>3</w:t>
      </w:r>
      <w:r w:rsidRPr="00C7071F">
        <w:rPr>
          <w:rFonts w:ascii="Times New Roman" w:hAnsi="Times New Roman"/>
          <w:sz w:val="24"/>
          <w:szCs w:val="24"/>
        </w:rPr>
        <w:t xml:space="preserve">D interaction between the quinoxaline derivative </w:t>
      </w:r>
      <w:r>
        <w:rPr>
          <w:rFonts w:ascii="Times New Roman" w:hAnsi="Times New Roman"/>
          <w:b/>
          <w:bCs/>
          <w:sz w:val="24"/>
          <w:szCs w:val="24"/>
        </w:rPr>
        <w:t>4a</w:t>
      </w:r>
      <w:r w:rsidRPr="00C7071F">
        <w:rPr>
          <w:rFonts w:ascii="Times New Roman" w:hAnsi="Times New Roman"/>
          <w:sz w:val="24"/>
          <w:szCs w:val="24"/>
        </w:rPr>
        <w:t xml:space="preserve"> and the active site of DNA gyrase (2XCT)</w:t>
      </w:r>
    </w:p>
    <w:p w14:paraId="5B7AE61A" w14:textId="76F2C35B"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5A3D68F4" w14:textId="00F02BE4"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18D075BD" w14:textId="10419813"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3F73C9A9" w14:textId="4477C55F" w:rsidR="00F20108"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drawing>
          <wp:inline distT="0" distB="0" distL="0" distR="0" wp14:anchorId="0AB832F9" wp14:editId="00D62098">
            <wp:extent cx="7501255" cy="4833257"/>
            <wp:effectExtent l="0" t="0" r="444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506248" cy="4836474"/>
                    </a:xfrm>
                    <a:prstGeom prst="rect">
                      <a:avLst/>
                    </a:prstGeom>
                    <a:noFill/>
                    <a:ln>
                      <a:noFill/>
                    </a:ln>
                  </pic:spPr>
                </pic:pic>
              </a:graphicData>
            </a:graphic>
          </wp:inline>
        </w:drawing>
      </w:r>
    </w:p>
    <w:p w14:paraId="455B95EF" w14:textId="31AD1E4B"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C7071F">
        <w:rPr>
          <w:rFonts w:ascii="Times New Roman" w:hAnsi="Times New Roman"/>
          <w:sz w:val="24"/>
          <w:szCs w:val="24"/>
        </w:rPr>
        <w:t xml:space="preserve">2D interaction between the quinoxaline derivative </w:t>
      </w:r>
      <w:r>
        <w:rPr>
          <w:rFonts w:ascii="Times New Roman" w:hAnsi="Times New Roman"/>
          <w:b/>
          <w:bCs/>
          <w:sz w:val="24"/>
          <w:szCs w:val="24"/>
        </w:rPr>
        <w:t>7</w:t>
      </w:r>
      <w:r w:rsidRPr="00C7071F">
        <w:rPr>
          <w:rFonts w:ascii="Times New Roman" w:hAnsi="Times New Roman"/>
          <w:sz w:val="24"/>
          <w:szCs w:val="24"/>
        </w:rPr>
        <w:t xml:space="preserve"> and the active site of DNA gyrase (2XCT)</w:t>
      </w:r>
    </w:p>
    <w:p w14:paraId="596FEA21" w14:textId="3575D2E3"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04281700" w14:textId="26130C87"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43D4583B" w14:textId="77777777"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55C63B5F" w14:textId="4B556511"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drawing>
          <wp:inline distT="0" distB="0" distL="0" distR="0" wp14:anchorId="3D4AF42F" wp14:editId="213E7715">
            <wp:extent cx="8098971" cy="385447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128584" cy="3868572"/>
                    </a:xfrm>
                    <a:prstGeom prst="rect">
                      <a:avLst/>
                    </a:prstGeom>
                    <a:noFill/>
                    <a:ln>
                      <a:noFill/>
                    </a:ln>
                  </pic:spPr>
                </pic:pic>
              </a:graphicData>
            </a:graphic>
          </wp:inline>
        </w:drawing>
      </w:r>
    </w:p>
    <w:p w14:paraId="6593C60B" w14:textId="746B21D0"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Pr>
          <w:rFonts w:ascii="Times New Roman" w:hAnsi="Times New Roman"/>
          <w:sz w:val="24"/>
          <w:szCs w:val="24"/>
        </w:rPr>
        <w:t>3</w:t>
      </w:r>
      <w:r w:rsidRPr="00C7071F">
        <w:rPr>
          <w:rFonts w:ascii="Times New Roman" w:hAnsi="Times New Roman"/>
          <w:sz w:val="24"/>
          <w:szCs w:val="24"/>
        </w:rPr>
        <w:t xml:space="preserve">D interaction between the quinoxaline derivative </w:t>
      </w:r>
      <w:r>
        <w:rPr>
          <w:rFonts w:ascii="Times New Roman" w:hAnsi="Times New Roman"/>
          <w:b/>
          <w:bCs/>
          <w:sz w:val="24"/>
          <w:szCs w:val="24"/>
        </w:rPr>
        <w:t>7</w:t>
      </w:r>
      <w:r w:rsidRPr="00C7071F">
        <w:rPr>
          <w:rFonts w:ascii="Times New Roman" w:hAnsi="Times New Roman"/>
          <w:sz w:val="24"/>
          <w:szCs w:val="24"/>
        </w:rPr>
        <w:t xml:space="preserve"> and the active site of DNA gyrase (2XCT)</w:t>
      </w:r>
    </w:p>
    <w:p w14:paraId="4CFD29D0" w14:textId="2739F724"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75CAED1A" w14:textId="04F6F429"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11018A29" w14:textId="031E0264"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314E7259" w14:textId="298586C5"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028FF429" w14:textId="67966C09"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10BB7662" w14:textId="02B9414E"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180B0D8D" w14:textId="2C0C18F9"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drawing>
          <wp:inline distT="0" distB="0" distL="0" distR="0" wp14:anchorId="55E9696A" wp14:editId="533BEDA3">
            <wp:extent cx="8229600" cy="48213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244301" cy="4829995"/>
                    </a:xfrm>
                    <a:prstGeom prst="rect">
                      <a:avLst/>
                    </a:prstGeom>
                    <a:noFill/>
                    <a:ln>
                      <a:noFill/>
                    </a:ln>
                  </pic:spPr>
                </pic:pic>
              </a:graphicData>
            </a:graphic>
          </wp:inline>
        </w:drawing>
      </w:r>
    </w:p>
    <w:p w14:paraId="26EF86DD" w14:textId="77777777"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C7071F">
        <w:rPr>
          <w:rFonts w:ascii="Times New Roman" w:hAnsi="Times New Roman"/>
          <w:sz w:val="24"/>
          <w:szCs w:val="24"/>
        </w:rPr>
        <w:t xml:space="preserve">2D interaction between the quinoxaline derivative </w:t>
      </w:r>
      <w:r>
        <w:rPr>
          <w:rFonts w:ascii="Times New Roman" w:hAnsi="Times New Roman"/>
          <w:b/>
          <w:bCs/>
          <w:sz w:val="24"/>
          <w:szCs w:val="24"/>
        </w:rPr>
        <w:t>8a</w:t>
      </w:r>
      <w:r w:rsidRPr="00C7071F">
        <w:rPr>
          <w:rFonts w:ascii="Times New Roman" w:hAnsi="Times New Roman"/>
          <w:sz w:val="24"/>
          <w:szCs w:val="24"/>
        </w:rPr>
        <w:t xml:space="preserve"> and the active site of DNA gyrase (2XCT)</w:t>
      </w:r>
    </w:p>
    <w:p w14:paraId="6AB9AFCD" w14:textId="77777777"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659BD3F7" w14:textId="77777777"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2369D87D" w14:textId="77777777"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3B7D58C2" w14:textId="0DBACF15"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drawing>
          <wp:inline distT="0" distB="0" distL="0" distR="0" wp14:anchorId="202B68ED" wp14:editId="0643ABE2">
            <wp:extent cx="7802088" cy="5008739"/>
            <wp:effectExtent l="0" t="0" r="889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44">
                      <a:extLst>
                        <a:ext uri="{28A0092B-C50C-407E-A947-70E740481C1C}">
                          <a14:useLocalDpi xmlns:a14="http://schemas.microsoft.com/office/drawing/2010/main" val="0"/>
                        </a:ext>
                      </a:extLst>
                    </a:blip>
                    <a:srcRect l="12729" r="13137"/>
                    <a:stretch/>
                  </pic:blipFill>
                  <pic:spPr bwMode="auto">
                    <a:xfrm>
                      <a:off x="0" y="0"/>
                      <a:ext cx="7852741" cy="5041257"/>
                    </a:xfrm>
                    <a:prstGeom prst="rect">
                      <a:avLst/>
                    </a:prstGeom>
                    <a:noFill/>
                    <a:ln>
                      <a:noFill/>
                    </a:ln>
                    <a:extLst>
                      <a:ext uri="{53640926-AAD7-44D8-BBD7-CCE9431645EC}">
                        <a14:shadowObscured xmlns:a14="http://schemas.microsoft.com/office/drawing/2010/main"/>
                      </a:ext>
                    </a:extLst>
                  </pic:spPr>
                </pic:pic>
              </a:graphicData>
            </a:graphic>
          </wp:inline>
        </w:drawing>
      </w:r>
    </w:p>
    <w:p w14:paraId="4E15A18E" w14:textId="2EA2ED7B"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Pr>
          <w:rFonts w:ascii="Times New Roman" w:hAnsi="Times New Roman"/>
          <w:sz w:val="24"/>
          <w:szCs w:val="24"/>
        </w:rPr>
        <w:t>3</w:t>
      </w:r>
      <w:r w:rsidRPr="00C7071F">
        <w:rPr>
          <w:rFonts w:ascii="Times New Roman" w:hAnsi="Times New Roman"/>
          <w:sz w:val="24"/>
          <w:szCs w:val="24"/>
        </w:rPr>
        <w:t xml:space="preserve">D interaction between the quinoxaline derivative </w:t>
      </w:r>
      <w:r>
        <w:rPr>
          <w:rFonts w:ascii="Times New Roman" w:hAnsi="Times New Roman"/>
          <w:b/>
          <w:bCs/>
          <w:sz w:val="24"/>
          <w:szCs w:val="24"/>
        </w:rPr>
        <w:t>8a</w:t>
      </w:r>
      <w:r w:rsidRPr="00C7071F">
        <w:rPr>
          <w:rFonts w:ascii="Times New Roman" w:hAnsi="Times New Roman"/>
          <w:sz w:val="24"/>
          <w:szCs w:val="24"/>
        </w:rPr>
        <w:t xml:space="preserve"> and the active site of DNA gyrase (2XCT)</w:t>
      </w:r>
    </w:p>
    <w:p w14:paraId="2B70F18D" w14:textId="6D25A0EA"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579B2A77" w14:textId="76B90200"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328EB3FC" w14:textId="1FC80207"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drawing>
          <wp:inline distT="0" distB="0" distL="0" distR="0" wp14:anchorId="6E1F6B86" wp14:editId="187AD3EF">
            <wp:extent cx="8134350" cy="47501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156153" cy="4762862"/>
                    </a:xfrm>
                    <a:prstGeom prst="rect">
                      <a:avLst/>
                    </a:prstGeom>
                    <a:noFill/>
                    <a:ln>
                      <a:noFill/>
                    </a:ln>
                  </pic:spPr>
                </pic:pic>
              </a:graphicData>
            </a:graphic>
          </wp:inline>
        </w:drawing>
      </w:r>
    </w:p>
    <w:p w14:paraId="69935DDB" w14:textId="3B212468"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C7071F">
        <w:rPr>
          <w:rFonts w:ascii="Times New Roman" w:hAnsi="Times New Roman"/>
          <w:sz w:val="24"/>
          <w:szCs w:val="24"/>
        </w:rPr>
        <w:t xml:space="preserve">2D interaction between the quinoxaline derivative </w:t>
      </w:r>
      <w:r>
        <w:rPr>
          <w:rFonts w:ascii="Times New Roman" w:hAnsi="Times New Roman"/>
          <w:b/>
          <w:bCs/>
          <w:sz w:val="24"/>
          <w:szCs w:val="24"/>
        </w:rPr>
        <w:t>11b</w:t>
      </w:r>
      <w:r w:rsidRPr="00C7071F">
        <w:rPr>
          <w:rFonts w:ascii="Times New Roman" w:hAnsi="Times New Roman"/>
          <w:sz w:val="24"/>
          <w:szCs w:val="24"/>
        </w:rPr>
        <w:t xml:space="preserve"> and the active site of DNA gyrase (2XCT)</w:t>
      </w:r>
    </w:p>
    <w:p w14:paraId="017E868C" w14:textId="6DFC5763"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04B16974" w14:textId="25274928"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6F2E37FA" w14:textId="5B2677B7"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6DCB9818" w14:textId="11CC7CDE"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drawing>
          <wp:inline distT="0" distB="0" distL="0" distR="0" wp14:anchorId="634D7499" wp14:editId="1313115F">
            <wp:extent cx="8407730" cy="400142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8461993" cy="4027249"/>
                    </a:xfrm>
                    <a:prstGeom prst="rect">
                      <a:avLst/>
                    </a:prstGeom>
                    <a:noFill/>
                    <a:ln>
                      <a:noFill/>
                    </a:ln>
                  </pic:spPr>
                </pic:pic>
              </a:graphicData>
            </a:graphic>
          </wp:inline>
        </w:drawing>
      </w:r>
    </w:p>
    <w:p w14:paraId="55847D63" w14:textId="7F7E449C"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Pr>
          <w:rFonts w:ascii="Times New Roman" w:hAnsi="Times New Roman"/>
          <w:sz w:val="24"/>
          <w:szCs w:val="24"/>
        </w:rPr>
        <w:t>3</w:t>
      </w:r>
      <w:r w:rsidRPr="00C7071F">
        <w:rPr>
          <w:rFonts w:ascii="Times New Roman" w:hAnsi="Times New Roman"/>
          <w:sz w:val="24"/>
          <w:szCs w:val="24"/>
        </w:rPr>
        <w:t xml:space="preserve">D interaction between the quinoxaline derivative </w:t>
      </w:r>
      <w:r>
        <w:rPr>
          <w:rFonts w:ascii="Times New Roman" w:hAnsi="Times New Roman"/>
          <w:b/>
          <w:bCs/>
          <w:sz w:val="24"/>
          <w:szCs w:val="24"/>
        </w:rPr>
        <w:t>11b</w:t>
      </w:r>
      <w:r w:rsidRPr="00C7071F">
        <w:rPr>
          <w:rFonts w:ascii="Times New Roman" w:hAnsi="Times New Roman"/>
          <w:sz w:val="24"/>
          <w:szCs w:val="24"/>
        </w:rPr>
        <w:t xml:space="preserve"> and the active site of DNA gyrase (2XCT)</w:t>
      </w:r>
    </w:p>
    <w:p w14:paraId="2A1B079D" w14:textId="5D8E3111"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32FD44EC" w14:textId="3949F338"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65046AE2" w14:textId="75853B23"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133AA228" w14:textId="4B6B967F"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5C4D0BA6" w14:textId="5A945D9C"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lastRenderedPageBreak/>
        <w:drawing>
          <wp:inline distT="0" distB="0" distL="0" distR="0" wp14:anchorId="6BA1745D" wp14:editId="0101276A">
            <wp:extent cx="8229600" cy="55505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229600" cy="5550535"/>
                    </a:xfrm>
                    <a:prstGeom prst="rect">
                      <a:avLst/>
                    </a:prstGeom>
                    <a:noFill/>
                    <a:ln>
                      <a:noFill/>
                    </a:ln>
                  </pic:spPr>
                </pic:pic>
              </a:graphicData>
            </a:graphic>
          </wp:inline>
        </w:drawing>
      </w:r>
    </w:p>
    <w:p w14:paraId="56CB2F35" w14:textId="1A6D03DF"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C7071F">
        <w:rPr>
          <w:rFonts w:ascii="Times New Roman" w:hAnsi="Times New Roman"/>
          <w:sz w:val="24"/>
          <w:szCs w:val="24"/>
        </w:rPr>
        <w:t xml:space="preserve">2D interaction between the quinoxaline derivative </w:t>
      </w:r>
      <w:r>
        <w:rPr>
          <w:rFonts w:ascii="Times New Roman" w:hAnsi="Times New Roman"/>
          <w:b/>
          <w:bCs/>
          <w:sz w:val="24"/>
          <w:szCs w:val="24"/>
        </w:rPr>
        <w:t>13</w:t>
      </w:r>
      <w:r w:rsidRPr="00C7071F">
        <w:rPr>
          <w:rFonts w:ascii="Times New Roman" w:hAnsi="Times New Roman"/>
          <w:sz w:val="24"/>
          <w:szCs w:val="24"/>
        </w:rPr>
        <w:t xml:space="preserve"> and the active site of DNA gyrase (2XCT)</w:t>
      </w:r>
    </w:p>
    <w:p w14:paraId="70B2C637" w14:textId="77777777"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4A8C744E" w14:textId="77777777"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5C0EB568" w14:textId="3B57FA1A"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drawing>
          <wp:inline distT="0" distB="0" distL="0" distR="0" wp14:anchorId="529126CC" wp14:editId="3E8B4D19">
            <wp:extent cx="8323906" cy="4928260"/>
            <wp:effectExtent l="0" t="0" r="127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48">
                      <a:extLst>
                        <a:ext uri="{28A0092B-C50C-407E-A947-70E740481C1C}">
                          <a14:useLocalDpi xmlns:a14="http://schemas.microsoft.com/office/drawing/2010/main" val="0"/>
                        </a:ext>
                      </a:extLst>
                    </a:blip>
                    <a:srcRect l="12049" r="11750"/>
                    <a:stretch/>
                  </pic:blipFill>
                  <pic:spPr bwMode="auto">
                    <a:xfrm>
                      <a:off x="0" y="0"/>
                      <a:ext cx="8361036" cy="4950243"/>
                    </a:xfrm>
                    <a:prstGeom prst="rect">
                      <a:avLst/>
                    </a:prstGeom>
                    <a:noFill/>
                    <a:ln>
                      <a:noFill/>
                    </a:ln>
                    <a:extLst>
                      <a:ext uri="{53640926-AAD7-44D8-BBD7-CCE9431645EC}">
                        <a14:shadowObscured xmlns:a14="http://schemas.microsoft.com/office/drawing/2010/main"/>
                      </a:ext>
                    </a:extLst>
                  </pic:spPr>
                </pic:pic>
              </a:graphicData>
            </a:graphic>
          </wp:inline>
        </w:drawing>
      </w:r>
    </w:p>
    <w:p w14:paraId="4BDEE1D7" w14:textId="01199F43"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Pr>
          <w:rFonts w:ascii="Times New Roman" w:hAnsi="Times New Roman"/>
          <w:sz w:val="24"/>
          <w:szCs w:val="24"/>
        </w:rPr>
        <w:t>3</w:t>
      </w:r>
      <w:r w:rsidRPr="00C7071F">
        <w:rPr>
          <w:rFonts w:ascii="Times New Roman" w:hAnsi="Times New Roman"/>
          <w:sz w:val="24"/>
          <w:szCs w:val="24"/>
        </w:rPr>
        <w:t xml:space="preserve">D interaction between the quinoxaline derivative </w:t>
      </w:r>
      <w:r>
        <w:rPr>
          <w:rFonts w:ascii="Times New Roman" w:hAnsi="Times New Roman"/>
          <w:b/>
          <w:bCs/>
          <w:sz w:val="24"/>
          <w:szCs w:val="24"/>
        </w:rPr>
        <w:t>13</w:t>
      </w:r>
      <w:r w:rsidRPr="00C7071F">
        <w:rPr>
          <w:rFonts w:ascii="Times New Roman" w:hAnsi="Times New Roman"/>
          <w:sz w:val="24"/>
          <w:szCs w:val="24"/>
        </w:rPr>
        <w:t xml:space="preserve"> and the active site of DNA gyrase (2XCT)</w:t>
      </w:r>
    </w:p>
    <w:p w14:paraId="4EFF8563" w14:textId="3BACFBB6"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764144C3" w14:textId="40F7F044"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02C92B43" w14:textId="586E1AE1"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drawing>
          <wp:inline distT="0" distB="0" distL="0" distR="0" wp14:anchorId="3751E033" wp14:editId="404D45BF">
            <wp:extent cx="8300720" cy="4916385"/>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329289" cy="4933306"/>
                    </a:xfrm>
                    <a:prstGeom prst="rect">
                      <a:avLst/>
                    </a:prstGeom>
                    <a:noFill/>
                    <a:ln>
                      <a:noFill/>
                    </a:ln>
                  </pic:spPr>
                </pic:pic>
              </a:graphicData>
            </a:graphic>
          </wp:inline>
        </w:drawing>
      </w:r>
    </w:p>
    <w:p w14:paraId="41B9FC35" w14:textId="6F797ED6" w:rsidR="00F20108"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C7071F">
        <w:rPr>
          <w:rFonts w:ascii="Times New Roman" w:hAnsi="Times New Roman"/>
          <w:sz w:val="24"/>
          <w:szCs w:val="24"/>
        </w:rPr>
        <w:t xml:space="preserve">2D interaction between the quinoxaline derivative </w:t>
      </w:r>
      <w:r>
        <w:rPr>
          <w:rFonts w:ascii="Times New Roman" w:hAnsi="Times New Roman"/>
          <w:b/>
          <w:bCs/>
          <w:sz w:val="24"/>
          <w:szCs w:val="24"/>
        </w:rPr>
        <w:t>16</w:t>
      </w:r>
      <w:r w:rsidRPr="00C7071F">
        <w:rPr>
          <w:rFonts w:ascii="Times New Roman" w:hAnsi="Times New Roman"/>
          <w:sz w:val="24"/>
          <w:szCs w:val="24"/>
        </w:rPr>
        <w:t xml:space="preserve"> and the active site of DNA gyrase (2XCT)</w:t>
      </w:r>
    </w:p>
    <w:p w14:paraId="2303B867" w14:textId="60C6072E"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280E5FA8" w14:textId="4A7871BE"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09B06B55" w14:textId="50123F2B"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p>
    <w:p w14:paraId="670E43AA" w14:textId="4BA829DD" w:rsidR="006D7717" w:rsidRDefault="006D7717" w:rsidP="006D7717">
      <w:pPr>
        <w:tabs>
          <w:tab w:val="left" w:pos="0"/>
          <w:tab w:val="left" w:pos="90"/>
        </w:tabs>
        <w:autoSpaceDE w:val="0"/>
        <w:autoSpaceDN w:val="0"/>
        <w:adjustRightInd w:val="0"/>
        <w:spacing w:line="240" w:lineRule="auto"/>
        <w:jc w:val="center"/>
        <w:rPr>
          <w:rFonts w:ascii="Times New Roman" w:hAnsi="Times New Roman"/>
          <w:sz w:val="24"/>
          <w:szCs w:val="24"/>
        </w:rPr>
      </w:pPr>
      <w:r w:rsidRPr="006D7717">
        <w:rPr>
          <w:rFonts w:ascii="Times New Roman" w:hAnsi="Times New Roman"/>
          <w:noProof/>
          <w:sz w:val="24"/>
          <w:szCs w:val="24"/>
        </w:rPr>
        <w:drawing>
          <wp:inline distT="0" distB="0" distL="0" distR="0" wp14:anchorId="6527CC75" wp14:editId="4AA3CAA1">
            <wp:extent cx="8372104" cy="467448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50">
                      <a:extLst>
                        <a:ext uri="{28A0092B-C50C-407E-A947-70E740481C1C}">
                          <a14:useLocalDpi xmlns:a14="http://schemas.microsoft.com/office/drawing/2010/main" val="0"/>
                        </a:ext>
                      </a:extLst>
                    </a:blip>
                    <a:srcRect r="14762"/>
                    <a:stretch/>
                  </pic:blipFill>
                  <pic:spPr bwMode="auto">
                    <a:xfrm>
                      <a:off x="0" y="0"/>
                      <a:ext cx="8412660" cy="4697130"/>
                    </a:xfrm>
                    <a:prstGeom prst="rect">
                      <a:avLst/>
                    </a:prstGeom>
                    <a:noFill/>
                    <a:ln>
                      <a:noFill/>
                    </a:ln>
                    <a:extLst>
                      <a:ext uri="{53640926-AAD7-44D8-BBD7-CCE9431645EC}">
                        <a14:shadowObscured xmlns:a14="http://schemas.microsoft.com/office/drawing/2010/main"/>
                      </a:ext>
                    </a:extLst>
                  </pic:spPr>
                </pic:pic>
              </a:graphicData>
            </a:graphic>
          </wp:inline>
        </w:drawing>
      </w:r>
    </w:p>
    <w:p w14:paraId="2C73A462" w14:textId="08A1695E" w:rsidR="00F20108" w:rsidRPr="006D7717" w:rsidRDefault="00F20108" w:rsidP="006D7717">
      <w:pPr>
        <w:tabs>
          <w:tab w:val="left" w:pos="0"/>
          <w:tab w:val="left" w:pos="90"/>
        </w:tabs>
        <w:autoSpaceDE w:val="0"/>
        <w:autoSpaceDN w:val="0"/>
        <w:adjustRightInd w:val="0"/>
        <w:spacing w:line="240" w:lineRule="auto"/>
        <w:jc w:val="center"/>
        <w:rPr>
          <w:rFonts w:ascii="Times New Roman" w:hAnsi="Times New Roman"/>
          <w:sz w:val="24"/>
          <w:szCs w:val="24"/>
        </w:rPr>
      </w:pPr>
      <w:r>
        <w:rPr>
          <w:rFonts w:ascii="Times New Roman" w:hAnsi="Times New Roman"/>
          <w:sz w:val="24"/>
          <w:szCs w:val="24"/>
        </w:rPr>
        <w:t>3</w:t>
      </w:r>
      <w:r w:rsidRPr="00C7071F">
        <w:rPr>
          <w:rFonts w:ascii="Times New Roman" w:hAnsi="Times New Roman"/>
          <w:sz w:val="24"/>
          <w:szCs w:val="24"/>
        </w:rPr>
        <w:t xml:space="preserve">D interaction between the quinoxaline derivative </w:t>
      </w:r>
      <w:r>
        <w:rPr>
          <w:rFonts w:ascii="Times New Roman" w:hAnsi="Times New Roman"/>
          <w:b/>
          <w:bCs/>
          <w:sz w:val="24"/>
          <w:szCs w:val="24"/>
        </w:rPr>
        <w:t>16</w:t>
      </w:r>
      <w:r w:rsidRPr="00C7071F">
        <w:rPr>
          <w:rFonts w:ascii="Times New Roman" w:hAnsi="Times New Roman"/>
          <w:sz w:val="24"/>
          <w:szCs w:val="24"/>
        </w:rPr>
        <w:t xml:space="preserve"> and the active site of DNA gyrase (2XCT)</w:t>
      </w:r>
    </w:p>
    <w:sectPr w:rsidR="00F20108" w:rsidRPr="006D7717" w:rsidSect="00E94418">
      <w:footerReference w:type="default" r:id="rId151"/>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BA6CE0" w14:textId="77777777" w:rsidR="007448DC" w:rsidRDefault="007448DC" w:rsidP="005A6A78">
      <w:pPr>
        <w:spacing w:after="0" w:line="240" w:lineRule="auto"/>
      </w:pPr>
      <w:r>
        <w:separator/>
      </w:r>
    </w:p>
  </w:endnote>
  <w:endnote w:type="continuationSeparator" w:id="0">
    <w:p w14:paraId="65AA14C6" w14:textId="77777777" w:rsidR="007448DC" w:rsidRDefault="007448DC" w:rsidP="005A6A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charset w:val="00"/>
    <w:family w:val="swiss"/>
    <w:pitch w:val="variable"/>
    <w:sig w:usb0="E10022FF" w:usb1="C000E47F" w:usb2="00000029" w:usb3="00000000" w:csb0="000001DF" w:csb1="00000000"/>
  </w:font>
  <w:font w:name="Time-Roman">
    <w:altName w:val="MS Gothic"/>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0000000000000000000"/>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4417020"/>
      <w:docPartObj>
        <w:docPartGallery w:val="Page Numbers (Bottom of Page)"/>
        <w:docPartUnique/>
      </w:docPartObj>
    </w:sdtPr>
    <w:sdtEndPr>
      <w:rPr>
        <w:noProof/>
      </w:rPr>
    </w:sdtEndPr>
    <w:sdtContent>
      <w:p w14:paraId="7740D481" w14:textId="6A05334E" w:rsidR="00691670" w:rsidRDefault="00691670">
        <w:pPr>
          <w:pStyle w:val="Footer"/>
          <w:jc w:val="center"/>
        </w:pPr>
        <w:r>
          <w:fldChar w:fldCharType="begin"/>
        </w:r>
        <w:r>
          <w:instrText xml:space="preserve"> PAGE   \* MERGEFORMAT </w:instrText>
        </w:r>
        <w:r>
          <w:fldChar w:fldCharType="separate"/>
        </w:r>
        <w:r w:rsidR="00024BCB">
          <w:rPr>
            <w:noProof/>
          </w:rPr>
          <w:t>3</w:t>
        </w:r>
        <w:r>
          <w:rPr>
            <w:noProof/>
          </w:rPr>
          <w:fldChar w:fldCharType="end"/>
        </w:r>
      </w:p>
    </w:sdtContent>
  </w:sdt>
  <w:p w14:paraId="3F868417" w14:textId="77777777" w:rsidR="00691670" w:rsidRDefault="006916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6BF4D2" w14:textId="77777777" w:rsidR="007448DC" w:rsidRDefault="007448DC" w:rsidP="005A6A78">
      <w:pPr>
        <w:spacing w:after="0" w:line="240" w:lineRule="auto"/>
      </w:pPr>
      <w:r>
        <w:separator/>
      </w:r>
    </w:p>
  </w:footnote>
  <w:footnote w:type="continuationSeparator" w:id="0">
    <w:p w14:paraId="4F7C59D4" w14:textId="77777777" w:rsidR="007448DC" w:rsidRDefault="007448DC" w:rsidP="005A6A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7A32BDF"/>
    <w:multiLevelType w:val="multilevel"/>
    <w:tmpl w:val="F61C4E6E"/>
    <w:lvl w:ilvl="0">
      <w:start w:val="1"/>
      <w:numFmt w:val="decimal"/>
      <w:lvlText w:val="%1."/>
      <w:lvlJc w:val="left"/>
      <w:pPr>
        <w:ind w:left="720" w:hanging="360"/>
      </w:pPr>
      <w:rPr>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440" w:hanging="1080"/>
      </w:pPr>
      <w:rPr>
        <w:rFonts w:hint="default"/>
        <w:b/>
        <w:bCs/>
        <w:color w:val="auto"/>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60CE"/>
    <w:rsid w:val="00001E59"/>
    <w:rsid w:val="00001FF4"/>
    <w:rsid w:val="0001746D"/>
    <w:rsid w:val="00024BCB"/>
    <w:rsid w:val="000411B6"/>
    <w:rsid w:val="00043ACA"/>
    <w:rsid w:val="00050553"/>
    <w:rsid w:val="00053252"/>
    <w:rsid w:val="0005370D"/>
    <w:rsid w:val="0006540A"/>
    <w:rsid w:val="0007299C"/>
    <w:rsid w:val="000754A5"/>
    <w:rsid w:val="000817FE"/>
    <w:rsid w:val="00084E61"/>
    <w:rsid w:val="00085F83"/>
    <w:rsid w:val="000B1647"/>
    <w:rsid w:val="000C02A4"/>
    <w:rsid w:val="000D33CD"/>
    <w:rsid w:val="000F28E5"/>
    <w:rsid w:val="00100252"/>
    <w:rsid w:val="00103441"/>
    <w:rsid w:val="0010733E"/>
    <w:rsid w:val="00115E4B"/>
    <w:rsid w:val="00116DEB"/>
    <w:rsid w:val="00125DD4"/>
    <w:rsid w:val="00136E97"/>
    <w:rsid w:val="00143AFB"/>
    <w:rsid w:val="00151E7C"/>
    <w:rsid w:val="001522F3"/>
    <w:rsid w:val="00164E88"/>
    <w:rsid w:val="0018461A"/>
    <w:rsid w:val="001929DC"/>
    <w:rsid w:val="001A7D3F"/>
    <w:rsid w:val="001C0411"/>
    <w:rsid w:val="001C3B81"/>
    <w:rsid w:val="001C7264"/>
    <w:rsid w:val="001D227D"/>
    <w:rsid w:val="0020396B"/>
    <w:rsid w:val="00243815"/>
    <w:rsid w:val="00252E57"/>
    <w:rsid w:val="00276817"/>
    <w:rsid w:val="00284843"/>
    <w:rsid w:val="002851D7"/>
    <w:rsid w:val="002956C1"/>
    <w:rsid w:val="002A1491"/>
    <w:rsid w:val="002B0E83"/>
    <w:rsid w:val="002C6B4F"/>
    <w:rsid w:val="002E69CD"/>
    <w:rsid w:val="00300058"/>
    <w:rsid w:val="00312F0B"/>
    <w:rsid w:val="00320B11"/>
    <w:rsid w:val="0032744F"/>
    <w:rsid w:val="00330070"/>
    <w:rsid w:val="00340F9D"/>
    <w:rsid w:val="0034156D"/>
    <w:rsid w:val="00344C72"/>
    <w:rsid w:val="0035336C"/>
    <w:rsid w:val="00363721"/>
    <w:rsid w:val="00372ADE"/>
    <w:rsid w:val="00372D80"/>
    <w:rsid w:val="00374BEF"/>
    <w:rsid w:val="003922DB"/>
    <w:rsid w:val="00395ECD"/>
    <w:rsid w:val="00396ECB"/>
    <w:rsid w:val="003A5DB5"/>
    <w:rsid w:val="003B0D73"/>
    <w:rsid w:val="003B117E"/>
    <w:rsid w:val="003B4D14"/>
    <w:rsid w:val="003C742E"/>
    <w:rsid w:val="003D60CE"/>
    <w:rsid w:val="00407409"/>
    <w:rsid w:val="00410218"/>
    <w:rsid w:val="004113C2"/>
    <w:rsid w:val="004173E9"/>
    <w:rsid w:val="004200BD"/>
    <w:rsid w:val="0044597F"/>
    <w:rsid w:val="00463CF1"/>
    <w:rsid w:val="00467B05"/>
    <w:rsid w:val="00470B2C"/>
    <w:rsid w:val="00480FC8"/>
    <w:rsid w:val="0049164C"/>
    <w:rsid w:val="00492C31"/>
    <w:rsid w:val="004A068B"/>
    <w:rsid w:val="004A11FC"/>
    <w:rsid w:val="004A368D"/>
    <w:rsid w:val="004A73D7"/>
    <w:rsid w:val="004A74A3"/>
    <w:rsid w:val="004C067F"/>
    <w:rsid w:val="004C396C"/>
    <w:rsid w:val="004C3A72"/>
    <w:rsid w:val="004C7212"/>
    <w:rsid w:val="004E7A3C"/>
    <w:rsid w:val="004F38C3"/>
    <w:rsid w:val="004F5746"/>
    <w:rsid w:val="005071B3"/>
    <w:rsid w:val="00511125"/>
    <w:rsid w:val="00554CD7"/>
    <w:rsid w:val="00557B40"/>
    <w:rsid w:val="00586119"/>
    <w:rsid w:val="005A6A78"/>
    <w:rsid w:val="005C217D"/>
    <w:rsid w:val="005F087D"/>
    <w:rsid w:val="005F13A3"/>
    <w:rsid w:val="005F625A"/>
    <w:rsid w:val="00611019"/>
    <w:rsid w:val="00615512"/>
    <w:rsid w:val="00615A08"/>
    <w:rsid w:val="00615A7D"/>
    <w:rsid w:val="00632A46"/>
    <w:rsid w:val="0065213F"/>
    <w:rsid w:val="00652B8D"/>
    <w:rsid w:val="00653A0D"/>
    <w:rsid w:val="00654DDA"/>
    <w:rsid w:val="006553BB"/>
    <w:rsid w:val="00685F43"/>
    <w:rsid w:val="00691670"/>
    <w:rsid w:val="006A1FA5"/>
    <w:rsid w:val="006A5299"/>
    <w:rsid w:val="006B5A2A"/>
    <w:rsid w:val="006C32D6"/>
    <w:rsid w:val="006C43AF"/>
    <w:rsid w:val="006C552C"/>
    <w:rsid w:val="006D7717"/>
    <w:rsid w:val="006D7B0B"/>
    <w:rsid w:val="006F20CF"/>
    <w:rsid w:val="006F3715"/>
    <w:rsid w:val="0071659F"/>
    <w:rsid w:val="007322E0"/>
    <w:rsid w:val="007448DC"/>
    <w:rsid w:val="00751B5E"/>
    <w:rsid w:val="00752ADC"/>
    <w:rsid w:val="0075385B"/>
    <w:rsid w:val="00763E31"/>
    <w:rsid w:val="00776A55"/>
    <w:rsid w:val="0079326A"/>
    <w:rsid w:val="007A221C"/>
    <w:rsid w:val="007A70F4"/>
    <w:rsid w:val="007B0C74"/>
    <w:rsid w:val="007D427A"/>
    <w:rsid w:val="007F01E6"/>
    <w:rsid w:val="00801E3A"/>
    <w:rsid w:val="00804EBD"/>
    <w:rsid w:val="00806738"/>
    <w:rsid w:val="008111DF"/>
    <w:rsid w:val="00813461"/>
    <w:rsid w:val="008174B0"/>
    <w:rsid w:val="00834736"/>
    <w:rsid w:val="00857C64"/>
    <w:rsid w:val="008645AF"/>
    <w:rsid w:val="0088602D"/>
    <w:rsid w:val="0089385D"/>
    <w:rsid w:val="008979A1"/>
    <w:rsid w:val="008A4391"/>
    <w:rsid w:val="008A5F2B"/>
    <w:rsid w:val="008B2E75"/>
    <w:rsid w:val="008C7710"/>
    <w:rsid w:val="008D0DBD"/>
    <w:rsid w:val="00903BCF"/>
    <w:rsid w:val="0091640F"/>
    <w:rsid w:val="00922C89"/>
    <w:rsid w:val="00927133"/>
    <w:rsid w:val="00930640"/>
    <w:rsid w:val="00946306"/>
    <w:rsid w:val="009479CE"/>
    <w:rsid w:val="009503D9"/>
    <w:rsid w:val="0095627E"/>
    <w:rsid w:val="00965D5C"/>
    <w:rsid w:val="009669DA"/>
    <w:rsid w:val="0096776C"/>
    <w:rsid w:val="00985F6B"/>
    <w:rsid w:val="00997544"/>
    <w:rsid w:val="009C4CFB"/>
    <w:rsid w:val="009D010E"/>
    <w:rsid w:val="009D4BFF"/>
    <w:rsid w:val="009E0A74"/>
    <w:rsid w:val="009F7E22"/>
    <w:rsid w:val="00A15BB5"/>
    <w:rsid w:val="00A42F17"/>
    <w:rsid w:val="00A45D5E"/>
    <w:rsid w:val="00A55614"/>
    <w:rsid w:val="00A61E09"/>
    <w:rsid w:val="00A6447A"/>
    <w:rsid w:val="00A66903"/>
    <w:rsid w:val="00AA1B07"/>
    <w:rsid w:val="00AE1278"/>
    <w:rsid w:val="00AE2F4E"/>
    <w:rsid w:val="00AE3D5F"/>
    <w:rsid w:val="00B06931"/>
    <w:rsid w:val="00B123E0"/>
    <w:rsid w:val="00B12D7C"/>
    <w:rsid w:val="00B1536A"/>
    <w:rsid w:val="00B16597"/>
    <w:rsid w:val="00B16F4B"/>
    <w:rsid w:val="00B33A96"/>
    <w:rsid w:val="00B43D6C"/>
    <w:rsid w:val="00B45046"/>
    <w:rsid w:val="00B62512"/>
    <w:rsid w:val="00B73C27"/>
    <w:rsid w:val="00B76C6A"/>
    <w:rsid w:val="00B90F1A"/>
    <w:rsid w:val="00B9712A"/>
    <w:rsid w:val="00BA0CFF"/>
    <w:rsid w:val="00BA3D25"/>
    <w:rsid w:val="00BB74F1"/>
    <w:rsid w:val="00BC2E74"/>
    <w:rsid w:val="00C07A12"/>
    <w:rsid w:val="00C12360"/>
    <w:rsid w:val="00C145D6"/>
    <w:rsid w:val="00C24285"/>
    <w:rsid w:val="00C31017"/>
    <w:rsid w:val="00C40CAD"/>
    <w:rsid w:val="00C45739"/>
    <w:rsid w:val="00C51DBC"/>
    <w:rsid w:val="00C578D5"/>
    <w:rsid w:val="00C60FE6"/>
    <w:rsid w:val="00C8212F"/>
    <w:rsid w:val="00C8372B"/>
    <w:rsid w:val="00C975CA"/>
    <w:rsid w:val="00CB4BC6"/>
    <w:rsid w:val="00CC0F99"/>
    <w:rsid w:val="00CC103B"/>
    <w:rsid w:val="00CC2EE0"/>
    <w:rsid w:val="00CC7681"/>
    <w:rsid w:val="00CE19D6"/>
    <w:rsid w:val="00D1080C"/>
    <w:rsid w:val="00D14671"/>
    <w:rsid w:val="00D20015"/>
    <w:rsid w:val="00D37F61"/>
    <w:rsid w:val="00D44F6C"/>
    <w:rsid w:val="00D45668"/>
    <w:rsid w:val="00D51112"/>
    <w:rsid w:val="00D5356C"/>
    <w:rsid w:val="00D65CB7"/>
    <w:rsid w:val="00D825EE"/>
    <w:rsid w:val="00D83079"/>
    <w:rsid w:val="00D91652"/>
    <w:rsid w:val="00DA4376"/>
    <w:rsid w:val="00DA619D"/>
    <w:rsid w:val="00DC3AC3"/>
    <w:rsid w:val="00DC7A2C"/>
    <w:rsid w:val="00DD70F9"/>
    <w:rsid w:val="00DD7585"/>
    <w:rsid w:val="00DE5524"/>
    <w:rsid w:val="00DF5BD8"/>
    <w:rsid w:val="00DF6266"/>
    <w:rsid w:val="00E00988"/>
    <w:rsid w:val="00E016AA"/>
    <w:rsid w:val="00E04720"/>
    <w:rsid w:val="00E05CC3"/>
    <w:rsid w:val="00E06826"/>
    <w:rsid w:val="00E14764"/>
    <w:rsid w:val="00E205F0"/>
    <w:rsid w:val="00E24AB4"/>
    <w:rsid w:val="00E368C3"/>
    <w:rsid w:val="00E4690D"/>
    <w:rsid w:val="00E908AF"/>
    <w:rsid w:val="00E927EC"/>
    <w:rsid w:val="00E93662"/>
    <w:rsid w:val="00E93FB3"/>
    <w:rsid w:val="00E94418"/>
    <w:rsid w:val="00EA5784"/>
    <w:rsid w:val="00EB3729"/>
    <w:rsid w:val="00ED141A"/>
    <w:rsid w:val="00ED1E01"/>
    <w:rsid w:val="00F0539B"/>
    <w:rsid w:val="00F20108"/>
    <w:rsid w:val="00F51693"/>
    <w:rsid w:val="00F5766F"/>
    <w:rsid w:val="00F677DE"/>
    <w:rsid w:val="00F929EA"/>
    <w:rsid w:val="00F95902"/>
    <w:rsid w:val="00FA3492"/>
    <w:rsid w:val="00FC64B0"/>
    <w:rsid w:val="00FC78F2"/>
    <w:rsid w:val="00FD1D0B"/>
    <w:rsid w:val="00FD21FD"/>
    <w:rsid w:val="00FE063C"/>
    <w:rsid w:val="00FF2D9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286"/>
    <o:shapelayout v:ext="edit">
      <o:idmap v:ext="edit" data="1"/>
    </o:shapelayout>
  </w:shapeDefaults>
  <w:decimalSymbol w:val="."/>
  <w:listSeparator w:val=","/>
  <w14:docId w14:val="3A11309E"/>
  <w15:chartTrackingRefBased/>
  <w15:docId w15:val="{BBF9FCF1-B0F0-48DA-9873-657F0B64C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252"/>
  </w:style>
  <w:style w:type="paragraph" w:styleId="Heading2">
    <w:name w:val="heading 2"/>
    <w:basedOn w:val="Normal"/>
    <w:next w:val="Normal"/>
    <w:link w:val="Heading2Char"/>
    <w:uiPriority w:val="9"/>
    <w:unhideWhenUsed/>
    <w:qFormat/>
    <w:rsid w:val="0027681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7681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276817"/>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A6A7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A6A78"/>
  </w:style>
  <w:style w:type="paragraph" w:styleId="Footer">
    <w:name w:val="footer"/>
    <w:basedOn w:val="Normal"/>
    <w:link w:val="FooterChar"/>
    <w:uiPriority w:val="99"/>
    <w:unhideWhenUsed/>
    <w:rsid w:val="005A6A7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A6A78"/>
  </w:style>
  <w:style w:type="paragraph" w:styleId="BalloonText">
    <w:name w:val="Balloon Text"/>
    <w:basedOn w:val="Normal"/>
    <w:link w:val="BalloonTextChar"/>
    <w:uiPriority w:val="99"/>
    <w:semiHidden/>
    <w:unhideWhenUsed/>
    <w:rsid w:val="006916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1670"/>
    <w:rPr>
      <w:rFonts w:ascii="Segoe UI" w:hAnsi="Segoe UI" w:cs="Segoe UI"/>
      <w:sz w:val="18"/>
      <w:szCs w:val="18"/>
    </w:rPr>
  </w:style>
  <w:style w:type="character" w:customStyle="1" w:styleId="Heading2Char">
    <w:name w:val="Heading 2 Char"/>
    <w:basedOn w:val="DefaultParagraphFont"/>
    <w:link w:val="Heading2"/>
    <w:uiPriority w:val="9"/>
    <w:rsid w:val="0027681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27681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276817"/>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0593883">
      <w:bodyDiv w:val="1"/>
      <w:marLeft w:val="0"/>
      <w:marRight w:val="0"/>
      <w:marTop w:val="0"/>
      <w:marBottom w:val="0"/>
      <w:divBdr>
        <w:top w:val="none" w:sz="0" w:space="0" w:color="auto"/>
        <w:left w:val="none" w:sz="0" w:space="0" w:color="auto"/>
        <w:bottom w:val="none" w:sz="0" w:space="0" w:color="auto"/>
        <w:right w:val="none" w:sz="0" w:space="0" w:color="auto"/>
      </w:divBdr>
    </w:div>
    <w:div w:id="1118911556">
      <w:bodyDiv w:val="1"/>
      <w:marLeft w:val="0"/>
      <w:marRight w:val="0"/>
      <w:marTop w:val="0"/>
      <w:marBottom w:val="0"/>
      <w:divBdr>
        <w:top w:val="none" w:sz="0" w:space="0" w:color="auto"/>
        <w:left w:val="none" w:sz="0" w:space="0" w:color="auto"/>
        <w:bottom w:val="none" w:sz="0" w:space="0" w:color="auto"/>
        <w:right w:val="none" w:sz="0" w:space="0" w:color="auto"/>
      </w:divBdr>
    </w:div>
    <w:div w:id="1127354961">
      <w:bodyDiv w:val="1"/>
      <w:marLeft w:val="0"/>
      <w:marRight w:val="0"/>
      <w:marTop w:val="0"/>
      <w:marBottom w:val="0"/>
      <w:divBdr>
        <w:top w:val="none" w:sz="0" w:space="0" w:color="auto"/>
        <w:left w:val="none" w:sz="0" w:space="0" w:color="auto"/>
        <w:bottom w:val="none" w:sz="0" w:space="0" w:color="auto"/>
        <w:right w:val="none" w:sz="0" w:space="0" w:color="auto"/>
      </w:divBdr>
    </w:div>
    <w:div w:id="1421759198">
      <w:bodyDiv w:val="1"/>
      <w:marLeft w:val="0"/>
      <w:marRight w:val="0"/>
      <w:marTop w:val="0"/>
      <w:marBottom w:val="0"/>
      <w:divBdr>
        <w:top w:val="none" w:sz="0" w:space="0" w:color="auto"/>
        <w:left w:val="none" w:sz="0" w:space="0" w:color="auto"/>
        <w:bottom w:val="none" w:sz="0" w:space="0" w:color="auto"/>
        <w:right w:val="none" w:sz="0" w:space="0" w:color="auto"/>
      </w:divBdr>
    </w:div>
    <w:div w:id="1574899924">
      <w:bodyDiv w:val="1"/>
      <w:marLeft w:val="0"/>
      <w:marRight w:val="0"/>
      <w:marTop w:val="0"/>
      <w:marBottom w:val="0"/>
      <w:divBdr>
        <w:top w:val="none" w:sz="0" w:space="0" w:color="auto"/>
        <w:left w:val="none" w:sz="0" w:space="0" w:color="auto"/>
        <w:bottom w:val="none" w:sz="0" w:space="0" w:color="auto"/>
        <w:right w:val="none" w:sz="0" w:space="0" w:color="auto"/>
      </w:divBdr>
    </w:div>
    <w:div w:id="1611009637">
      <w:bodyDiv w:val="1"/>
      <w:marLeft w:val="0"/>
      <w:marRight w:val="0"/>
      <w:marTop w:val="0"/>
      <w:marBottom w:val="0"/>
      <w:divBdr>
        <w:top w:val="none" w:sz="0" w:space="0" w:color="auto"/>
        <w:left w:val="none" w:sz="0" w:space="0" w:color="auto"/>
        <w:bottom w:val="none" w:sz="0" w:space="0" w:color="auto"/>
        <w:right w:val="none" w:sz="0" w:space="0" w:color="auto"/>
      </w:divBdr>
    </w:div>
    <w:div w:id="1645239684">
      <w:bodyDiv w:val="1"/>
      <w:marLeft w:val="0"/>
      <w:marRight w:val="0"/>
      <w:marTop w:val="0"/>
      <w:marBottom w:val="0"/>
      <w:divBdr>
        <w:top w:val="none" w:sz="0" w:space="0" w:color="auto"/>
        <w:left w:val="none" w:sz="0" w:space="0" w:color="auto"/>
        <w:bottom w:val="none" w:sz="0" w:space="0" w:color="auto"/>
        <w:right w:val="none" w:sz="0" w:space="0" w:color="auto"/>
      </w:divBdr>
    </w:div>
    <w:div w:id="1906916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emf"/><Relationship Id="rId21" Type="http://schemas.openxmlformats.org/officeDocument/2006/relationships/image" Target="media/image9.emf"/><Relationship Id="rId42" Type="http://schemas.openxmlformats.org/officeDocument/2006/relationships/oleObject" Target="embeddings/oleObject12.bin"/><Relationship Id="rId63" Type="http://schemas.openxmlformats.org/officeDocument/2006/relationships/image" Target="media/image37.jpeg"/><Relationship Id="rId84" Type="http://schemas.openxmlformats.org/officeDocument/2006/relationships/image" Target="media/image51.emf"/><Relationship Id="rId138" Type="http://schemas.openxmlformats.org/officeDocument/2006/relationships/image" Target="media/image87.png"/><Relationship Id="rId107" Type="http://schemas.openxmlformats.org/officeDocument/2006/relationships/image" Target="media/image66.png"/><Relationship Id="rId11" Type="http://schemas.openxmlformats.org/officeDocument/2006/relationships/oleObject" Target="embeddings/oleObject1.bin"/><Relationship Id="rId32" Type="http://schemas.openxmlformats.org/officeDocument/2006/relationships/oleObject" Target="embeddings/oleObject9.bin"/><Relationship Id="rId53" Type="http://schemas.openxmlformats.org/officeDocument/2006/relationships/image" Target="media/image31.emf"/><Relationship Id="rId74" Type="http://schemas.openxmlformats.org/officeDocument/2006/relationships/image" Target="media/image45.emf"/><Relationship Id="rId128" Type="http://schemas.openxmlformats.org/officeDocument/2006/relationships/image" Target="media/image80.emf"/><Relationship Id="rId149" Type="http://schemas.openxmlformats.org/officeDocument/2006/relationships/image" Target="media/image98.jpeg"/><Relationship Id="rId5" Type="http://schemas.openxmlformats.org/officeDocument/2006/relationships/webSettings" Target="webSettings.xml"/><Relationship Id="rId95" Type="http://schemas.openxmlformats.org/officeDocument/2006/relationships/oleObject" Target="embeddings/oleObject30.bin"/><Relationship Id="rId22" Type="http://schemas.openxmlformats.org/officeDocument/2006/relationships/image" Target="media/image10.emf"/><Relationship Id="rId27" Type="http://schemas.openxmlformats.org/officeDocument/2006/relationships/image" Target="media/image13.jpeg"/><Relationship Id="rId43" Type="http://schemas.openxmlformats.org/officeDocument/2006/relationships/image" Target="media/image24.jpeg"/><Relationship Id="rId48" Type="http://schemas.openxmlformats.org/officeDocument/2006/relationships/image" Target="media/image27.png"/><Relationship Id="rId64" Type="http://schemas.openxmlformats.org/officeDocument/2006/relationships/image" Target="media/image38.emf"/><Relationship Id="rId69" Type="http://schemas.openxmlformats.org/officeDocument/2006/relationships/image" Target="media/image41.jpeg"/><Relationship Id="rId113" Type="http://schemas.openxmlformats.org/officeDocument/2006/relationships/image" Target="media/image70.png"/><Relationship Id="rId118" Type="http://schemas.openxmlformats.org/officeDocument/2006/relationships/oleObject" Target="embeddings/oleObject38.bin"/><Relationship Id="rId134" Type="http://schemas.openxmlformats.org/officeDocument/2006/relationships/image" Target="media/image84.png"/><Relationship Id="rId139" Type="http://schemas.openxmlformats.org/officeDocument/2006/relationships/image" Target="media/image88.jpeg"/><Relationship Id="rId80" Type="http://schemas.openxmlformats.org/officeDocument/2006/relationships/oleObject" Target="embeddings/oleObject25.bin"/><Relationship Id="rId85" Type="http://schemas.openxmlformats.org/officeDocument/2006/relationships/oleObject" Target="embeddings/oleObject27.bin"/><Relationship Id="rId150" Type="http://schemas.openxmlformats.org/officeDocument/2006/relationships/image" Target="media/image99.png"/><Relationship Id="rId12" Type="http://schemas.openxmlformats.org/officeDocument/2006/relationships/image" Target="media/image4.jpeg"/><Relationship Id="rId17" Type="http://schemas.openxmlformats.org/officeDocument/2006/relationships/image" Target="media/image7.jpeg"/><Relationship Id="rId33" Type="http://schemas.openxmlformats.org/officeDocument/2006/relationships/image" Target="media/image17.jpeg"/><Relationship Id="rId38" Type="http://schemas.openxmlformats.org/officeDocument/2006/relationships/image" Target="media/image21.jpeg"/><Relationship Id="rId59" Type="http://schemas.openxmlformats.org/officeDocument/2006/relationships/image" Target="media/image35.emf"/><Relationship Id="rId103" Type="http://schemas.openxmlformats.org/officeDocument/2006/relationships/oleObject" Target="embeddings/oleObject33.bin"/><Relationship Id="rId108" Type="http://schemas.openxmlformats.org/officeDocument/2006/relationships/image" Target="media/image67.jpeg"/><Relationship Id="rId124" Type="http://schemas.openxmlformats.org/officeDocument/2006/relationships/oleObject" Target="embeddings/oleObject40.bin"/><Relationship Id="rId129" Type="http://schemas.openxmlformats.org/officeDocument/2006/relationships/oleObject" Target="embeddings/oleObject42.bin"/><Relationship Id="rId54" Type="http://schemas.openxmlformats.org/officeDocument/2006/relationships/oleObject" Target="embeddings/oleObject16.bin"/><Relationship Id="rId70" Type="http://schemas.openxmlformats.org/officeDocument/2006/relationships/image" Target="media/image42.emf"/><Relationship Id="rId75" Type="http://schemas.openxmlformats.org/officeDocument/2006/relationships/oleObject" Target="embeddings/oleObject23.bin"/><Relationship Id="rId91" Type="http://schemas.openxmlformats.org/officeDocument/2006/relationships/image" Target="media/image56.emf"/><Relationship Id="rId96" Type="http://schemas.openxmlformats.org/officeDocument/2006/relationships/image" Target="media/image59.png"/><Relationship Id="rId140" Type="http://schemas.openxmlformats.org/officeDocument/2006/relationships/image" Target="media/image89.png"/><Relationship Id="rId145"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6.bin"/><Relationship Id="rId28" Type="http://schemas.openxmlformats.org/officeDocument/2006/relationships/image" Target="media/image14.emf"/><Relationship Id="rId49" Type="http://schemas.openxmlformats.org/officeDocument/2006/relationships/image" Target="media/image28.emf"/><Relationship Id="rId114" Type="http://schemas.openxmlformats.org/officeDocument/2006/relationships/image" Target="media/image71.emf"/><Relationship Id="rId119" Type="http://schemas.openxmlformats.org/officeDocument/2006/relationships/image" Target="media/image74.png"/><Relationship Id="rId44" Type="http://schemas.openxmlformats.org/officeDocument/2006/relationships/image" Target="media/image25.emf"/><Relationship Id="rId60" Type="http://schemas.openxmlformats.org/officeDocument/2006/relationships/oleObject" Target="embeddings/oleObject18.bin"/><Relationship Id="rId65" Type="http://schemas.openxmlformats.org/officeDocument/2006/relationships/oleObject" Target="embeddings/oleObject20.bin"/><Relationship Id="rId81" Type="http://schemas.openxmlformats.org/officeDocument/2006/relationships/image" Target="media/image49.png"/><Relationship Id="rId86" Type="http://schemas.openxmlformats.org/officeDocument/2006/relationships/image" Target="media/image52.png"/><Relationship Id="rId130" Type="http://schemas.openxmlformats.org/officeDocument/2006/relationships/image" Target="media/image81.png"/><Relationship Id="rId135" Type="http://schemas.openxmlformats.org/officeDocument/2006/relationships/image" Target="media/image85.emf"/><Relationship Id="rId151"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oleObject" Target="embeddings/oleObject4.bin"/><Relationship Id="rId39" Type="http://schemas.openxmlformats.org/officeDocument/2006/relationships/oleObject" Target="embeddings/oleObject11.bin"/><Relationship Id="rId109" Type="http://schemas.openxmlformats.org/officeDocument/2006/relationships/image" Target="media/image68.emf"/><Relationship Id="rId34" Type="http://schemas.openxmlformats.org/officeDocument/2006/relationships/image" Target="media/image18.emf"/><Relationship Id="rId50" Type="http://schemas.openxmlformats.org/officeDocument/2006/relationships/oleObject" Target="embeddings/oleObject15.bin"/><Relationship Id="rId55" Type="http://schemas.openxmlformats.org/officeDocument/2006/relationships/image" Target="media/image32.emf"/><Relationship Id="rId76" Type="http://schemas.openxmlformats.org/officeDocument/2006/relationships/image" Target="media/image46.emf"/><Relationship Id="rId97" Type="http://schemas.openxmlformats.org/officeDocument/2006/relationships/image" Target="media/image60.emf"/><Relationship Id="rId104" Type="http://schemas.openxmlformats.org/officeDocument/2006/relationships/image" Target="media/image64.jpeg"/><Relationship Id="rId120" Type="http://schemas.openxmlformats.org/officeDocument/2006/relationships/image" Target="media/image75.emf"/><Relationship Id="rId125" Type="http://schemas.openxmlformats.org/officeDocument/2006/relationships/image" Target="media/image78.emf"/><Relationship Id="rId141" Type="http://schemas.openxmlformats.org/officeDocument/2006/relationships/image" Target="media/image90.jpeg"/><Relationship Id="rId146"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oleObject" Target="embeddings/oleObject22.bin"/><Relationship Id="rId92" Type="http://schemas.openxmlformats.org/officeDocument/2006/relationships/oleObject" Target="embeddings/oleObject29.bin"/><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11.jpeg"/><Relationship Id="rId40" Type="http://schemas.openxmlformats.org/officeDocument/2006/relationships/image" Target="media/image22.jpeg"/><Relationship Id="rId45" Type="http://schemas.openxmlformats.org/officeDocument/2006/relationships/oleObject" Target="embeddings/oleObject13.bin"/><Relationship Id="rId66" Type="http://schemas.openxmlformats.org/officeDocument/2006/relationships/image" Target="media/image39.jpeg"/><Relationship Id="rId87" Type="http://schemas.openxmlformats.org/officeDocument/2006/relationships/image" Target="media/image53.emf"/><Relationship Id="rId110" Type="http://schemas.openxmlformats.org/officeDocument/2006/relationships/oleObject" Target="embeddings/oleObject35.bin"/><Relationship Id="rId115" Type="http://schemas.openxmlformats.org/officeDocument/2006/relationships/oleObject" Target="embeddings/oleObject37.bin"/><Relationship Id="rId131" Type="http://schemas.openxmlformats.org/officeDocument/2006/relationships/image" Target="media/image82.emf"/><Relationship Id="rId136" Type="http://schemas.openxmlformats.org/officeDocument/2006/relationships/oleObject" Target="embeddings/oleObject44.bin"/><Relationship Id="rId61" Type="http://schemas.openxmlformats.org/officeDocument/2006/relationships/image" Target="media/image36.emf"/><Relationship Id="rId82" Type="http://schemas.openxmlformats.org/officeDocument/2006/relationships/oleObject" Target="embeddings/oleObject26.bin"/><Relationship Id="rId152"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oleObject" Target="embeddings/oleObject2.bin"/><Relationship Id="rId30" Type="http://schemas.openxmlformats.org/officeDocument/2006/relationships/image" Target="media/image15.png"/><Relationship Id="rId35" Type="http://schemas.openxmlformats.org/officeDocument/2006/relationships/oleObject" Target="embeddings/oleObject10.bin"/><Relationship Id="rId56" Type="http://schemas.openxmlformats.org/officeDocument/2006/relationships/oleObject" Target="embeddings/oleObject17.bin"/><Relationship Id="rId77" Type="http://schemas.openxmlformats.org/officeDocument/2006/relationships/oleObject" Target="embeddings/oleObject24.bin"/><Relationship Id="rId100" Type="http://schemas.openxmlformats.org/officeDocument/2006/relationships/oleObject" Target="embeddings/oleObject32.bin"/><Relationship Id="rId105" Type="http://schemas.openxmlformats.org/officeDocument/2006/relationships/image" Target="media/image65.emf"/><Relationship Id="rId126" Type="http://schemas.openxmlformats.org/officeDocument/2006/relationships/oleObject" Target="embeddings/oleObject41.bin"/><Relationship Id="rId147" Type="http://schemas.openxmlformats.org/officeDocument/2006/relationships/image" Target="media/image96.jpeg"/><Relationship Id="rId8" Type="http://schemas.openxmlformats.org/officeDocument/2006/relationships/image" Target="media/image1.gif"/><Relationship Id="rId51" Type="http://schemas.openxmlformats.org/officeDocument/2006/relationships/image" Target="media/image29.jpeg"/><Relationship Id="rId72" Type="http://schemas.openxmlformats.org/officeDocument/2006/relationships/image" Target="media/image43.jpeg"/><Relationship Id="rId93" Type="http://schemas.openxmlformats.org/officeDocument/2006/relationships/image" Target="media/image57.jpeg"/><Relationship Id="rId98" Type="http://schemas.openxmlformats.org/officeDocument/2006/relationships/oleObject" Target="embeddings/oleObject31.bin"/><Relationship Id="rId121" Type="http://schemas.openxmlformats.org/officeDocument/2006/relationships/oleObject" Target="embeddings/oleObject39.bin"/><Relationship Id="rId142"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26.jpeg"/><Relationship Id="rId67" Type="http://schemas.openxmlformats.org/officeDocument/2006/relationships/image" Target="media/image40.emf"/><Relationship Id="rId116" Type="http://schemas.openxmlformats.org/officeDocument/2006/relationships/image" Target="media/image72.jpeg"/><Relationship Id="rId137" Type="http://schemas.openxmlformats.org/officeDocument/2006/relationships/image" Target="media/image86.jpeg"/><Relationship Id="rId20" Type="http://schemas.openxmlformats.org/officeDocument/2006/relationships/oleObject" Target="embeddings/oleObject5.bin"/><Relationship Id="rId41" Type="http://schemas.openxmlformats.org/officeDocument/2006/relationships/image" Target="media/image23.emf"/><Relationship Id="rId62" Type="http://schemas.openxmlformats.org/officeDocument/2006/relationships/oleObject" Target="embeddings/oleObject19.bin"/><Relationship Id="rId83" Type="http://schemas.openxmlformats.org/officeDocument/2006/relationships/image" Target="media/image50.jpeg"/><Relationship Id="rId88" Type="http://schemas.openxmlformats.org/officeDocument/2006/relationships/oleObject" Target="embeddings/oleObject28.bin"/><Relationship Id="rId111" Type="http://schemas.openxmlformats.org/officeDocument/2006/relationships/image" Target="media/image69.emf"/><Relationship Id="rId132" Type="http://schemas.openxmlformats.org/officeDocument/2006/relationships/oleObject" Target="embeddings/oleObject43.bin"/><Relationship Id="rId153" Type="http://schemas.openxmlformats.org/officeDocument/2006/relationships/theme" Target="theme/theme1.xml"/><Relationship Id="rId15" Type="http://schemas.openxmlformats.org/officeDocument/2006/relationships/image" Target="media/image6.emf"/><Relationship Id="rId36" Type="http://schemas.openxmlformats.org/officeDocument/2006/relationships/image" Target="media/image19.jpeg"/><Relationship Id="rId57" Type="http://schemas.openxmlformats.org/officeDocument/2006/relationships/image" Target="media/image33.jpeg"/><Relationship Id="rId106" Type="http://schemas.openxmlformats.org/officeDocument/2006/relationships/oleObject" Target="embeddings/oleObject34.bin"/><Relationship Id="rId127" Type="http://schemas.openxmlformats.org/officeDocument/2006/relationships/image" Target="media/image79.jpeg"/><Relationship Id="rId10" Type="http://schemas.openxmlformats.org/officeDocument/2006/relationships/image" Target="media/image3.emf"/><Relationship Id="rId31" Type="http://schemas.openxmlformats.org/officeDocument/2006/relationships/image" Target="media/image16.emf"/><Relationship Id="rId52" Type="http://schemas.openxmlformats.org/officeDocument/2006/relationships/image" Target="media/image30.jpeg"/><Relationship Id="rId73" Type="http://schemas.openxmlformats.org/officeDocument/2006/relationships/image" Target="media/image44.jpeg"/><Relationship Id="rId78" Type="http://schemas.openxmlformats.org/officeDocument/2006/relationships/image" Target="media/image47.jpeg"/><Relationship Id="rId94" Type="http://schemas.openxmlformats.org/officeDocument/2006/relationships/image" Target="media/image58.emf"/><Relationship Id="rId99" Type="http://schemas.openxmlformats.org/officeDocument/2006/relationships/image" Target="media/image61.emf"/><Relationship Id="rId101" Type="http://schemas.openxmlformats.org/officeDocument/2006/relationships/image" Target="media/image62.jpeg"/><Relationship Id="rId122" Type="http://schemas.openxmlformats.org/officeDocument/2006/relationships/image" Target="media/image76.jpeg"/><Relationship Id="rId143" Type="http://schemas.openxmlformats.org/officeDocument/2006/relationships/image" Target="media/image92.jpeg"/><Relationship Id="rId148"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oleObject" Target="embeddings/oleObject7.bin"/><Relationship Id="rId47" Type="http://schemas.openxmlformats.org/officeDocument/2006/relationships/oleObject" Target="embeddings/oleObject14.bin"/><Relationship Id="rId68" Type="http://schemas.openxmlformats.org/officeDocument/2006/relationships/oleObject" Target="embeddings/oleObject21.bin"/><Relationship Id="rId89" Type="http://schemas.openxmlformats.org/officeDocument/2006/relationships/image" Target="media/image54.jpeg"/><Relationship Id="rId112" Type="http://schemas.openxmlformats.org/officeDocument/2006/relationships/oleObject" Target="embeddings/oleObject36.bin"/><Relationship Id="rId133" Type="http://schemas.openxmlformats.org/officeDocument/2006/relationships/image" Target="media/image83.jpeg"/><Relationship Id="rId16" Type="http://schemas.openxmlformats.org/officeDocument/2006/relationships/oleObject" Target="embeddings/oleObject3.bin"/><Relationship Id="rId37" Type="http://schemas.openxmlformats.org/officeDocument/2006/relationships/image" Target="media/image20.emf"/><Relationship Id="rId58" Type="http://schemas.openxmlformats.org/officeDocument/2006/relationships/image" Target="media/image34.jpeg"/><Relationship Id="rId79" Type="http://schemas.openxmlformats.org/officeDocument/2006/relationships/image" Target="media/image48.emf"/><Relationship Id="rId102" Type="http://schemas.openxmlformats.org/officeDocument/2006/relationships/image" Target="media/image63.emf"/><Relationship Id="rId123" Type="http://schemas.openxmlformats.org/officeDocument/2006/relationships/image" Target="media/image77.emf"/><Relationship Id="rId144" Type="http://schemas.openxmlformats.org/officeDocument/2006/relationships/image" Target="media/image93.png"/><Relationship Id="rId90"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IST02.XSL" StyleName="SIST02" Version="2003"/>
</file>

<file path=customXml/itemProps1.xml><?xml version="1.0" encoding="utf-8"?>
<ds:datastoreItem xmlns:ds="http://schemas.openxmlformats.org/officeDocument/2006/customXml" ds:itemID="{8158DDED-D8D3-418E-8EA9-59E70D928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65</Pages>
  <Words>10107</Words>
  <Characters>57613</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Ahmed Ragab Mohamed Abdel-Wahab</dc:creator>
  <cp:keywords/>
  <dc:description/>
  <cp:lastModifiedBy>Ahmed Ragab Mohamed Abdel-Wahab</cp:lastModifiedBy>
  <cp:revision>16</cp:revision>
  <cp:lastPrinted>2019-06-06T09:16:00Z</cp:lastPrinted>
  <dcterms:created xsi:type="dcterms:W3CDTF">2020-01-25T16:21:00Z</dcterms:created>
  <dcterms:modified xsi:type="dcterms:W3CDTF">2021-07-28T23:42:00Z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ahmed_ragab7@ymail.com@www.mendeley.com</vt:lpwstr>
  </property>
  <property fmtid="{D5CDD505-2E9C-101B-9397-08002B2CF9AE}" pid="4" name="Mendeley Citation Style_1">
    <vt:lpwstr>http://www.zotero.org/styles/european-journal-of-medicinal-chemistry</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http://www.zotero.org/styles/bioorganic-and-medicinal-chemistry-letters</vt:lpwstr>
  </property>
  <property fmtid="{D5CDD505-2E9C-101B-9397-08002B2CF9AE}" pid="14" name="Mendeley Recent Style Name 4_1">
    <vt:lpwstr>Bioorganic &amp; Medicinal Chemistry Letters</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17th edition (author-date)</vt:lpwstr>
  </property>
  <property fmtid="{D5CDD505-2E9C-101B-9397-08002B2CF9AE}" pid="17" name="Mendeley Recent Style Id 6_1">
    <vt:lpwstr>http://www.zotero.org/styles/european-journal-of-medicinal-chemistry</vt:lpwstr>
  </property>
  <property fmtid="{D5CDD505-2E9C-101B-9397-08002B2CF9AE}" pid="18" name="Mendeley Recent Style Name 6_1">
    <vt:lpwstr>European Journal of Medicinal Chemistry</vt:lpwstr>
  </property>
  <property fmtid="{D5CDD505-2E9C-101B-9397-08002B2CF9AE}" pid="19" name="Mendeley Recent Style Id 7_1">
    <vt:lpwstr>http://www.zotero.org/styles/harvard1</vt:lpwstr>
  </property>
  <property fmtid="{D5CDD505-2E9C-101B-9397-08002B2CF9AE}" pid="20" name="Mendeley Recent Style Name 7_1">
    <vt:lpwstr>Harvard reference format 1 (deprecated)</vt:lpwstr>
  </property>
  <property fmtid="{D5CDD505-2E9C-101B-9397-08002B2CF9AE}" pid="21" name="Mendeley Recent Style Id 8_1">
    <vt:lpwstr>http://www.zotero.org/styles/ieee</vt:lpwstr>
  </property>
  <property fmtid="{D5CDD505-2E9C-101B-9397-08002B2CF9AE}" pid="22" name="Mendeley Recent Style Name 8_1">
    <vt:lpwstr>IEEE</vt:lpwstr>
  </property>
  <property fmtid="{D5CDD505-2E9C-101B-9397-08002B2CF9AE}" pid="23" name="Mendeley Recent Style Id 9_1">
    <vt:lpwstr>http://www.zotero.org/styles/journal-of-molecular-structure</vt:lpwstr>
  </property>
  <property fmtid="{D5CDD505-2E9C-101B-9397-08002B2CF9AE}" pid="24" name="Mendeley Recent Style Name 9_1">
    <vt:lpwstr>Journal of Molecular Structure</vt:lpwstr>
  </property>
</Properties>
</file>