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OLE_LINK749"/>
      <w:bookmarkStart w:id="1" w:name="OLE_LINK750"/>
      <w:bookmarkStart w:id="5" w:name="_GoBack"/>
      <w:r>
        <w:rPr>
          <w:rFonts w:ascii="Times New Roman" w:hAnsi="Times New Roman" w:cs="Times New Roman"/>
          <w:color w:val="auto"/>
          <w:sz w:val="20"/>
          <w:szCs w:val="20"/>
        </w:rPr>
        <w:t>Supporting information for</w:t>
      </w:r>
    </w:p>
    <w:p>
      <w:pPr>
        <w:spacing w:line="480" w:lineRule="auto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Hlk63084381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Fate and Behavior of Glufosinate-enantiomers and Their Metabolites in Soil and Weeds Under Open Field Condition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Yunfang Li</w:t>
      </w:r>
      <w:r>
        <w:rPr>
          <w:rFonts w:ascii="Times New Roman" w:hAnsi="Times New Roman" w:eastAsia="等线 Light" w:cs="Times New Roman"/>
          <w:b/>
          <w:bCs/>
          <w:color w:val="auto"/>
          <w:sz w:val="20"/>
          <w:szCs w:val="20"/>
          <w:vertAlign w:val="superscript"/>
        </w:rPr>
        <w:t>1</w:t>
      </w:r>
      <w:r>
        <w:rPr>
          <w:rFonts w:ascii="Times New Roman" w:hAnsi="Times New Roman" w:eastAsia="等线 Light" w:cs="Times New Roman"/>
          <w:b/>
          <w:bCs/>
          <w:color w:val="auto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Fei Wang</w:t>
      </w:r>
      <w:r>
        <w:rPr>
          <w:rFonts w:ascii="Times New Roman" w:hAnsi="Times New Roman" w:eastAsia="等线 Light" w:cs="Times New Roman"/>
          <w:b/>
          <w:bCs/>
          <w:color w:val="auto"/>
          <w:sz w:val="20"/>
          <w:szCs w:val="20"/>
          <w:vertAlign w:val="superscript"/>
        </w:rPr>
        <w:t>1</w:t>
      </w:r>
      <w:r>
        <w:rPr>
          <w:rFonts w:ascii="Times New Roman" w:hAnsi="Times New Roman" w:eastAsia="等线 Light" w:cs="Times New Roman"/>
          <w:b/>
          <w:bCs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Qiao Lin, Pengyu Deng, </w:t>
      </w:r>
      <w:r>
        <w:rPr>
          <w:rFonts w:ascii="Times New Roman" w:hAnsi="Times New Roman" w:eastAsia="等线 Light" w:cs="Times New Roman"/>
          <w:b/>
          <w:bCs/>
          <w:color w:val="auto"/>
          <w:sz w:val="20"/>
          <w:szCs w:val="20"/>
        </w:rPr>
        <w:t>Yuping Zhang</w:t>
      </w:r>
      <w:bookmarkEnd w:id="2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*, </w:t>
      </w:r>
      <w:r>
        <w:rPr>
          <w:rFonts w:ascii="Times New Roman" w:hAnsi="Times New Roman" w:eastAsia="等线 Light" w:cs="Times New Roman"/>
          <w:b/>
          <w:bCs/>
          <w:color w:val="auto"/>
          <w:sz w:val="20"/>
          <w:szCs w:val="20"/>
        </w:rPr>
        <w:t xml:space="preserve">Deyu Hu* </w:t>
      </w:r>
    </w:p>
    <w:p>
      <w:pPr>
        <w:widowControl/>
        <w:spacing w:line="480" w:lineRule="auto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State Key Laboratory Breeding Base of Green Pesticide and Agricultural Bioengineering, Key Laboratory of Green Pesticide and Agricultural Bioengineering, Ministry of Education, </w:t>
      </w:r>
      <w:bookmarkStart w:id="3" w:name="OLE_LINK17"/>
      <w:r>
        <w:rPr>
          <w:rFonts w:ascii="Times New Roman" w:hAnsi="Times New Roman" w:cs="Times New Roman"/>
          <w:color w:val="auto"/>
          <w:sz w:val="20"/>
          <w:szCs w:val="20"/>
        </w:rPr>
        <w:t>Guizhou University</w:t>
      </w:r>
      <w:bookmarkEnd w:id="3"/>
      <w:r>
        <w:rPr>
          <w:rFonts w:ascii="Times New Roman" w:hAnsi="Times New Roman" w:cs="Times New Roman"/>
          <w:color w:val="auto"/>
          <w:sz w:val="20"/>
          <w:szCs w:val="20"/>
        </w:rPr>
        <w:t>, Guiyang 550025, P. R. China.</w:t>
      </w:r>
    </w:p>
    <w:p>
      <w:pPr>
        <w:pStyle w:val="14"/>
        <w:spacing w:before="0" w:line="480" w:lineRule="auto"/>
        <w:jc w:val="both"/>
        <w:rPr>
          <w:color w:val="auto"/>
          <w:sz w:val="20"/>
          <w:szCs w:val="20"/>
          <w:lang w:eastAsia="zh-CN"/>
        </w:rPr>
      </w:pPr>
      <w:r>
        <w:rPr>
          <w:color w:val="auto"/>
          <w:sz w:val="20"/>
          <w:szCs w:val="20"/>
          <w:vertAlign w:val="superscript"/>
          <w:lang w:eastAsia="zh-CN"/>
        </w:rPr>
        <w:t>1</w:t>
      </w:r>
      <w:r>
        <w:rPr>
          <w:color w:val="auto"/>
        </w:rPr>
        <w:t xml:space="preserve"> </w:t>
      </w:r>
      <w:r>
        <w:rPr>
          <w:color w:val="auto"/>
          <w:sz w:val="20"/>
          <w:szCs w:val="20"/>
          <w:lang w:eastAsia="zh-CN"/>
        </w:rPr>
        <w:t>These authors contributed equally to this work.</w:t>
      </w:r>
    </w:p>
    <w:p>
      <w:pPr>
        <w:spacing w:line="48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* Correspondence: e-mail: zhangyupinggz@163.com (Yuping Zhang);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"mailto:gzu_dyhu@126.com" </w:instrText>
      </w:r>
      <w:r>
        <w:rPr>
          <w:color w:val="auto"/>
        </w:rPr>
        <w:fldChar w:fldCharType="separate"/>
      </w:r>
      <w:r>
        <w:rPr>
          <w:rStyle w:val="9"/>
          <w:rFonts w:ascii="Times New Roman" w:hAnsi="Times New Roman" w:cs="Times New Roman"/>
          <w:color w:val="auto"/>
          <w:sz w:val="20"/>
          <w:szCs w:val="20"/>
          <w:u w:val="none"/>
        </w:rPr>
        <w:t>gzu_dyhu@126.com</w:t>
      </w:r>
      <w:r>
        <w:rPr>
          <w:rStyle w:val="9"/>
          <w:rFonts w:ascii="Times New Roman" w:hAnsi="Times New Roman" w:cs="Times New Roman"/>
          <w:color w:val="auto"/>
          <w:sz w:val="20"/>
          <w:szCs w:val="20"/>
          <w:u w:val="none"/>
        </w:rPr>
        <w:fldChar w:fldCharType="end"/>
      </w:r>
      <w:r>
        <w:rPr>
          <w:rStyle w:val="9"/>
          <w:rFonts w:hint="eastAsia" w:ascii="Times New Roman" w:hAnsi="Times New Roman" w:cs="Times New Roman"/>
          <w:color w:val="auto"/>
          <w:sz w:val="20"/>
          <w:szCs w:val="20"/>
          <w:u w:val="none"/>
        </w:rPr>
        <w:t xml:space="preserve"> (Deyu Hu)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.</w:t>
      </w:r>
    </w:p>
    <w:p>
      <w:pPr>
        <w:spacing w:line="480" w:lineRule="auto"/>
        <w:rPr>
          <w:rFonts w:ascii="Times New Roman" w:hAnsi="Times New Roman" w:eastAsia="等线 Light" w:cs="Times New Roman"/>
          <w:color w:val="auto"/>
          <w:sz w:val="20"/>
          <w:szCs w:val="20"/>
        </w:rPr>
      </w:pPr>
      <w:r>
        <w:rPr>
          <w:rFonts w:ascii="Times New Roman" w:hAnsi="Times New Roman" w:eastAsia="等线 Light" w:cs="Times New Roman"/>
          <w:color w:val="auto"/>
          <w:sz w:val="20"/>
          <w:szCs w:val="20"/>
        </w:rPr>
        <w:t>Tel.: (+86) 851 8829 2090; Fax: (+86)851 8829 2090.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  <w:r>
        <w:rPr>
          <w:rFonts w:ascii="Times New Roman" w:hAnsi="Times New Roman" w:cs="Times New Roman"/>
          <w:color w:val="auto"/>
          <w:sz w:val="20"/>
          <w:szCs w:val="20"/>
        </w:rPr>
        <w:t>Table S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>Instrumental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color w:val="auto"/>
          <w:sz w:val="20"/>
          <w:szCs w:val="20"/>
        </w:rPr>
        <w:t xml:space="preserve">parameters </w:t>
      </w:r>
      <w:r>
        <w:rPr>
          <w:rFonts w:ascii="Times New Roman" w:hAnsi="Times New Roman" w:cs="Times New Roman"/>
          <w:color w:val="auto"/>
          <w:sz w:val="20"/>
          <w:szCs w:val="20"/>
        </w:rPr>
        <w:t>of glufosinate on HPLC-HRMS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3235"/>
        <w:gridCol w:w="2023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823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HPLC conditions</w:t>
            </w:r>
          </w:p>
        </w:tc>
        <w:tc>
          <w:tcPr>
            <w:tcW w:w="2177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HRMS conditions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5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column</w:t>
            </w:r>
          </w:p>
        </w:tc>
        <w:tc>
          <w:tcPr>
            <w:tcW w:w="1898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CROWNPAK CR (+) (150 mm × 4.6 mm, 5 μm; Daicel, Japan)</w:t>
            </w:r>
          </w:p>
        </w:tc>
        <w:tc>
          <w:tcPr>
            <w:tcW w:w="1187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Ion source</w:t>
            </w:r>
          </w:p>
        </w:tc>
        <w:tc>
          <w:tcPr>
            <w:tcW w:w="990" w:type="pc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25" w:type="pct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column</w:t>
            </w: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temperature</w:t>
            </w:r>
          </w:p>
        </w:tc>
        <w:tc>
          <w:tcPr>
            <w:tcW w:w="1898" w:type="pct"/>
            <w:vMerge w:val="restar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5.5 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℃</w:t>
            </w:r>
          </w:p>
        </w:tc>
        <w:tc>
          <w:tcPr>
            <w:tcW w:w="1187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Scanning mode</w:t>
            </w:r>
          </w:p>
        </w:tc>
        <w:tc>
          <w:tcPr>
            <w:tcW w:w="990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Target-SIM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5" w:type="pct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8" w:type="pct"/>
            <w:vMerge w:val="continue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esolution</w:t>
            </w:r>
          </w:p>
        </w:tc>
        <w:tc>
          <w:tcPr>
            <w:tcW w:w="990" w:type="pct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000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5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Sample plate temperature</w:t>
            </w:r>
          </w:p>
        </w:tc>
        <w:tc>
          <w:tcPr>
            <w:tcW w:w="1898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 °C</w:t>
            </w:r>
          </w:p>
        </w:tc>
        <w:tc>
          <w:tcPr>
            <w:tcW w:w="1187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Sheath gas, nitrogen (99.999 %)</w:t>
            </w:r>
          </w:p>
        </w:tc>
        <w:tc>
          <w:tcPr>
            <w:tcW w:w="990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mL/min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5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Mobile phase</w:t>
            </w:r>
          </w:p>
        </w:tc>
        <w:tc>
          <w:tcPr>
            <w:tcW w:w="1898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2 % formic acid aqueous solution (V/V)</w:t>
            </w:r>
          </w:p>
        </w:tc>
        <w:tc>
          <w:tcPr>
            <w:tcW w:w="1187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Auxiliary gas: Nitrogen (99.999 %),</w:t>
            </w:r>
          </w:p>
        </w:tc>
        <w:tc>
          <w:tcPr>
            <w:tcW w:w="990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mL/min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5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Flow rate</w:t>
            </w:r>
          </w:p>
        </w:tc>
        <w:tc>
          <w:tcPr>
            <w:tcW w:w="1898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0.3 mL/min</w:t>
            </w:r>
          </w:p>
        </w:tc>
        <w:tc>
          <w:tcPr>
            <w:tcW w:w="1187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Spraying voltage</w:t>
            </w:r>
          </w:p>
        </w:tc>
        <w:tc>
          <w:tcPr>
            <w:tcW w:w="990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3.5 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25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Injection volume</w:t>
            </w:r>
          </w:p>
        </w:tc>
        <w:tc>
          <w:tcPr>
            <w:tcW w:w="1898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μL</w:t>
            </w:r>
          </w:p>
        </w:tc>
        <w:tc>
          <w:tcPr>
            <w:tcW w:w="1187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Capillary temperature</w:t>
            </w:r>
          </w:p>
        </w:tc>
        <w:tc>
          <w:tcPr>
            <w:tcW w:w="990" w:type="pct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320 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25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Acquisition time</w:t>
            </w:r>
          </w:p>
        </w:tc>
        <w:tc>
          <w:tcPr>
            <w:tcW w:w="1898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12.00 min</w:t>
            </w:r>
          </w:p>
        </w:tc>
        <w:tc>
          <w:tcPr>
            <w:tcW w:w="1187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auxiliary gas heater temperature</w:t>
            </w:r>
          </w:p>
        </w:tc>
        <w:tc>
          <w:tcPr>
            <w:tcW w:w="990" w:type="pc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480 °C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p>
      <w:pPr>
        <w:widowControl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sz w:val="20"/>
          <w:szCs w:val="20"/>
        </w:rPr>
        <w:t>Table S</w:t>
      </w:r>
      <w:r>
        <w:rPr>
          <w:rFonts w:hint="eastAsia" w:ascii="Times New Roman" w:hAnsi="Times New Roman" w:eastAsia="宋体" w:cs="Times New Roman"/>
          <w:color w:val="auto"/>
          <w:sz w:val="20"/>
          <w:szCs w:val="20"/>
        </w:rPr>
        <w:t>2</w:t>
      </w:r>
      <w:r>
        <w:rPr>
          <w:rFonts w:ascii="Times New Roman" w:hAnsi="Times New Roman" w:eastAsia="宋体" w:cs="Times New Roman"/>
          <w:color w:val="auto"/>
          <w:sz w:val="20"/>
          <w:szCs w:val="20"/>
        </w:rPr>
        <w:t xml:space="preserve">. Calibration equations, correlation coefficients, and the MEs 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of D-</w:t>
      </w: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t>glufosinate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, L-</w:t>
      </w: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t>glufosinate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 xml:space="preserve">, MPP, NAG, and MPA in different matrices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tbl>
            <w:tblPr>
              <w:tblStyle w:val="6"/>
              <w:tblW w:w="8501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2"/>
              <w:gridCol w:w="944"/>
              <w:gridCol w:w="3105"/>
              <w:gridCol w:w="917"/>
              <w:gridCol w:w="810"/>
              <w:gridCol w:w="809"/>
              <w:gridCol w:w="94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  <w:jc w:val="center"/>
              </w:trPr>
              <w:tc>
                <w:tcPr>
                  <w:tcW w:w="972" w:type="dxa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Matrix</w:t>
                  </w:r>
                </w:p>
              </w:tc>
              <w:tc>
                <w:tcPr>
                  <w:tcW w:w="944" w:type="dxa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kern w:val="0"/>
                      <w:sz w:val="20"/>
                      <w:szCs w:val="20"/>
                    </w:rPr>
                    <w:t>Analyte</w:t>
                  </w:r>
                </w:p>
              </w:tc>
              <w:tc>
                <w:tcPr>
                  <w:tcW w:w="3105" w:type="dxa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Regression equation</w:t>
                  </w:r>
                </w:p>
              </w:tc>
              <w:tc>
                <w:tcPr>
                  <w:tcW w:w="917" w:type="dxa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single" w:color="auto" w:sz="12" w:space="0"/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Matrix effect</w:t>
                  </w:r>
                </w:p>
              </w:tc>
              <w:tc>
                <w:tcPr>
                  <w:tcW w:w="809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LOQ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mg/kg</w:t>
                  </w:r>
                </w:p>
              </w:tc>
              <w:tc>
                <w:tcPr>
                  <w:tcW w:w="944" w:type="dxa"/>
                  <w:tcBorders>
                    <w:top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LOD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mg/kg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tcBorders>
                    <w:top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0"/>
                      <w:szCs w:val="20"/>
                    </w:rPr>
                    <w:t>Solvent</w:t>
                  </w:r>
                </w:p>
              </w:tc>
              <w:tc>
                <w:tcPr>
                  <w:tcW w:w="944" w:type="dxa"/>
                  <w:tcBorders>
                    <w:top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tcBorders>
                    <w:top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146094304 x + 991037</w:t>
                  </w:r>
                </w:p>
              </w:tc>
              <w:tc>
                <w:tcPr>
                  <w:tcW w:w="917" w:type="dxa"/>
                  <w:tcBorders>
                    <w:top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1.0000</w:t>
                  </w:r>
                </w:p>
              </w:tc>
              <w:tc>
                <w:tcPr>
                  <w:tcW w:w="810" w:type="dxa"/>
                  <w:tcBorders>
                    <w:top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09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44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y= 150805380 x + 2495177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27304569 x + 72390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41103639 x + 696294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22649427 x + 719416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0.9994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/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0"/>
                      <w:szCs w:val="20"/>
                    </w:rPr>
                    <w:t>Guizhou soil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151122507 x - 101307.47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1.03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106849833 x + 2854258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0.71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20890610 x + 963364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0.77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34846928 x + 594097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0.85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29610725 x + 890761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1.31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 w:val="20"/>
                      <w:szCs w:val="20"/>
                    </w:rPr>
                    <w:t>Hunan soil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123126678 x - 302248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0.84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114522921 x + 6753226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0.76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1832652 x + 563247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0.67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29678929 x + 475067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0.72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18321721 x + 704753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0.81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Hainan soil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y=73184250x + 940424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0.50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y=109411210 x+1262386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0.73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16000865 x - 784398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0.9905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0.59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=11742277x +1032175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0.9967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0.29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4194226 x + 71373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0.9932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0.19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Guizhou weed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41744901 x + 2322492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0.9992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0.29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61321499 x + 896399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0.41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31905269 x + 514141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0.9996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1.17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64551252 x - 73330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1.57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18069504 x + 718308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0.9991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0.80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Hunan weed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90965677 x + 2113447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0.62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89657332 x + 1375309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0.59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34063381 x + 662020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1.0000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76334347 x - 1354986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0.9998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1.86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40616441 x + 647803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0.9999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1.79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Hainan weed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D-glu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127906926 x 876295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0.9997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 xml:space="preserve">0.88 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L-glu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y=199522833 x-3768202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0.9980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1.32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MPP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22588776x - 926969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0.9983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0.83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NAG</w:t>
                  </w:r>
                </w:p>
              </w:tc>
              <w:tc>
                <w:tcPr>
                  <w:tcW w:w="3105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 = 31500152 x - 930049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0.9990</w:t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0.77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  <w:jc w:val="center"/>
              </w:trPr>
              <w:tc>
                <w:tcPr>
                  <w:tcW w:w="972" w:type="dxa"/>
                  <w:vMerge w:val="continue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MPA</w:t>
                  </w:r>
                </w:p>
              </w:tc>
              <w:tc>
                <w:tcPr>
                  <w:tcW w:w="3105" w:type="dxa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y=26331496 x - 294,418</w:t>
                  </w:r>
                </w:p>
              </w:tc>
              <w:tc>
                <w:tcPr>
                  <w:tcW w:w="917" w:type="dxa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0.9997</w:t>
                  </w:r>
                </w:p>
              </w:tc>
              <w:tc>
                <w:tcPr>
                  <w:tcW w:w="810" w:type="dxa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1.16</w:t>
                  </w:r>
                </w:p>
              </w:tc>
              <w:tc>
                <w:tcPr>
                  <w:tcW w:w="809" w:type="dxa"/>
                  <w:tcBorders>
                    <w:bottom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0.08</w:t>
                  </w:r>
                </w:p>
              </w:tc>
              <w:tc>
                <w:tcPr>
                  <w:tcW w:w="944" w:type="dxa"/>
                  <w:tcBorders>
                    <w:bottom w:val="single" w:color="auto" w:sz="12" w:space="0"/>
                  </w:tcBorders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color w:val="auto"/>
                      <w:sz w:val="20"/>
                      <w:szCs w:val="20"/>
                    </w:rPr>
                    <w:t>0.02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bookmarkEnd w:id="0"/>
    <w:bookmarkEnd w:id="1"/>
    <w:p>
      <w:pPr>
        <w:widowControl/>
        <w:jc w:val="left"/>
        <w:rPr>
          <w:rFonts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br w:type="page"/>
      </w: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t>Table S</w:t>
      </w:r>
      <w:r>
        <w:rPr>
          <w:rFonts w:hint="eastAsia" w:ascii="Times New Roman" w:hAnsi="Times New Roman" w:cs="Times New Roman"/>
          <w:color w:val="auto"/>
          <w:kern w:val="0"/>
          <w:sz w:val="20"/>
          <w:szCs w:val="20"/>
        </w:rPr>
        <w:t>3</w:t>
      </w: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t xml:space="preserve"> The mean recoveries and RSDs for glufosinate enantiomers and their metabolites in weed and soil (n=5)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20"/>
        <w:gridCol w:w="1617"/>
        <w:gridCol w:w="934"/>
        <w:gridCol w:w="1590"/>
        <w:gridCol w:w="12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37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Analyte</w:t>
            </w:r>
          </w:p>
        </w:tc>
        <w:tc>
          <w:tcPr>
            <w:tcW w:w="892" w:type="pct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Spiked level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(mg/kg)</w:t>
            </w:r>
          </w:p>
        </w:tc>
        <w:tc>
          <w:tcPr>
            <w:tcW w:w="1497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Weed (n = 5)</w:t>
            </w:r>
          </w:p>
        </w:tc>
        <w:tc>
          <w:tcPr>
            <w:tcW w:w="1674" w:type="pct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Soil (n = 5)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37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Mean recovery (%)</w:t>
            </w:r>
          </w:p>
        </w:tc>
        <w:tc>
          <w:tcPr>
            <w:tcW w:w="548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RSD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</w:t>
            </w:r>
          </w:p>
        </w:tc>
        <w:tc>
          <w:tcPr>
            <w:tcW w:w="933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Mean recovery (%)</w:t>
            </w:r>
          </w:p>
        </w:tc>
        <w:tc>
          <w:tcPr>
            <w:tcW w:w="741" w:type="pc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RSD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D-glufosinate</w:t>
            </w:r>
          </w:p>
        </w:tc>
        <w:tc>
          <w:tcPr>
            <w:tcW w:w="892" w:type="pc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0.04</w:t>
            </w:r>
          </w:p>
        </w:tc>
        <w:tc>
          <w:tcPr>
            <w:tcW w:w="949" w:type="pc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94.3</w:t>
            </w:r>
          </w:p>
        </w:tc>
        <w:tc>
          <w:tcPr>
            <w:tcW w:w="548" w:type="pc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6.8</w:t>
            </w:r>
          </w:p>
        </w:tc>
        <w:tc>
          <w:tcPr>
            <w:tcW w:w="933" w:type="pc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92.2</w:t>
            </w:r>
          </w:p>
        </w:tc>
        <w:tc>
          <w:tcPr>
            <w:tcW w:w="741" w:type="pct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79.7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6.3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92.4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84.3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7.4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89.5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84.3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7.4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89.5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L-glufosinate</w:t>
            </w: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0.04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93.5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8.5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87.2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79.6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7.8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88.3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82.3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5.6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88.0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82.3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5.6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88.0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MPP</w:t>
            </w: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83.2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6.7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84.0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82.4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5.6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82.4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81.4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7.8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83.4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NAG</w:t>
            </w: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85.8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84.8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83.5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7.2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85.8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81.9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5.8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84.5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MPA</w:t>
            </w: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78.6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7.4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83.4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37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949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81.7</w:t>
            </w:r>
          </w:p>
        </w:tc>
        <w:tc>
          <w:tcPr>
            <w:tcW w:w="548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7.9</w:t>
            </w:r>
          </w:p>
        </w:tc>
        <w:tc>
          <w:tcPr>
            <w:tcW w:w="933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80.4</w:t>
            </w:r>
          </w:p>
        </w:tc>
        <w:tc>
          <w:tcPr>
            <w:tcW w:w="741" w:type="pc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7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2" w:type="pct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49" w:type="pct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82.1</w:t>
            </w:r>
          </w:p>
        </w:tc>
        <w:tc>
          <w:tcPr>
            <w:tcW w:w="548" w:type="pct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3.0</w:t>
            </w:r>
          </w:p>
        </w:tc>
        <w:tc>
          <w:tcPr>
            <w:tcW w:w="933" w:type="pct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86.0</w:t>
            </w:r>
          </w:p>
        </w:tc>
        <w:tc>
          <w:tcPr>
            <w:tcW w:w="741" w:type="pct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7.2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widowControl/>
        <w:jc w:val="left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</w:rPr>
        <w:br w:type="page"/>
      </w:r>
    </w:p>
    <w:p>
      <w:pPr>
        <w:widowControl/>
        <w:jc w:val="left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drawing>
          <wp:inline distT="0" distB="0" distL="0" distR="0">
            <wp:extent cx="3817620" cy="254444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495" cy="254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Figure S1</w:t>
      </w:r>
      <w:r>
        <w:rPr>
          <w:rFonts w:ascii="Times New Roman" w:hAnsi="Times New Roman" w:eastAsia="宋体" w:cs="Times New Roman"/>
          <w:b/>
          <w:bCs/>
          <w:color w:val="auto"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 xml:space="preserve">Guizhou 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>w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eeds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 xml:space="preserve"> </w:t>
      </w:r>
      <w:bookmarkStart w:id="4" w:name="OLE_LINK1"/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>in citrus orchard</w:t>
      </w:r>
      <w:bookmarkEnd w:id="4"/>
    </w:p>
    <w:p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br w:type="page"/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drawing>
          <wp:inline distT="0" distB="0" distL="0" distR="0">
            <wp:extent cx="3817620" cy="25469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49" cy="255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 xml:space="preserve">Figure S2 Hunan 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>w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eeds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 xml:space="preserve"> in citrus orchard</w:t>
      </w:r>
    </w:p>
    <w:p>
      <w:pPr>
        <w:widowControl/>
        <w:jc w:val="left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br w:type="page"/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drawing>
          <wp:inline distT="0" distB="0" distL="0" distR="0">
            <wp:extent cx="5680710" cy="3009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798" cy="303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 xml:space="preserve">Figure S3 Hainan 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>w</w:t>
      </w: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t>eeds</w:t>
      </w: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t xml:space="preserve"> in banana orchard</w:t>
      </w:r>
    </w:p>
    <w:p>
      <w:pP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br w:type="page"/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  <w:drawing>
          <wp:inline distT="0" distB="0" distL="0" distR="0">
            <wp:extent cx="5274310" cy="15055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  <w:t>Figure S4. The degradation of glufosinate in weed under field conditions</w:t>
      </w:r>
    </w:p>
    <w:p>
      <w:pPr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  <w:br w:type="page"/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0"/>
          <w:szCs w:val="20"/>
        </w:rPr>
        <w:drawing>
          <wp:inline distT="0" distB="0" distL="0" distR="0">
            <wp:extent cx="5274310" cy="15309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  <w:t>Figure S5. The degradation of glufosinate in soil under field conditions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eastAsia="宋体" w:cs="Times New Roman"/>
          <w:color w:val="auto"/>
          <w:kern w:val="0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zg3N2ZhYjZlZTk0ZGM4YWJhYTAwNDhhZDU2OTcifQ=="/>
  </w:docVars>
  <w:rsids>
    <w:rsidRoot w:val="00513262"/>
    <w:rsid w:val="00007520"/>
    <w:rsid w:val="00043974"/>
    <w:rsid w:val="000654A8"/>
    <w:rsid w:val="000A2D83"/>
    <w:rsid w:val="000E5F43"/>
    <w:rsid w:val="001112B0"/>
    <w:rsid w:val="001213C2"/>
    <w:rsid w:val="00121706"/>
    <w:rsid w:val="001237EB"/>
    <w:rsid w:val="00142738"/>
    <w:rsid w:val="00162BF9"/>
    <w:rsid w:val="00170062"/>
    <w:rsid w:val="00193B47"/>
    <w:rsid w:val="001B04DD"/>
    <w:rsid w:val="001E7E91"/>
    <w:rsid w:val="0023780F"/>
    <w:rsid w:val="00244B6D"/>
    <w:rsid w:val="002559C0"/>
    <w:rsid w:val="00266570"/>
    <w:rsid w:val="00274E12"/>
    <w:rsid w:val="0027706F"/>
    <w:rsid w:val="0028676C"/>
    <w:rsid w:val="00303D57"/>
    <w:rsid w:val="0032095D"/>
    <w:rsid w:val="00342AE5"/>
    <w:rsid w:val="0035135A"/>
    <w:rsid w:val="003666A5"/>
    <w:rsid w:val="00381E21"/>
    <w:rsid w:val="003D5DA1"/>
    <w:rsid w:val="003E746C"/>
    <w:rsid w:val="003F149D"/>
    <w:rsid w:val="003F7904"/>
    <w:rsid w:val="00402131"/>
    <w:rsid w:val="00404D13"/>
    <w:rsid w:val="004105C9"/>
    <w:rsid w:val="004134DA"/>
    <w:rsid w:val="0043355D"/>
    <w:rsid w:val="00477292"/>
    <w:rsid w:val="00481171"/>
    <w:rsid w:val="00485BB0"/>
    <w:rsid w:val="004910C2"/>
    <w:rsid w:val="004B2785"/>
    <w:rsid w:val="004D1BBB"/>
    <w:rsid w:val="004E3639"/>
    <w:rsid w:val="00513262"/>
    <w:rsid w:val="0051363B"/>
    <w:rsid w:val="005313D3"/>
    <w:rsid w:val="00564866"/>
    <w:rsid w:val="00573FBA"/>
    <w:rsid w:val="00590E6A"/>
    <w:rsid w:val="005D0B46"/>
    <w:rsid w:val="005D1DC5"/>
    <w:rsid w:val="005E17DB"/>
    <w:rsid w:val="00610D0D"/>
    <w:rsid w:val="0061518C"/>
    <w:rsid w:val="00621B61"/>
    <w:rsid w:val="00636FDE"/>
    <w:rsid w:val="00642BDF"/>
    <w:rsid w:val="00685FBA"/>
    <w:rsid w:val="006A0A9C"/>
    <w:rsid w:val="006A554A"/>
    <w:rsid w:val="006E2834"/>
    <w:rsid w:val="006E4D0F"/>
    <w:rsid w:val="0073165C"/>
    <w:rsid w:val="00733958"/>
    <w:rsid w:val="00765984"/>
    <w:rsid w:val="00796E75"/>
    <w:rsid w:val="007E5B4C"/>
    <w:rsid w:val="007F431C"/>
    <w:rsid w:val="0080026C"/>
    <w:rsid w:val="0083355D"/>
    <w:rsid w:val="00862FCC"/>
    <w:rsid w:val="008717BF"/>
    <w:rsid w:val="00873A6E"/>
    <w:rsid w:val="00877ED0"/>
    <w:rsid w:val="00884B29"/>
    <w:rsid w:val="0088654E"/>
    <w:rsid w:val="008C01FA"/>
    <w:rsid w:val="008D5857"/>
    <w:rsid w:val="008E04B5"/>
    <w:rsid w:val="00993469"/>
    <w:rsid w:val="009A0423"/>
    <w:rsid w:val="009A298C"/>
    <w:rsid w:val="009E1378"/>
    <w:rsid w:val="00A027F9"/>
    <w:rsid w:val="00A1413A"/>
    <w:rsid w:val="00A2086E"/>
    <w:rsid w:val="00A215EB"/>
    <w:rsid w:val="00AB4474"/>
    <w:rsid w:val="00AB4FE7"/>
    <w:rsid w:val="00B22C18"/>
    <w:rsid w:val="00B60B06"/>
    <w:rsid w:val="00B71F7F"/>
    <w:rsid w:val="00BC6CB2"/>
    <w:rsid w:val="00BD76C2"/>
    <w:rsid w:val="00BE466E"/>
    <w:rsid w:val="00C031D0"/>
    <w:rsid w:val="00CC78CA"/>
    <w:rsid w:val="00CE06C9"/>
    <w:rsid w:val="00CF0A35"/>
    <w:rsid w:val="00CF4110"/>
    <w:rsid w:val="00CF7429"/>
    <w:rsid w:val="00D9794C"/>
    <w:rsid w:val="00DA7372"/>
    <w:rsid w:val="00DB31C5"/>
    <w:rsid w:val="00E3651F"/>
    <w:rsid w:val="00E54B4D"/>
    <w:rsid w:val="00E66ADC"/>
    <w:rsid w:val="00E8529C"/>
    <w:rsid w:val="00E8696B"/>
    <w:rsid w:val="00E87AAA"/>
    <w:rsid w:val="00EA0EB9"/>
    <w:rsid w:val="00EB7BB4"/>
    <w:rsid w:val="00EC4C9B"/>
    <w:rsid w:val="00ED041F"/>
    <w:rsid w:val="00ED2061"/>
    <w:rsid w:val="00ED7A3C"/>
    <w:rsid w:val="00EF3F1C"/>
    <w:rsid w:val="00F0053E"/>
    <w:rsid w:val="00F17CDF"/>
    <w:rsid w:val="00FF5141"/>
    <w:rsid w:val="00FF76BC"/>
    <w:rsid w:val="0B2C44FB"/>
    <w:rsid w:val="129F0C58"/>
    <w:rsid w:val="13061823"/>
    <w:rsid w:val="16126334"/>
    <w:rsid w:val="1F0848C3"/>
    <w:rsid w:val="21747CD2"/>
    <w:rsid w:val="2D850D92"/>
    <w:rsid w:val="35DC46FA"/>
    <w:rsid w:val="39DB2629"/>
    <w:rsid w:val="4A394259"/>
    <w:rsid w:val="518C3791"/>
    <w:rsid w:val="554807F2"/>
    <w:rsid w:val="63871A2C"/>
    <w:rsid w:val="6C00035C"/>
    <w:rsid w:val="7D5A4D9F"/>
    <w:rsid w:val="7D6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Notes on contributors"/>
    <w:basedOn w:val="1"/>
    <w:qFormat/>
    <w:uiPriority w:val="0"/>
    <w:pPr>
      <w:widowControl/>
      <w:spacing w:before="240" w:line="360" w:lineRule="auto"/>
      <w:jc w:val="left"/>
    </w:pPr>
    <w:rPr>
      <w:rFonts w:ascii="Times New Roman" w:hAnsi="Times New Roman" w:eastAsia="宋体" w:cs="Times New Roman"/>
      <w:kern w:val="0"/>
      <w:sz w:val="22"/>
      <w:szCs w:val="24"/>
      <w:lang w:val="en-GB" w:eastAsia="en-GB"/>
    </w:rPr>
  </w:style>
  <w:style w:type="character" w:customStyle="1" w:styleId="15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4BA4-37CC-4FD1-81AD-365A86667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759</Words>
  <Characters>3372</Characters>
  <Lines>30</Lines>
  <Paragraphs>8</Paragraphs>
  <TotalTime>61</TotalTime>
  <ScaleCrop>false</ScaleCrop>
  <LinksUpToDate>false</LinksUpToDate>
  <CharactersWithSpaces>3759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2022-08-07T14:21:00Z</dcterms:created>
  <dc:creator>沐 宸歌</dc:creator>
  <cp:lastModifiedBy>Lenovo</cp:lastModifiedBy>
  <cp:lastPrinted>2021-02-07T05:50:00Z</cp:lastPrinted>
  <dcterms:modified xsi:type="dcterms:W3CDTF">2022-08-19T05:39:47Z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29B267721EB64AD2BAD2445128935E5F</vt:lpwstr>
  </property>
</Properties>
</file>