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B0175" w14:textId="6425E188" w:rsidR="00561CAC" w:rsidRPr="00C3078B" w:rsidRDefault="00561CAC" w:rsidP="00561CAC">
      <w:pPr>
        <w:spacing w:line="360" w:lineRule="auto"/>
        <w:jc w:val="center"/>
        <w:rPr>
          <w:rFonts w:asciiTheme="majorBidi" w:hAnsiTheme="majorBidi" w:cstheme="majorBidi"/>
          <w:b/>
          <w:sz w:val="40"/>
          <w:szCs w:val="28"/>
        </w:rPr>
      </w:pPr>
      <w:r w:rsidRPr="00C3078B">
        <w:rPr>
          <w:rFonts w:asciiTheme="majorBidi" w:hAnsiTheme="majorBidi" w:cstheme="majorBidi"/>
          <w:b/>
          <w:sz w:val="40"/>
          <w:szCs w:val="28"/>
        </w:rPr>
        <w:t>Electronic Supplementary Information</w:t>
      </w:r>
    </w:p>
    <w:p w14:paraId="46B3E8D8" w14:textId="77777777" w:rsidR="00546CD0" w:rsidRPr="00546CD0" w:rsidRDefault="00546CD0" w:rsidP="00546CD0">
      <w:pPr>
        <w:pStyle w:val="Title"/>
        <w:spacing w:after="240"/>
        <w:jc w:val="both"/>
        <w:rPr>
          <w:rFonts w:ascii="Times New Roman" w:eastAsia="Arial Unicode MS" w:hAnsi="Times New Roman" w:cs="Times New Roman"/>
          <w:b/>
          <w:bCs/>
          <w:color w:val="000000" w:themeColor="text1"/>
          <w:sz w:val="40"/>
          <w:szCs w:val="40"/>
        </w:rPr>
      </w:pPr>
      <w:r w:rsidRPr="00546CD0">
        <w:rPr>
          <w:rFonts w:ascii="Times New Roman" w:eastAsia="Arial Unicode MS" w:hAnsi="Times New Roman" w:cs="Times New Roman"/>
          <w:b/>
          <w:bCs/>
          <w:color w:val="000000" w:themeColor="text1"/>
          <w:sz w:val="40"/>
          <w:szCs w:val="40"/>
        </w:rPr>
        <w:t xml:space="preserve">An insight to the filtration mechanism of Pb(II) at the surface of a clay ceramic membrane through its </w:t>
      </w:r>
      <w:proofErr w:type="spellStart"/>
      <w:r w:rsidRPr="00546CD0">
        <w:rPr>
          <w:rFonts w:ascii="Times New Roman" w:eastAsia="Arial Unicode MS" w:hAnsi="Times New Roman" w:cs="Times New Roman"/>
          <w:b/>
          <w:bCs/>
          <w:color w:val="000000" w:themeColor="text1"/>
          <w:sz w:val="40"/>
          <w:szCs w:val="40"/>
        </w:rPr>
        <w:t>preconcentration</w:t>
      </w:r>
      <w:proofErr w:type="spellEnd"/>
      <w:r w:rsidRPr="00546CD0">
        <w:rPr>
          <w:rFonts w:ascii="Times New Roman" w:eastAsia="Arial Unicode MS" w:hAnsi="Times New Roman" w:cs="Times New Roman"/>
          <w:b/>
          <w:bCs/>
          <w:color w:val="000000" w:themeColor="text1"/>
          <w:sz w:val="40"/>
          <w:szCs w:val="40"/>
        </w:rPr>
        <w:t xml:space="preserve"> at the surface of a graphite/clay composite working electrode.</w:t>
      </w:r>
    </w:p>
    <w:p w14:paraId="7EF8749E" w14:textId="77777777" w:rsidR="00546CD0" w:rsidRPr="00221B27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eop"/>
          <w:color w:val="000000" w:themeColor="text1"/>
          <w:sz w:val="28"/>
          <w:szCs w:val="28"/>
          <w:shd w:val="clear" w:color="auto" w:fill="FFFFFF"/>
        </w:rPr>
      </w:pPr>
      <w:r w:rsidRPr="00221B27">
        <w:rPr>
          <w:rStyle w:val="normaltextrun"/>
          <w:rFonts w:eastAsiaTheme="majorEastAsia"/>
          <w:color w:val="000000" w:themeColor="text1"/>
          <w:sz w:val="28"/>
          <w:szCs w:val="28"/>
          <w:shd w:val="clear" w:color="auto" w:fill="FFFFFF"/>
        </w:rPr>
        <w:t>Lubna Jaber, Abdelaziz Elgamouz</w:t>
      </w:r>
      <w:r w:rsidRPr="00221B27">
        <w:rPr>
          <w:rStyle w:val="normaltextrun"/>
          <w:rFonts w:eastAsiaTheme="majorEastAsia"/>
          <w:color w:val="000000" w:themeColor="text1"/>
          <w:sz w:val="28"/>
          <w:szCs w:val="28"/>
          <w:shd w:val="clear" w:color="auto" w:fill="FFFFFF"/>
          <w:vertAlign w:val="superscript"/>
        </w:rPr>
        <w:t>*</w:t>
      </w:r>
      <w:r w:rsidRPr="00221B27">
        <w:rPr>
          <w:rStyle w:val="normaltextrun"/>
          <w:rFonts w:eastAsiaTheme="majorEastAsia"/>
          <w:color w:val="000000" w:themeColor="text1"/>
          <w:sz w:val="28"/>
          <w:szCs w:val="28"/>
          <w:shd w:val="clear" w:color="auto" w:fill="FFFFFF"/>
        </w:rPr>
        <w:t>, Abdel-Nasser Kawde</w:t>
      </w:r>
      <w:r w:rsidRPr="00221B27">
        <w:rPr>
          <w:rStyle w:val="normaltextrun"/>
          <w:rFonts w:eastAsiaTheme="majorEastAsia"/>
          <w:color w:val="000000" w:themeColor="text1"/>
          <w:sz w:val="28"/>
          <w:szCs w:val="28"/>
          <w:shd w:val="clear" w:color="auto" w:fill="FFFFFF"/>
          <w:vertAlign w:val="superscript"/>
        </w:rPr>
        <w:t>*</w:t>
      </w:r>
      <w:r w:rsidRPr="00221B27">
        <w:rPr>
          <w:rStyle w:val="eop"/>
          <w:color w:val="000000" w:themeColor="text1"/>
          <w:sz w:val="28"/>
          <w:szCs w:val="28"/>
          <w:shd w:val="clear" w:color="auto" w:fill="FFFFFF"/>
        </w:rPr>
        <w:t> </w:t>
      </w:r>
    </w:p>
    <w:p w14:paraId="1C9EBC8C" w14:textId="5FF24D9D" w:rsidR="00546CD0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normaltextrun"/>
          <w:rFonts w:eastAsiaTheme="majorEastAsia"/>
          <w:bCs/>
          <w:color w:val="000000" w:themeColor="text1"/>
          <w:sz w:val="22"/>
          <w:szCs w:val="22"/>
        </w:rPr>
      </w:pPr>
      <w:r w:rsidRPr="00221B27">
        <w:rPr>
          <w:rStyle w:val="normaltextrun"/>
          <w:rFonts w:eastAsiaTheme="majorEastAsia"/>
          <w:bCs/>
          <w:color w:val="000000" w:themeColor="text1"/>
          <w:sz w:val="22"/>
          <w:szCs w:val="22"/>
        </w:rPr>
        <w:t>Pure and Applied Chemistry Group, Department of Chemistry, College of Sciences, University of Sharjah, P. O. Box 27272, United Arab Emirates.</w:t>
      </w:r>
    </w:p>
    <w:p w14:paraId="444F7653" w14:textId="77777777" w:rsidR="00546CD0" w:rsidRDefault="00546CD0" w:rsidP="00546CD0">
      <w:pPr>
        <w:rPr>
          <w:rFonts w:ascii="Times New Roman" w:eastAsia="Arial Unicode MS" w:hAnsi="Times New Roman" w:cs="Times New Roman"/>
          <w:i/>
          <w:iCs/>
          <w:color w:val="FF0000"/>
          <w:sz w:val="24"/>
          <w:szCs w:val="24"/>
        </w:rPr>
      </w:pPr>
      <w:r w:rsidRPr="00D07170">
        <w:rPr>
          <w:rFonts w:ascii="Times New Roman" w:eastAsia="Arial Unicode MS" w:hAnsi="Times New Roman" w:cs="Times New Roman"/>
          <w:b/>
          <w:bCs/>
          <w:color w:val="FF0000"/>
          <w:sz w:val="24"/>
          <w:szCs w:val="24"/>
        </w:rPr>
        <w:t>Table S</w:t>
      </w:r>
      <w:r w:rsidRPr="00D07170">
        <w:rPr>
          <w:rFonts w:ascii="Times New Roman" w:eastAsia="Arial Unicode MS" w:hAnsi="Times New Roman" w:cs="Times New Roman"/>
          <w:b/>
          <w:bCs/>
          <w:i/>
          <w:iCs/>
          <w:color w:val="FF0000"/>
          <w:sz w:val="24"/>
          <w:szCs w:val="24"/>
        </w:rPr>
        <w:fldChar w:fldCharType="begin"/>
      </w:r>
      <w:r w:rsidRPr="00D07170">
        <w:rPr>
          <w:rFonts w:ascii="Times New Roman" w:eastAsia="Arial Unicode MS" w:hAnsi="Times New Roman" w:cs="Times New Roman"/>
          <w:b/>
          <w:bCs/>
          <w:color w:val="FF0000"/>
          <w:sz w:val="24"/>
          <w:szCs w:val="24"/>
        </w:rPr>
        <w:instrText xml:space="preserve"> SEQ Table \* ARABIC </w:instrText>
      </w:r>
      <w:r w:rsidRPr="00D07170">
        <w:rPr>
          <w:rFonts w:ascii="Times New Roman" w:eastAsia="Arial Unicode MS" w:hAnsi="Times New Roman" w:cs="Times New Roman"/>
          <w:b/>
          <w:bCs/>
          <w:i/>
          <w:iCs/>
          <w:color w:val="FF0000"/>
          <w:sz w:val="24"/>
          <w:szCs w:val="24"/>
        </w:rPr>
        <w:fldChar w:fldCharType="separate"/>
      </w:r>
      <w:r w:rsidRPr="00D07170">
        <w:rPr>
          <w:rFonts w:ascii="Times New Roman" w:eastAsia="Arial Unicode MS" w:hAnsi="Times New Roman" w:cs="Times New Roman"/>
          <w:b/>
          <w:bCs/>
          <w:noProof/>
          <w:color w:val="FF0000"/>
          <w:sz w:val="24"/>
          <w:szCs w:val="24"/>
        </w:rPr>
        <w:t>1</w:t>
      </w:r>
      <w:r w:rsidRPr="00D07170">
        <w:rPr>
          <w:rFonts w:ascii="Times New Roman" w:eastAsia="Arial Unicode MS" w:hAnsi="Times New Roman" w:cs="Times New Roman"/>
          <w:b/>
          <w:bCs/>
          <w:i/>
          <w:iCs/>
          <w:color w:val="FF0000"/>
          <w:sz w:val="24"/>
          <w:szCs w:val="24"/>
        </w:rPr>
        <w:fldChar w:fldCharType="end"/>
      </w:r>
      <w:r w:rsidRPr="00D07170">
        <w:rPr>
          <w:rFonts w:ascii="Times New Roman" w:eastAsia="Arial Unicode MS" w:hAnsi="Times New Roman" w:cs="Times New Roman"/>
          <w:b/>
          <w:bCs/>
          <w:color w:val="FF0000"/>
          <w:sz w:val="24"/>
          <w:szCs w:val="24"/>
        </w:rPr>
        <w:t xml:space="preserve">. </w:t>
      </w:r>
      <w:r w:rsidRPr="00D07170">
        <w:rPr>
          <w:rFonts w:ascii="Times New Roman" w:eastAsia="Arial Unicode MS" w:hAnsi="Times New Roman" w:cs="Times New Roman"/>
          <w:color w:val="FF0000"/>
          <w:sz w:val="24"/>
          <w:szCs w:val="24"/>
        </w:rPr>
        <w:t>Porosity of the incorporated discs.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7"/>
        <w:gridCol w:w="1389"/>
        <w:gridCol w:w="1049"/>
        <w:gridCol w:w="1561"/>
        <w:gridCol w:w="1436"/>
        <w:gridCol w:w="1126"/>
        <w:gridCol w:w="1212"/>
      </w:tblGrid>
      <w:tr w:rsidR="00546CD0" w:rsidRPr="00BF3A9F" w14:paraId="00CE82B5" w14:textId="77777777" w:rsidTr="009705DB">
        <w:trPr>
          <w:trHeight w:val="2520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3973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Calcination Temperature (</w:t>
            </w:r>
            <w:proofErr w:type="spellStart"/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vertAlign w:val="superscript"/>
              </w:rPr>
              <w:t>o</w:t>
            </w: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C</w:t>
            </w:r>
            <w:proofErr w:type="spellEnd"/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)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CED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Weight before calcination (g)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D9D3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Dry Sample Weight (g)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72CF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Wet Sample Weight (immersed in D.I Water for 48 hrs.) (g)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2C1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Porosity (%)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483A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Average Porosity (%)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A96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Standard deviation</w:t>
            </w:r>
          </w:p>
          <w:p w14:paraId="6BAA56B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(%)</w:t>
            </w:r>
          </w:p>
        </w:tc>
      </w:tr>
      <w:tr w:rsidR="00546CD0" w:rsidRPr="00BF3A9F" w14:paraId="146AAF34" w14:textId="77777777" w:rsidTr="009705DB">
        <w:trPr>
          <w:trHeight w:val="315"/>
        </w:trPr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F88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800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05C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4.0026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60E0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3.2718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5A0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3.6021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750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10.10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1C6A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  <w:p w14:paraId="4710B3D2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10.06</w:t>
            </w:r>
          </w:p>
          <w:p w14:paraId="66CF6AA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BA66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±1.56</w:t>
            </w:r>
          </w:p>
        </w:tc>
      </w:tr>
      <w:tr w:rsidR="00546CD0" w:rsidRPr="00BF3A9F" w14:paraId="341CD803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10B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35F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4.0044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DCA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3.2785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309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3.5567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C32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8.49</w:t>
            </w:r>
          </w:p>
        </w:tc>
        <w:tc>
          <w:tcPr>
            <w:tcW w:w="60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96B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C2E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452DF829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C3B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B23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4.0035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437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3.2761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010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3.6562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611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11.60</w:t>
            </w:r>
          </w:p>
        </w:tc>
        <w:tc>
          <w:tcPr>
            <w:tcW w:w="6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DED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A10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35298C3E" w14:textId="77777777" w:rsidTr="009705DB">
        <w:trPr>
          <w:trHeight w:val="315"/>
        </w:trPr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1158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900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054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4.0051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6A5A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3.2424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FEA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3.4721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EF9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7.08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3FC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  <w:p w14:paraId="25C9F57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7.75</w:t>
            </w:r>
          </w:p>
          <w:p w14:paraId="4FDB6C5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0F3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±1.61</w:t>
            </w:r>
          </w:p>
        </w:tc>
      </w:tr>
      <w:tr w:rsidR="00546CD0" w:rsidRPr="00BF3A9F" w14:paraId="6A3350A7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60982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71AF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3.0523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F58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2.4843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1E28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2.6477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A8A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6.58</w:t>
            </w:r>
          </w:p>
        </w:tc>
        <w:tc>
          <w:tcPr>
            <w:tcW w:w="60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79B0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342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5B0ED612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FA3F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2C1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3.0658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22B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2.5025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3880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2.7423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54C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9.58</w:t>
            </w:r>
          </w:p>
        </w:tc>
        <w:tc>
          <w:tcPr>
            <w:tcW w:w="6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0F3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B90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26C15B3E" w14:textId="77777777" w:rsidTr="009705DB">
        <w:trPr>
          <w:trHeight w:val="315"/>
        </w:trPr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67E6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1000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C9F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3.0149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88F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2.4644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E762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2.5743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8646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4.46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05F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  <w:p w14:paraId="26FCD89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4.14</w:t>
            </w:r>
          </w:p>
          <w:p w14:paraId="4D0D5A2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EFA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±0.74</w:t>
            </w:r>
          </w:p>
        </w:tc>
      </w:tr>
      <w:tr w:rsidR="00546CD0" w:rsidRPr="00BF3A9F" w14:paraId="480AEB57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2C3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34BE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2.9104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3E48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2.381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2128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2.492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BC9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4.66</w:t>
            </w:r>
          </w:p>
        </w:tc>
        <w:tc>
          <w:tcPr>
            <w:tcW w:w="60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F9F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4DA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32028FFD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331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9FC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3.0029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054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2.5632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B9D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2.6474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D576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3.28</w:t>
            </w:r>
          </w:p>
        </w:tc>
        <w:tc>
          <w:tcPr>
            <w:tcW w:w="6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CD9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A6E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23575D43" w14:textId="77777777" w:rsidTr="009705DB">
        <w:trPr>
          <w:trHeight w:val="315"/>
        </w:trPr>
        <w:tc>
          <w:tcPr>
            <w:tcW w:w="8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B840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1100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32D5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4.0018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0F6F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3.2726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116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3.34787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94D3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2.30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5EE3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  <w:p w14:paraId="4789E43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2.70</w:t>
            </w:r>
          </w:p>
          <w:p w14:paraId="1005AD5D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7AEA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  <w:p w14:paraId="3FF02A5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±0.40</w:t>
            </w:r>
          </w:p>
          <w:p w14:paraId="7B952272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2D47DBBE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91E7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73E7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4.0012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EBC9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3.2817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83C4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3.370306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D8E3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2.70</w:t>
            </w:r>
          </w:p>
        </w:tc>
        <w:tc>
          <w:tcPr>
            <w:tcW w:w="60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3868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D39B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46CD0" w:rsidRPr="00BF3A9F" w14:paraId="7E200160" w14:textId="77777777" w:rsidTr="009705DB">
        <w:trPr>
          <w:trHeight w:val="31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5DA38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17A27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3.1658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B8B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4.1138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583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</w:rPr>
              <w:t>4.241328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CF7C" w14:textId="77777777" w:rsidR="00546CD0" w:rsidRPr="00BF3A9F" w:rsidRDefault="00546CD0" w:rsidP="009705D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BF3A9F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3.10</w:t>
            </w:r>
          </w:p>
        </w:tc>
        <w:tc>
          <w:tcPr>
            <w:tcW w:w="6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B226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1712" w14:textId="77777777" w:rsidR="00546CD0" w:rsidRPr="00BF3A9F" w:rsidRDefault="00546CD0" w:rsidP="009705DB">
            <w:pPr>
              <w:spacing w:after="0" w:line="240" w:lineRule="auto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</w:tbl>
    <w:p w14:paraId="2CE1B909" w14:textId="77777777" w:rsidR="00546CD0" w:rsidRDefault="00546CD0" w:rsidP="00546CD0"/>
    <w:p w14:paraId="4DA6F7DD" w14:textId="197FB47A" w:rsidR="00546CD0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normaltextrun"/>
          <w:rFonts w:eastAsiaTheme="majorEastAsia"/>
          <w:bCs/>
          <w:color w:val="000000" w:themeColor="text1"/>
          <w:sz w:val="22"/>
          <w:szCs w:val="22"/>
        </w:rPr>
      </w:pPr>
    </w:p>
    <w:p w14:paraId="533B61F8" w14:textId="282A4308" w:rsidR="00546CD0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normaltextrun"/>
          <w:rFonts w:eastAsiaTheme="majorEastAsia"/>
          <w:bCs/>
          <w:color w:val="000000" w:themeColor="text1"/>
          <w:sz w:val="22"/>
          <w:szCs w:val="22"/>
        </w:rPr>
      </w:pPr>
    </w:p>
    <w:p w14:paraId="785A5EDF" w14:textId="3DF69077" w:rsidR="00546CD0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normaltextrun"/>
          <w:rFonts w:eastAsiaTheme="majorEastAsia"/>
          <w:bCs/>
          <w:color w:val="000000" w:themeColor="text1"/>
          <w:sz w:val="22"/>
          <w:szCs w:val="22"/>
        </w:rPr>
      </w:pPr>
    </w:p>
    <w:p w14:paraId="3710FE05" w14:textId="21EDE906" w:rsidR="00546CD0" w:rsidRDefault="00546CD0" w:rsidP="00546CD0">
      <w:pPr>
        <w:pStyle w:val="paragraph"/>
        <w:spacing w:before="0" w:beforeAutospacing="0" w:after="120" w:afterAutospacing="0"/>
        <w:textAlignment w:val="baseline"/>
        <w:rPr>
          <w:rStyle w:val="normaltextrun"/>
          <w:rFonts w:eastAsiaTheme="majorEastAsia"/>
          <w:bCs/>
          <w:color w:val="000000" w:themeColor="text1"/>
          <w:sz w:val="22"/>
          <w:szCs w:val="22"/>
        </w:rPr>
      </w:pPr>
    </w:p>
    <w:p w14:paraId="38CC67F3" w14:textId="65773117" w:rsidR="00D07170" w:rsidRPr="00D07170" w:rsidRDefault="00D07170" w:rsidP="00D07170">
      <w:pPr>
        <w:pStyle w:val="Caption"/>
        <w:keepNext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0" w:name="_GoBack"/>
      <w:bookmarkEnd w:id="0"/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lastRenderedPageBreak/>
        <w:t>Table S</w:t>
      </w:r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fldChar w:fldCharType="begin"/>
      </w:r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instrText xml:space="preserve"> SEQ Table \* ARABIC </w:instrText>
      </w:r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fldChar w:fldCharType="separate"/>
      </w:r>
      <w:r w:rsidRPr="003870D5">
        <w:rPr>
          <w:rFonts w:asciiTheme="majorBidi" w:hAnsiTheme="majorBidi" w:cstheme="majorBidi"/>
          <w:b/>
          <w:bCs/>
          <w:i w:val="0"/>
          <w:iCs w:val="0"/>
          <w:noProof/>
          <w:color w:val="FF0000"/>
          <w:sz w:val="24"/>
          <w:szCs w:val="24"/>
        </w:rPr>
        <w:t>2</w:t>
      </w:r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fldChar w:fldCharType="end"/>
      </w:r>
      <w:r w:rsidRPr="003870D5">
        <w:rPr>
          <w:rFonts w:asciiTheme="majorBidi" w:hAnsiTheme="majorBidi" w:cstheme="majorBidi"/>
          <w:b/>
          <w:bCs/>
          <w:i w:val="0"/>
          <w:iCs w:val="0"/>
          <w:color w:val="FF0000"/>
          <w:sz w:val="24"/>
          <w:szCs w:val="24"/>
        </w:rPr>
        <w:t>.</w:t>
      </w:r>
      <w:r w:rsidRPr="003870D5">
        <w:rPr>
          <w:rFonts w:asciiTheme="majorBidi" w:eastAsia="Arial Unicode MS" w:hAnsiTheme="majorBidi" w:cstheme="majorBidi"/>
          <w:b/>
          <w:bCs/>
          <w:i w:val="0"/>
          <w:iCs w:val="0"/>
          <w:color w:val="FF0000"/>
          <w:sz w:val="24"/>
          <w:szCs w:val="24"/>
        </w:rPr>
        <w:t xml:space="preserve"> </w:t>
      </w:r>
      <w:r w:rsidRPr="00D07170">
        <w:rPr>
          <w:rFonts w:asciiTheme="majorBidi" w:eastAsia="Arial Unicode MS" w:hAnsiTheme="majorBidi" w:cstheme="majorBidi"/>
          <w:i w:val="0"/>
          <w:iCs w:val="0"/>
          <w:color w:val="auto"/>
          <w:sz w:val="24"/>
          <w:szCs w:val="24"/>
        </w:rPr>
        <w:t>FTIR peaks and attributions.</w:t>
      </w:r>
    </w:p>
    <w:tbl>
      <w:tblPr>
        <w:tblStyle w:val="GridTable1Light"/>
        <w:tblW w:w="9729" w:type="dxa"/>
        <w:tblLook w:val="04A0" w:firstRow="1" w:lastRow="0" w:firstColumn="1" w:lastColumn="0" w:noHBand="0" w:noVBand="1"/>
      </w:tblPr>
      <w:tblGrid>
        <w:gridCol w:w="1362"/>
        <w:gridCol w:w="1722"/>
        <w:gridCol w:w="1722"/>
        <w:gridCol w:w="4923"/>
      </w:tblGrid>
      <w:tr w:rsidR="00F846B8" w:rsidRPr="00CC2B9D" w14:paraId="26A3A72B" w14:textId="77777777" w:rsidTr="00A71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50AD3343" w14:textId="3963C7F7" w:rsidR="00F846B8" w:rsidRPr="00CC2B9D" w:rsidRDefault="00F846B8" w:rsidP="00A7177C">
            <w:pPr>
              <w:spacing w:line="276" w:lineRule="auto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sz w:val="24"/>
                <w:szCs w:val="24"/>
              </w:rPr>
              <w:t>Raw</w:t>
            </w:r>
            <w:r w:rsidR="00413633">
              <w:rPr>
                <w:rFonts w:asciiTheme="majorBidi" w:eastAsia="Arial Unicode MS" w:hAnsiTheme="majorBidi" w:cstheme="majorBidi"/>
                <w:sz w:val="24"/>
                <w:szCs w:val="24"/>
              </w:rPr>
              <w:t xml:space="preserve"> </w:t>
            </w: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clay</w:t>
            </w:r>
          </w:p>
        </w:tc>
        <w:tc>
          <w:tcPr>
            <w:tcW w:w="1722" w:type="dxa"/>
          </w:tcPr>
          <w:p w14:paraId="1F947273" w14:textId="77777777" w:rsidR="00F846B8" w:rsidRPr="00CC2B9D" w:rsidRDefault="00F846B8" w:rsidP="00A7177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Calcined clay 700 °C</w:t>
            </w:r>
          </w:p>
        </w:tc>
        <w:tc>
          <w:tcPr>
            <w:tcW w:w="1722" w:type="dxa"/>
          </w:tcPr>
          <w:p w14:paraId="1CF768D7" w14:textId="77777777" w:rsidR="00F846B8" w:rsidRPr="00CC2B9D" w:rsidRDefault="00F846B8" w:rsidP="00A7177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Calcined clay 1000 °C</w:t>
            </w:r>
          </w:p>
        </w:tc>
        <w:tc>
          <w:tcPr>
            <w:tcW w:w="4923" w:type="dxa"/>
          </w:tcPr>
          <w:p w14:paraId="5A7DC962" w14:textId="77777777" w:rsidR="00F846B8" w:rsidRPr="00CC2B9D" w:rsidRDefault="00F846B8" w:rsidP="00A7177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Assignments</w:t>
            </w:r>
          </w:p>
        </w:tc>
      </w:tr>
      <w:tr w:rsidR="00F846B8" w:rsidRPr="00CC2B9D" w14:paraId="034878A3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6F50EC0B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3686</w:t>
            </w:r>
          </w:p>
        </w:tc>
        <w:tc>
          <w:tcPr>
            <w:tcW w:w="1722" w:type="dxa"/>
          </w:tcPr>
          <w:p w14:paraId="0E7C5085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3668</w:t>
            </w:r>
          </w:p>
        </w:tc>
        <w:tc>
          <w:tcPr>
            <w:tcW w:w="1722" w:type="dxa"/>
          </w:tcPr>
          <w:p w14:paraId="5229AECB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24238F98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Al----O―H stretching</w:t>
            </w:r>
          </w:p>
        </w:tc>
      </w:tr>
      <w:tr w:rsidR="00F846B8" w:rsidRPr="00CC2B9D" w14:paraId="61B75F91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0E48C475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3612</w:t>
            </w:r>
          </w:p>
        </w:tc>
        <w:tc>
          <w:tcPr>
            <w:tcW w:w="1722" w:type="dxa"/>
          </w:tcPr>
          <w:p w14:paraId="18A57BAC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1F8644B0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7D05C72F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O―H crystalline hydroxyl group</w:t>
            </w:r>
          </w:p>
        </w:tc>
      </w:tr>
      <w:tr w:rsidR="00F846B8" w:rsidRPr="00CC2B9D" w14:paraId="3ADE3881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52DA2381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3540</w:t>
            </w:r>
          </w:p>
        </w:tc>
        <w:tc>
          <w:tcPr>
            <w:tcW w:w="1722" w:type="dxa"/>
          </w:tcPr>
          <w:p w14:paraId="1590DFF0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71EBA605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784CF19E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H―O―H stretching of absorbed water</w:t>
            </w:r>
          </w:p>
        </w:tc>
      </w:tr>
      <w:tr w:rsidR="00F846B8" w:rsidRPr="00CC2B9D" w14:paraId="76CBA758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7A2A7B4F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3426</w:t>
            </w:r>
          </w:p>
        </w:tc>
        <w:tc>
          <w:tcPr>
            <w:tcW w:w="1722" w:type="dxa"/>
          </w:tcPr>
          <w:p w14:paraId="4AC98CB8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3421</w:t>
            </w:r>
          </w:p>
        </w:tc>
        <w:tc>
          <w:tcPr>
            <w:tcW w:w="1722" w:type="dxa"/>
          </w:tcPr>
          <w:p w14:paraId="312854F9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73509E09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H―O―H stretching of absorbed water</w:t>
            </w:r>
          </w:p>
        </w:tc>
      </w:tr>
      <w:tr w:rsidR="00F846B8" w:rsidRPr="00CC2B9D" w14:paraId="3D6A7D9D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7DDFC058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2978</w:t>
            </w:r>
          </w:p>
        </w:tc>
        <w:tc>
          <w:tcPr>
            <w:tcW w:w="1722" w:type="dxa"/>
          </w:tcPr>
          <w:p w14:paraId="0BE2E709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1AC5E983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359C04A2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C―H stretching</w:t>
            </w:r>
          </w:p>
        </w:tc>
      </w:tr>
      <w:tr w:rsidR="00F846B8" w:rsidRPr="00CC2B9D" w14:paraId="647F19AF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3961C3CE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2423</w:t>
            </w:r>
          </w:p>
        </w:tc>
        <w:tc>
          <w:tcPr>
            <w:tcW w:w="1722" w:type="dxa"/>
          </w:tcPr>
          <w:p w14:paraId="76A19285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2358</w:t>
            </w:r>
          </w:p>
        </w:tc>
        <w:tc>
          <w:tcPr>
            <w:tcW w:w="1722" w:type="dxa"/>
          </w:tcPr>
          <w:p w14:paraId="2F7EEC9B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3347CC8D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proofErr w:type="spellStart"/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ν</w:t>
            </w: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  <w:vertAlign w:val="subscript"/>
              </w:rPr>
              <w:t>assy</w:t>
            </w:r>
            <w:proofErr w:type="spellEnd"/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(CH</w:t>
            </w: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  <w:vertAlign w:val="subscript"/>
              </w:rPr>
              <w:t>2</w:t>
            </w: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)</w:t>
            </w:r>
          </w:p>
        </w:tc>
      </w:tr>
      <w:tr w:rsidR="00F846B8" w:rsidRPr="00CC2B9D" w14:paraId="5ECF348A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7B092DF4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1738</w:t>
            </w:r>
          </w:p>
        </w:tc>
        <w:tc>
          <w:tcPr>
            <w:tcW w:w="1722" w:type="dxa"/>
          </w:tcPr>
          <w:p w14:paraId="2A34F29C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4C4C2602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205B04AD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</w:tr>
      <w:tr w:rsidR="00F846B8" w:rsidRPr="00CC2B9D" w14:paraId="352D1B9D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4E1F8E37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1644</w:t>
            </w:r>
          </w:p>
        </w:tc>
        <w:tc>
          <w:tcPr>
            <w:tcW w:w="1722" w:type="dxa"/>
          </w:tcPr>
          <w:p w14:paraId="2B9FA607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26B1306A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769B0C20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H―O―H bending of water adsorbed at the surface</w:t>
            </w:r>
          </w:p>
        </w:tc>
      </w:tr>
      <w:tr w:rsidR="00F846B8" w:rsidRPr="00CC2B9D" w14:paraId="0E64EA86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1E8936C5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1434</w:t>
            </w:r>
          </w:p>
        </w:tc>
        <w:tc>
          <w:tcPr>
            <w:tcW w:w="1722" w:type="dxa"/>
          </w:tcPr>
          <w:p w14:paraId="1106EA27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1415</w:t>
            </w:r>
          </w:p>
        </w:tc>
        <w:tc>
          <w:tcPr>
            <w:tcW w:w="1722" w:type="dxa"/>
          </w:tcPr>
          <w:p w14:paraId="515191B0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414EFDA1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C―H stretching</w:t>
            </w:r>
          </w:p>
        </w:tc>
      </w:tr>
      <w:tr w:rsidR="00F846B8" w:rsidRPr="00CC2B9D" w14:paraId="452530DD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5085D2C6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1366</w:t>
            </w:r>
          </w:p>
        </w:tc>
        <w:tc>
          <w:tcPr>
            <w:tcW w:w="1722" w:type="dxa"/>
          </w:tcPr>
          <w:p w14:paraId="38F3C355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7A995FB4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68F975B3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hAnsiTheme="majorBidi" w:cstheme="majorBidi"/>
                <w:sz w:val="24"/>
                <w:szCs w:val="24"/>
              </w:rPr>
              <w:t>Al</w:t>
            </w: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―O</w:t>
            </w:r>
          </w:p>
        </w:tc>
      </w:tr>
      <w:tr w:rsidR="00F846B8" w:rsidRPr="00CC2B9D" w14:paraId="0954E7DD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3ED06A26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1228</w:t>
            </w:r>
          </w:p>
        </w:tc>
        <w:tc>
          <w:tcPr>
            <w:tcW w:w="1722" w:type="dxa"/>
          </w:tcPr>
          <w:p w14:paraId="5C8501CE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75A3190B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4923" w:type="dxa"/>
          </w:tcPr>
          <w:p w14:paraId="0D04B9B4" w14:textId="00C442DA" w:rsidR="00F846B8" w:rsidRPr="00CC2B9D" w:rsidRDefault="00414F4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C-O</w:t>
            </w:r>
          </w:p>
        </w:tc>
      </w:tr>
      <w:tr w:rsidR="00F846B8" w:rsidRPr="00CC2B9D" w14:paraId="59A9001E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194FC8FA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1163</w:t>
            </w:r>
          </w:p>
        </w:tc>
        <w:tc>
          <w:tcPr>
            <w:tcW w:w="1722" w:type="dxa"/>
          </w:tcPr>
          <w:p w14:paraId="24DDE16F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6F1E2528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1008</w:t>
            </w:r>
          </w:p>
        </w:tc>
        <w:tc>
          <w:tcPr>
            <w:tcW w:w="4923" w:type="dxa"/>
          </w:tcPr>
          <w:p w14:paraId="72845475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 stretching, clay minerals</w:t>
            </w:r>
          </w:p>
        </w:tc>
      </w:tr>
      <w:tr w:rsidR="00F846B8" w:rsidRPr="00CC2B9D" w14:paraId="1FBC93A9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4376633A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979</w:t>
            </w:r>
          </w:p>
        </w:tc>
        <w:tc>
          <w:tcPr>
            <w:tcW w:w="1722" w:type="dxa"/>
          </w:tcPr>
          <w:p w14:paraId="2FC98A3A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988</w:t>
            </w:r>
          </w:p>
        </w:tc>
        <w:tc>
          <w:tcPr>
            <w:tcW w:w="1722" w:type="dxa"/>
          </w:tcPr>
          <w:p w14:paraId="61C8AAF6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958</w:t>
            </w:r>
          </w:p>
        </w:tc>
        <w:tc>
          <w:tcPr>
            <w:tcW w:w="4923" w:type="dxa"/>
          </w:tcPr>
          <w:p w14:paraId="6A537BAD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 stretching</w:t>
            </w:r>
          </w:p>
        </w:tc>
      </w:tr>
      <w:tr w:rsidR="00F846B8" w:rsidRPr="00CC2B9D" w14:paraId="72AAB384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20797EE2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872</w:t>
            </w:r>
          </w:p>
        </w:tc>
        <w:tc>
          <w:tcPr>
            <w:tcW w:w="1722" w:type="dxa"/>
          </w:tcPr>
          <w:p w14:paraId="70055853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874</w:t>
            </w:r>
          </w:p>
        </w:tc>
        <w:tc>
          <w:tcPr>
            <w:tcW w:w="1722" w:type="dxa"/>
          </w:tcPr>
          <w:p w14:paraId="181A5926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885</w:t>
            </w:r>
          </w:p>
        </w:tc>
        <w:tc>
          <w:tcPr>
            <w:tcW w:w="4923" w:type="dxa"/>
          </w:tcPr>
          <w:p w14:paraId="45DAB6FC" w14:textId="537DCC0B" w:rsidR="00F846B8" w:rsidRPr="00CC2B9D" w:rsidRDefault="00F846B8" w:rsidP="00A7177C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Cs/>
                <w:sz w:val="24"/>
                <w:szCs w:val="24"/>
                <w:vertAlign w:val="superscript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OH deformation linked to 2Al</w:t>
            </w: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  <w:vertAlign w:val="superscript"/>
              </w:rPr>
              <w:t>3</w:t>
            </w:r>
            <w:r w:rsidR="006D78C8">
              <w:rPr>
                <w:rFonts w:asciiTheme="majorBidi" w:eastAsia="Arial Unicode MS" w:hAnsiTheme="majorBidi" w:cstheme="majorBidi"/>
                <w:bCs/>
                <w:sz w:val="24"/>
                <w:szCs w:val="24"/>
                <w:vertAlign w:val="superscript"/>
              </w:rPr>
              <w:t>+</w:t>
            </w:r>
          </w:p>
        </w:tc>
      </w:tr>
      <w:tr w:rsidR="00F846B8" w:rsidRPr="00CC2B9D" w14:paraId="38AD02AF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19B5C438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797</w:t>
            </w:r>
          </w:p>
        </w:tc>
        <w:tc>
          <w:tcPr>
            <w:tcW w:w="1722" w:type="dxa"/>
          </w:tcPr>
          <w:p w14:paraId="6D355628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797</w:t>
            </w:r>
          </w:p>
        </w:tc>
        <w:tc>
          <w:tcPr>
            <w:tcW w:w="1722" w:type="dxa"/>
          </w:tcPr>
          <w:p w14:paraId="3237371D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796</w:t>
            </w:r>
          </w:p>
        </w:tc>
        <w:tc>
          <w:tcPr>
            <w:tcW w:w="4923" w:type="dxa"/>
          </w:tcPr>
          <w:p w14:paraId="0B4A33AC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 Quartz</w:t>
            </w:r>
          </w:p>
        </w:tc>
      </w:tr>
      <w:tr w:rsidR="00F846B8" w:rsidRPr="00CC2B9D" w14:paraId="00A16378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604CCC10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778</w:t>
            </w:r>
          </w:p>
        </w:tc>
        <w:tc>
          <w:tcPr>
            <w:tcW w:w="1722" w:type="dxa"/>
          </w:tcPr>
          <w:p w14:paraId="7D3D6F81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778</w:t>
            </w:r>
          </w:p>
        </w:tc>
        <w:tc>
          <w:tcPr>
            <w:tcW w:w="1722" w:type="dxa"/>
          </w:tcPr>
          <w:p w14:paraId="38EBA512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777</w:t>
            </w:r>
          </w:p>
        </w:tc>
        <w:tc>
          <w:tcPr>
            <w:tcW w:w="4923" w:type="dxa"/>
          </w:tcPr>
          <w:p w14:paraId="43286B19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 Quartz</w:t>
            </w:r>
          </w:p>
        </w:tc>
      </w:tr>
      <w:tr w:rsidR="00F846B8" w:rsidRPr="00CC2B9D" w14:paraId="28593A4E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4A71ADB6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711</w:t>
            </w:r>
          </w:p>
        </w:tc>
        <w:tc>
          <w:tcPr>
            <w:tcW w:w="1722" w:type="dxa"/>
          </w:tcPr>
          <w:p w14:paraId="06220506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712</w:t>
            </w:r>
          </w:p>
        </w:tc>
        <w:tc>
          <w:tcPr>
            <w:tcW w:w="1722" w:type="dxa"/>
          </w:tcPr>
          <w:p w14:paraId="62277751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672</w:t>
            </w:r>
          </w:p>
        </w:tc>
        <w:tc>
          <w:tcPr>
            <w:tcW w:w="4923" w:type="dxa"/>
          </w:tcPr>
          <w:p w14:paraId="1F194AD9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Si―O―Si bending</w:t>
            </w:r>
          </w:p>
        </w:tc>
      </w:tr>
      <w:tr w:rsidR="00F846B8" w:rsidRPr="00CC2B9D" w14:paraId="5DE1657D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021E8327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644</w:t>
            </w:r>
          </w:p>
        </w:tc>
        <w:tc>
          <w:tcPr>
            <w:tcW w:w="1722" w:type="dxa"/>
          </w:tcPr>
          <w:p w14:paraId="679A2736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-</w:t>
            </w:r>
          </w:p>
        </w:tc>
        <w:tc>
          <w:tcPr>
            <w:tcW w:w="1722" w:type="dxa"/>
          </w:tcPr>
          <w:p w14:paraId="1FDF3DBB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616</w:t>
            </w:r>
          </w:p>
        </w:tc>
        <w:tc>
          <w:tcPr>
            <w:tcW w:w="4923" w:type="dxa"/>
          </w:tcPr>
          <w:p w14:paraId="524FE3C2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Si―O―Si bending</w:t>
            </w:r>
          </w:p>
        </w:tc>
      </w:tr>
      <w:tr w:rsidR="00F846B8" w:rsidRPr="00CC2B9D" w14:paraId="1197F748" w14:textId="77777777" w:rsidTr="00A7177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2AFF4859" w14:textId="77777777" w:rsidR="00F846B8" w:rsidRPr="00CC2B9D" w:rsidRDefault="00F846B8" w:rsidP="00A7177C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b w:val="0"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sz w:val="24"/>
                <w:szCs w:val="24"/>
              </w:rPr>
              <w:t>506</w:t>
            </w:r>
          </w:p>
        </w:tc>
        <w:tc>
          <w:tcPr>
            <w:tcW w:w="1722" w:type="dxa"/>
          </w:tcPr>
          <w:p w14:paraId="1E87534E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439</w:t>
            </w:r>
          </w:p>
        </w:tc>
        <w:tc>
          <w:tcPr>
            <w:tcW w:w="1722" w:type="dxa"/>
          </w:tcPr>
          <w:p w14:paraId="48938A10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  <w:t>455</w:t>
            </w:r>
          </w:p>
        </w:tc>
        <w:tc>
          <w:tcPr>
            <w:tcW w:w="4923" w:type="dxa"/>
          </w:tcPr>
          <w:p w14:paraId="5F246087" w14:textId="77777777" w:rsidR="00F846B8" w:rsidRPr="00CC2B9D" w:rsidRDefault="00F846B8" w:rsidP="00A7177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Arial Unicode MS" w:hAnsiTheme="majorBidi" w:cstheme="majorBidi"/>
                <w:b/>
                <w:sz w:val="24"/>
                <w:szCs w:val="24"/>
              </w:rPr>
            </w:pPr>
            <w:r w:rsidRPr="00CC2B9D">
              <w:rPr>
                <w:rFonts w:asciiTheme="majorBidi" w:eastAsia="Arial Unicode MS" w:hAnsiTheme="majorBidi" w:cstheme="majorBidi"/>
                <w:bCs/>
                <w:sz w:val="24"/>
                <w:szCs w:val="24"/>
              </w:rPr>
              <w:t>Si―O―Si bending</w:t>
            </w:r>
          </w:p>
        </w:tc>
      </w:tr>
    </w:tbl>
    <w:p w14:paraId="15E78F5F" w14:textId="77777777" w:rsidR="00D07170" w:rsidRDefault="00D07170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344D59C" w14:textId="6D984DAC" w:rsidR="00D07170" w:rsidRPr="00D07170" w:rsidRDefault="00D07170" w:rsidP="00D07170">
      <w:pPr>
        <w:rPr>
          <w:rFonts w:asciiTheme="majorBidi" w:hAnsiTheme="majorBidi" w:cstheme="majorBidi"/>
          <w:sz w:val="24"/>
          <w:szCs w:val="24"/>
        </w:rPr>
      </w:pP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lastRenderedPageBreak/>
        <w:t>Table S</w:t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begin"/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instrText xml:space="preserve"> SEQ Table \* ARABIC </w:instrText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separate"/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t>3</w:t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end"/>
      </w:r>
      <w:r w:rsidRPr="003870D5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. </w:t>
      </w:r>
      <w:r w:rsidRPr="00D07170">
        <w:rPr>
          <w:rFonts w:asciiTheme="majorBidi" w:hAnsiTheme="majorBidi" w:cstheme="majorBidi"/>
          <w:sz w:val="24"/>
          <w:szCs w:val="24"/>
        </w:rPr>
        <w:t>Atomic percentages of raw clay and clay sintered samples obtained by EDS analysis.</w:t>
      </w:r>
    </w:p>
    <w:tbl>
      <w:tblPr>
        <w:tblStyle w:val="GridTable1Light"/>
        <w:tblW w:w="992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0"/>
        <w:gridCol w:w="712"/>
        <w:gridCol w:w="678"/>
        <w:gridCol w:w="678"/>
        <w:gridCol w:w="570"/>
        <w:gridCol w:w="678"/>
        <w:gridCol w:w="711"/>
        <w:gridCol w:w="601"/>
        <w:gridCol w:w="570"/>
        <w:gridCol w:w="570"/>
        <w:gridCol w:w="570"/>
        <w:gridCol w:w="570"/>
        <w:gridCol w:w="520"/>
        <w:gridCol w:w="541"/>
        <w:gridCol w:w="10"/>
      </w:tblGrid>
      <w:tr w:rsidR="00FE2B30" w:rsidRPr="00C00138" w14:paraId="6F820B72" w14:textId="77777777" w:rsidTr="004739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Merge w:val="restart"/>
            <w:vAlign w:val="center"/>
          </w:tcPr>
          <w:p w14:paraId="2C907A99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Material</w:t>
            </w:r>
          </w:p>
        </w:tc>
        <w:tc>
          <w:tcPr>
            <w:tcW w:w="7979" w:type="dxa"/>
            <w:gridSpan w:val="14"/>
            <w:vAlign w:val="center"/>
          </w:tcPr>
          <w:p w14:paraId="3DBBFA67" w14:textId="77777777" w:rsidR="00FE2B30" w:rsidRPr="005F606C" w:rsidRDefault="00FE2B30" w:rsidP="0047393E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Elemental content (%)</w:t>
            </w:r>
          </w:p>
        </w:tc>
      </w:tr>
      <w:tr w:rsidR="00FE2B30" w:rsidRPr="00C00138" w14:paraId="42A8FB70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Merge/>
            <w:vAlign w:val="center"/>
          </w:tcPr>
          <w:p w14:paraId="6AFDFFEF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14:paraId="2D5066D7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78" w:type="dxa"/>
            <w:vAlign w:val="center"/>
          </w:tcPr>
          <w:p w14:paraId="0086190E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678" w:type="dxa"/>
            <w:vAlign w:val="center"/>
          </w:tcPr>
          <w:p w14:paraId="337BE47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0" w:type="dxa"/>
            <w:vAlign w:val="center"/>
          </w:tcPr>
          <w:p w14:paraId="32F93DF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Al</w:t>
            </w:r>
          </w:p>
        </w:tc>
        <w:tc>
          <w:tcPr>
            <w:tcW w:w="678" w:type="dxa"/>
            <w:vAlign w:val="center"/>
          </w:tcPr>
          <w:p w14:paraId="1ECA242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711" w:type="dxa"/>
            <w:vAlign w:val="center"/>
          </w:tcPr>
          <w:p w14:paraId="4BDA9778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601" w:type="dxa"/>
            <w:vAlign w:val="center"/>
          </w:tcPr>
          <w:p w14:paraId="1BF1B2D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70" w:type="dxa"/>
            <w:vAlign w:val="center"/>
          </w:tcPr>
          <w:p w14:paraId="2267CFC2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570" w:type="dxa"/>
            <w:vAlign w:val="center"/>
          </w:tcPr>
          <w:p w14:paraId="039A088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Cu</w:t>
            </w:r>
          </w:p>
        </w:tc>
        <w:tc>
          <w:tcPr>
            <w:tcW w:w="570" w:type="dxa"/>
            <w:vAlign w:val="center"/>
          </w:tcPr>
          <w:p w14:paraId="47465F6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570" w:type="dxa"/>
            <w:vAlign w:val="center"/>
          </w:tcPr>
          <w:p w14:paraId="71C731B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Cl</w:t>
            </w:r>
          </w:p>
        </w:tc>
        <w:tc>
          <w:tcPr>
            <w:tcW w:w="520" w:type="dxa"/>
            <w:vAlign w:val="center"/>
          </w:tcPr>
          <w:p w14:paraId="01CAE28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5F606C">
              <w:rPr>
                <w:rFonts w:ascii="Times New Roman" w:hAnsi="Times New Roman" w:cs="Times New Roman"/>
              </w:rPr>
              <w:t>Ti</w:t>
            </w:r>
            <w:proofErr w:type="spellEnd"/>
          </w:p>
        </w:tc>
        <w:tc>
          <w:tcPr>
            <w:tcW w:w="541" w:type="dxa"/>
            <w:vAlign w:val="center"/>
          </w:tcPr>
          <w:p w14:paraId="5F61B6A7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Ba</w:t>
            </w:r>
          </w:p>
        </w:tc>
      </w:tr>
      <w:tr w:rsidR="00FE2B30" w:rsidRPr="00C00138" w14:paraId="53D7217E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67C2CF34" w14:textId="4D363523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Raw</w:t>
            </w:r>
            <w:r w:rsidR="00DE273E">
              <w:rPr>
                <w:rFonts w:ascii="Times New Roman" w:hAnsi="Times New Roman" w:cs="Times New Roman"/>
              </w:rPr>
              <w:t xml:space="preserve"> </w:t>
            </w:r>
            <w:r w:rsidRPr="005F606C">
              <w:rPr>
                <w:rFonts w:ascii="Times New Roman" w:hAnsi="Times New Roman" w:cs="Times New Roman"/>
              </w:rPr>
              <w:t>clay</w:t>
            </w:r>
          </w:p>
        </w:tc>
        <w:tc>
          <w:tcPr>
            <w:tcW w:w="712" w:type="dxa"/>
            <w:vAlign w:val="center"/>
          </w:tcPr>
          <w:p w14:paraId="3793DDB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47.9</w:t>
            </w:r>
          </w:p>
        </w:tc>
        <w:tc>
          <w:tcPr>
            <w:tcW w:w="678" w:type="dxa"/>
            <w:vAlign w:val="center"/>
          </w:tcPr>
          <w:p w14:paraId="3EADE84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678" w:type="dxa"/>
            <w:vAlign w:val="center"/>
          </w:tcPr>
          <w:p w14:paraId="30B414F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570" w:type="dxa"/>
            <w:vAlign w:val="center"/>
          </w:tcPr>
          <w:p w14:paraId="07949A7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78" w:type="dxa"/>
            <w:vAlign w:val="center"/>
          </w:tcPr>
          <w:p w14:paraId="6AF6F8E2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711" w:type="dxa"/>
            <w:vAlign w:val="center"/>
          </w:tcPr>
          <w:p w14:paraId="1FB6E9A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01" w:type="dxa"/>
            <w:vAlign w:val="center"/>
          </w:tcPr>
          <w:p w14:paraId="472E160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570" w:type="dxa"/>
            <w:vAlign w:val="center"/>
          </w:tcPr>
          <w:p w14:paraId="4E0F5E56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70" w:type="dxa"/>
            <w:vAlign w:val="center"/>
          </w:tcPr>
          <w:p w14:paraId="3EA2DCA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0" w:type="dxa"/>
            <w:vAlign w:val="center"/>
          </w:tcPr>
          <w:p w14:paraId="08F7396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70" w:type="dxa"/>
            <w:vAlign w:val="center"/>
          </w:tcPr>
          <w:p w14:paraId="0F62C6C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20" w:type="dxa"/>
            <w:vAlign w:val="center"/>
          </w:tcPr>
          <w:p w14:paraId="5B702192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1" w:type="dxa"/>
            <w:vAlign w:val="center"/>
          </w:tcPr>
          <w:p w14:paraId="77C4CC1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5AA30CDE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7F2CB802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raw clay paste</w:t>
            </w:r>
          </w:p>
        </w:tc>
        <w:tc>
          <w:tcPr>
            <w:tcW w:w="712" w:type="dxa"/>
            <w:vAlign w:val="center"/>
          </w:tcPr>
          <w:p w14:paraId="719C31B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102D1A2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678" w:type="dxa"/>
            <w:vAlign w:val="center"/>
          </w:tcPr>
          <w:p w14:paraId="2D51BCD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99.6</w:t>
            </w:r>
          </w:p>
        </w:tc>
        <w:tc>
          <w:tcPr>
            <w:tcW w:w="570" w:type="dxa"/>
            <w:vAlign w:val="center"/>
          </w:tcPr>
          <w:p w14:paraId="33C72A9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678" w:type="dxa"/>
            <w:vAlign w:val="center"/>
          </w:tcPr>
          <w:p w14:paraId="7AB91D6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1" w:type="dxa"/>
            <w:vAlign w:val="center"/>
          </w:tcPr>
          <w:p w14:paraId="2AA99D4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  <w:vAlign w:val="center"/>
          </w:tcPr>
          <w:p w14:paraId="4803BB1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522CEBF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2066678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70" w:type="dxa"/>
            <w:vAlign w:val="center"/>
          </w:tcPr>
          <w:p w14:paraId="139EBAB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4B6D4D4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3B39837E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28763A3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50E63AAD" w14:textId="77777777" w:rsidTr="0047393E">
        <w:trPr>
          <w:gridAfter w:val="1"/>
          <w:wAfter w:w="10" w:type="dxa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3C317ACA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250°C</w:t>
            </w:r>
          </w:p>
        </w:tc>
        <w:tc>
          <w:tcPr>
            <w:tcW w:w="712" w:type="dxa"/>
            <w:vAlign w:val="center"/>
          </w:tcPr>
          <w:p w14:paraId="51405E9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52.3</w:t>
            </w:r>
          </w:p>
        </w:tc>
        <w:tc>
          <w:tcPr>
            <w:tcW w:w="678" w:type="dxa"/>
            <w:vAlign w:val="center"/>
          </w:tcPr>
          <w:p w14:paraId="2D78A99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13.6</w:t>
            </w:r>
          </w:p>
        </w:tc>
        <w:tc>
          <w:tcPr>
            <w:tcW w:w="678" w:type="dxa"/>
            <w:vAlign w:val="center"/>
          </w:tcPr>
          <w:p w14:paraId="090E88D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570" w:type="dxa"/>
            <w:vAlign w:val="center"/>
          </w:tcPr>
          <w:p w14:paraId="0DA4F73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78" w:type="dxa"/>
            <w:vAlign w:val="center"/>
          </w:tcPr>
          <w:p w14:paraId="0CAD325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711" w:type="dxa"/>
            <w:vAlign w:val="center"/>
          </w:tcPr>
          <w:p w14:paraId="6B718F1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" w:type="dxa"/>
            <w:vAlign w:val="center"/>
          </w:tcPr>
          <w:p w14:paraId="7E8A805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0" w:type="dxa"/>
            <w:vAlign w:val="center"/>
          </w:tcPr>
          <w:p w14:paraId="226ADC3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70" w:type="dxa"/>
            <w:vAlign w:val="center"/>
          </w:tcPr>
          <w:p w14:paraId="788F8DA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70" w:type="dxa"/>
            <w:vAlign w:val="center"/>
          </w:tcPr>
          <w:p w14:paraId="363B730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70" w:type="dxa"/>
            <w:vAlign w:val="center"/>
          </w:tcPr>
          <w:p w14:paraId="21B7ADBB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20" w:type="dxa"/>
            <w:vAlign w:val="center"/>
          </w:tcPr>
          <w:p w14:paraId="1E90938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1" w:type="dxa"/>
            <w:vAlign w:val="center"/>
          </w:tcPr>
          <w:p w14:paraId="2B78B5E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0F27C4D8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2B65D2B2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250°C paste</w:t>
            </w:r>
          </w:p>
        </w:tc>
        <w:tc>
          <w:tcPr>
            <w:tcW w:w="712" w:type="dxa"/>
            <w:vAlign w:val="center"/>
          </w:tcPr>
          <w:p w14:paraId="7C50B3F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3F1487C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678" w:type="dxa"/>
            <w:vAlign w:val="center"/>
          </w:tcPr>
          <w:p w14:paraId="11AAE6E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99.2</w:t>
            </w:r>
          </w:p>
        </w:tc>
        <w:tc>
          <w:tcPr>
            <w:tcW w:w="570" w:type="dxa"/>
            <w:vAlign w:val="center"/>
          </w:tcPr>
          <w:p w14:paraId="646898B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1BB85152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1" w:type="dxa"/>
            <w:vAlign w:val="center"/>
          </w:tcPr>
          <w:p w14:paraId="09147548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  <w:vAlign w:val="center"/>
          </w:tcPr>
          <w:p w14:paraId="70E4115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787AFE3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21767CB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70" w:type="dxa"/>
            <w:vAlign w:val="center"/>
          </w:tcPr>
          <w:p w14:paraId="599C1788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543F911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25AD697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08B47CE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69853435" w14:textId="77777777" w:rsidTr="0047393E">
        <w:trPr>
          <w:gridAfter w:val="1"/>
          <w:wAfter w:w="10" w:type="dxa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03B744AD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1000°C</w:t>
            </w:r>
          </w:p>
        </w:tc>
        <w:tc>
          <w:tcPr>
            <w:tcW w:w="712" w:type="dxa"/>
            <w:vAlign w:val="center"/>
          </w:tcPr>
          <w:p w14:paraId="28D248C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44.3</w:t>
            </w:r>
          </w:p>
        </w:tc>
        <w:tc>
          <w:tcPr>
            <w:tcW w:w="678" w:type="dxa"/>
            <w:vAlign w:val="center"/>
          </w:tcPr>
          <w:p w14:paraId="263F19BE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19.4</w:t>
            </w:r>
          </w:p>
        </w:tc>
        <w:tc>
          <w:tcPr>
            <w:tcW w:w="678" w:type="dxa"/>
            <w:vAlign w:val="center"/>
          </w:tcPr>
          <w:p w14:paraId="5DCB55E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0" w:type="dxa"/>
            <w:vAlign w:val="center"/>
          </w:tcPr>
          <w:p w14:paraId="5CAA79FE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78" w:type="dxa"/>
            <w:vAlign w:val="center"/>
          </w:tcPr>
          <w:p w14:paraId="1316FCA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711" w:type="dxa"/>
            <w:vAlign w:val="center"/>
          </w:tcPr>
          <w:p w14:paraId="73E6BA4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01" w:type="dxa"/>
            <w:vAlign w:val="center"/>
          </w:tcPr>
          <w:p w14:paraId="75841C9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70" w:type="dxa"/>
            <w:vAlign w:val="center"/>
          </w:tcPr>
          <w:p w14:paraId="6848AF2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70" w:type="dxa"/>
            <w:vAlign w:val="center"/>
          </w:tcPr>
          <w:p w14:paraId="477377B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33C411C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570" w:type="dxa"/>
            <w:vAlign w:val="center"/>
          </w:tcPr>
          <w:p w14:paraId="03E9D908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3D37B90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1DC3544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0.7</w:t>
            </w:r>
          </w:p>
        </w:tc>
      </w:tr>
      <w:tr w:rsidR="00FE2B30" w:rsidRPr="00C00138" w14:paraId="16ADBBE1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3630BE3B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1000°C paste</w:t>
            </w:r>
          </w:p>
        </w:tc>
        <w:tc>
          <w:tcPr>
            <w:tcW w:w="712" w:type="dxa"/>
            <w:vAlign w:val="center"/>
          </w:tcPr>
          <w:p w14:paraId="06FEA34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71CA4CA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678" w:type="dxa"/>
            <w:vAlign w:val="center"/>
          </w:tcPr>
          <w:p w14:paraId="78EAB006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99.6</w:t>
            </w:r>
          </w:p>
        </w:tc>
        <w:tc>
          <w:tcPr>
            <w:tcW w:w="570" w:type="dxa"/>
            <w:vAlign w:val="center"/>
          </w:tcPr>
          <w:p w14:paraId="5E6FD9F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040A392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1" w:type="dxa"/>
            <w:vAlign w:val="center"/>
          </w:tcPr>
          <w:p w14:paraId="173EF472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  <w:vAlign w:val="center"/>
          </w:tcPr>
          <w:p w14:paraId="65346F2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2798749F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1EBEC89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70" w:type="dxa"/>
            <w:vAlign w:val="center"/>
          </w:tcPr>
          <w:p w14:paraId="1822E22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0D4A2DE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71D00B46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554D6F25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6503D8A7" w14:textId="77777777" w:rsidTr="0047393E">
        <w:trPr>
          <w:gridAfter w:val="1"/>
          <w:wAfter w:w="10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220D6D9F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1100°C</w:t>
            </w:r>
          </w:p>
        </w:tc>
        <w:tc>
          <w:tcPr>
            <w:tcW w:w="712" w:type="dxa"/>
            <w:vAlign w:val="center"/>
          </w:tcPr>
          <w:p w14:paraId="78334027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31.6</w:t>
            </w:r>
          </w:p>
        </w:tc>
        <w:tc>
          <w:tcPr>
            <w:tcW w:w="678" w:type="dxa"/>
            <w:vAlign w:val="center"/>
          </w:tcPr>
          <w:p w14:paraId="61311EB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678" w:type="dxa"/>
            <w:vAlign w:val="center"/>
          </w:tcPr>
          <w:p w14:paraId="34751B3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70" w:type="dxa"/>
            <w:vAlign w:val="center"/>
          </w:tcPr>
          <w:p w14:paraId="0BA0FB2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78" w:type="dxa"/>
            <w:vAlign w:val="center"/>
          </w:tcPr>
          <w:p w14:paraId="39D08EB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711" w:type="dxa"/>
            <w:vAlign w:val="center"/>
          </w:tcPr>
          <w:p w14:paraId="10FEEFA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18.8</w:t>
            </w:r>
          </w:p>
        </w:tc>
        <w:tc>
          <w:tcPr>
            <w:tcW w:w="601" w:type="dxa"/>
            <w:vAlign w:val="center"/>
          </w:tcPr>
          <w:p w14:paraId="1F3B800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70" w:type="dxa"/>
            <w:vAlign w:val="center"/>
          </w:tcPr>
          <w:p w14:paraId="48AA66A7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70" w:type="dxa"/>
            <w:vAlign w:val="center"/>
          </w:tcPr>
          <w:p w14:paraId="4C30E8AA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0" w:type="dxa"/>
            <w:vAlign w:val="center"/>
          </w:tcPr>
          <w:p w14:paraId="0B5A8CF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2BDF877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395D045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407BB60D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  <w:tr w:rsidR="00FE2B30" w:rsidRPr="00C00138" w14:paraId="4AD78ECF" w14:textId="77777777" w:rsidTr="0047393E">
        <w:trPr>
          <w:gridAfter w:val="1"/>
          <w:wAfter w:w="10" w:type="dxa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  <w:vAlign w:val="center"/>
          </w:tcPr>
          <w:p w14:paraId="5F9B66E4" w14:textId="77777777" w:rsidR="00FE2B30" w:rsidRPr="005F606C" w:rsidRDefault="00FE2B30" w:rsidP="0047393E">
            <w:pPr>
              <w:spacing w:before="240" w:line="276" w:lineRule="auto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5% clay sintered to 1100°C paste</w:t>
            </w:r>
          </w:p>
        </w:tc>
        <w:tc>
          <w:tcPr>
            <w:tcW w:w="712" w:type="dxa"/>
            <w:vAlign w:val="center"/>
          </w:tcPr>
          <w:p w14:paraId="67C72C11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5EF26FF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15BDAD1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96.4</w:t>
            </w:r>
          </w:p>
        </w:tc>
        <w:tc>
          <w:tcPr>
            <w:tcW w:w="570" w:type="dxa"/>
            <w:vAlign w:val="center"/>
          </w:tcPr>
          <w:p w14:paraId="28A565AE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8" w:type="dxa"/>
            <w:vAlign w:val="center"/>
          </w:tcPr>
          <w:p w14:paraId="6C3A8B6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1" w:type="dxa"/>
            <w:vAlign w:val="center"/>
          </w:tcPr>
          <w:p w14:paraId="1D026A99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  <w:vAlign w:val="center"/>
          </w:tcPr>
          <w:p w14:paraId="00C03F6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6A4C573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0DBB815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570" w:type="dxa"/>
            <w:vAlign w:val="center"/>
          </w:tcPr>
          <w:p w14:paraId="6D5D1B00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0" w:type="dxa"/>
            <w:vAlign w:val="center"/>
          </w:tcPr>
          <w:p w14:paraId="27E1C4A4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14:paraId="1B4181F3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41" w:type="dxa"/>
            <w:vAlign w:val="center"/>
          </w:tcPr>
          <w:p w14:paraId="3B230DDC" w14:textId="77777777" w:rsidR="00FE2B30" w:rsidRPr="005F606C" w:rsidRDefault="00FE2B30" w:rsidP="0047393E">
            <w:pPr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606C">
              <w:rPr>
                <w:rFonts w:ascii="Times New Roman" w:hAnsi="Times New Roman" w:cs="Times New Roman"/>
              </w:rPr>
              <w:t>-</w:t>
            </w:r>
          </w:p>
        </w:tc>
      </w:tr>
    </w:tbl>
    <w:p w14:paraId="573E215D" w14:textId="77777777" w:rsidR="00A71506" w:rsidRDefault="001C3236" w:rsidP="00A71506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EB66268" wp14:editId="01D897EC">
            <wp:extent cx="5962650" cy="426006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34" cy="426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2DA56" w14:textId="76D47998" w:rsidR="00A71506" w:rsidRPr="00A71506" w:rsidRDefault="00A71506" w:rsidP="00A71506">
      <w:pPr>
        <w:jc w:val="both"/>
        <w:rPr>
          <w:rFonts w:asciiTheme="majorBidi" w:hAnsiTheme="majorBidi" w:cstheme="majorBidi"/>
          <w:sz w:val="24"/>
          <w:szCs w:val="24"/>
        </w:rPr>
      </w:pP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Fig</w:t>
      </w:r>
      <w:r w:rsidR="00DE273E"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. 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S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begin"/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instrText xml:space="preserve"> SEQ Figure \* ARABIC </w:instrTex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separate"/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1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end"/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.</w:t>
      </w:r>
      <w:r w:rsidR="001529E1"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A71506">
        <w:rPr>
          <w:rFonts w:asciiTheme="majorBidi" w:hAnsiTheme="majorBidi" w:cstheme="majorBidi"/>
          <w:sz w:val="24"/>
          <w:szCs w:val="24"/>
        </w:rPr>
        <w:t>SEM micrographs of 5% raw clay paste (A), 5% clay sintered to 250°C paste (B), 5% clay sintered to 1000°C paste (C) and 5% clay sintered to 1100°C paste (D).</w:t>
      </w:r>
    </w:p>
    <w:p w14:paraId="7C457004" w14:textId="60EA8868" w:rsidR="00DD2F4A" w:rsidRDefault="00CB37F2" w:rsidP="004E6428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B434D3D" wp14:editId="2DF9B71B">
            <wp:extent cx="4594676" cy="719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68" cy="723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45DD4" w14:textId="441AF575" w:rsidR="00DD2F4A" w:rsidRPr="00DD2F4A" w:rsidRDefault="00DD2F4A" w:rsidP="00DD2F4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Fig</w:t>
      </w:r>
      <w:r w:rsidR="00DE273E"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. 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S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begin"/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instrText xml:space="preserve"> SEQ Figure \* ARABIC </w:instrTex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separate"/>
      </w:r>
      <w:r w:rsidR="00A71506" w:rsidRPr="00DE273E"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w:t>2</w:t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fldChar w:fldCharType="end"/>
      </w:r>
      <w:r w:rsidRPr="00DE273E">
        <w:rPr>
          <w:rFonts w:asciiTheme="majorBidi" w:hAnsiTheme="majorBidi" w:cstheme="majorBidi"/>
          <w:b/>
          <w:bCs/>
          <w:color w:val="FF0000"/>
          <w:sz w:val="24"/>
          <w:szCs w:val="24"/>
        </w:rPr>
        <w:t>.</w:t>
      </w:r>
      <w:r w:rsidRPr="00DE273E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DD2F4A">
        <w:rPr>
          <w:rFonts w:asciiTheme="majorBidi" w:hAnsiTheme="majorBidi" w:cstheme="majorBidi"/>
          <w:sz w:val="24"/>
          <w:szCs w:val="24"/>
        </w:rPr>
        <w:t>Effect of scan rate used to calculate the electroactive surface area for (</w:t>
      </w:r>
      <w:r w:rsidR="004E6428">
        <w:rPr>
          <w:rFonts w:asciiTheme="majorBidi" w:hAnsiTheme="majorBidi" w:cstheme="majorBidi"/>
          <w:sz w:val="24"/>
          <w:szCs w:val="24"/>
        </w:rPr>
        <w:t>A</w:t>
      </w:r>
      <w:r w:rsidRPr="00DD2F4A">
        <w:rPr>
          <w:rFonts w:asciiTheme="majorBidi" w:hAnsiTheme="majorBidi" w:cstheme="majorBidi"/>
          <w:sz w:val="24"/>
          <w:szCs w:val="24"/>
        </w:rPr>
        <w:t xml:space="preserve">) </w:t>
      </w:r>
      <w:r w:rsidR="00C3078B">
        <w:rPr>
          <w:rFonts w:asciiTheme="majorBidi" w:hAnsiTheme="majorBidi" w:cstheme="majorBidi"/>
          <w:sz w:val="24"/>
          <w:szCs w:val="24"/>
        </w:rPr>
        <w:t xml:space="preserve">bare </w:t>
      </w:r>
      <w:r w:rsidRPr="00DD2F4A">
        <w:rPr>
          <w:rFonts w:asciiTheme="majorBidi" w:hAnsiTheme="majorBidi" w:cstheme="majorBidi"/>
          <w:sz w:val="24"/>
          <w:szCs w:val="24"/>
        </w:rPr>
        <w:t>graphite, (</w:t>
      </w:r>
      <w:r w:rsidR="004E6428">
        <w:rPr>
          <w:rFonts w:asciiTheme="majorBidi" w:hAnsiTheme="majorBidi" w:cstheme="majorBidi"/>
          <w:sz w:val="24"/>
          <w:szCs w:val="24"/>
        </w:rPr>
        <w:t>B</w:t>
      </w:r>
      <w:r w:rsidRPr="00DD2F4A">
        <w:rPr>
          <w:rFonts w:asciiTheme="majorBidi" w:hAnsiTheme="majorBidi" w:cstheme="majorBidi"/>
          <w:sz w:val="24"/>
          <w:szCs w:val="24"/>
        </w:rPr>
        <w:t>) 5% raw clay, (</w:t>
      </w:r>
      <w:r w:rsidR="004E6428">
        <w:rPr>
          <w:rFonts w:asciiTheme="majorBidi" w:hAnsiTheme="majorBidi" w:cstheme="majorBidi"/>
          <w:sz w:val="24"/>
          <w:szCs w:val="24"/>
        </w:rPr>
        <w:t>C</w:t>
      </w:r>
      <w:r w:rsidRPr="00DD2F4A">
        <w:rPr>
          <w:rFonts w:asciiTheme="majorBidi" w:hAnsiTheme="majorBidi" w:cstheme="majorBidi"/>
          <w:sz w:val="24"/>
          <w:szCs w:val="24"/>
        </w:rPr>
        <w:t>) 5% clay sintered to 250°C, (</w:t>
      </w:r>
      <w:r w:rsidR="004E6428">
        <w:rPr>
          <w:rFonts w:asciiTheme="majorBidi" w:hAnsiTheme="majorBidi" w:cstheme="majorBidi"/>
          <w:sz w:val="24"/>
          <w:szCs w:val="24"/>
        </w:rPr>
        <w:t>D</w:t>
      </w:r>
      <w:r w:rsidRPr="00DD2F4A">
        <w:rPr>
          <w:rFonts w:asciiTheme="majorBidi" w:hAnsiTheme="majorBidi" w:cstheme="majorBidi"/>
          <w:sz w:val="24"/>
          <w:szCs w:val="24"/>
        </w:rPr>
        <w:t>) 5% clay sintered to 500°C, (</w:t>
      </w:r>
      <w:r w:rsidR="004E6428">
        <w:rPr>
          <w:rFonts w:asciiTheme="majorBidi" w:hAnsiTheme="majorBidi" w:cstheme="majorBidi"/>
          <w:sz w:val="24"/>
          <w:szCs w:val="24"/>
        </w:rPr>
        <w:t>E</w:t>
      </w:r>
      <w:r w:rsidRPr="00DD2F4A">
        <w:rPr>
          <w:rFonts w:asciiTheme="majorBidi" w:hAnsiTheme="majorBidi" w:cstheme="majorBidi"/>
          <w:sz w:val="24"/>
          <w:szCs w:val="24"/>
        </w:rPr>
        <w:t>) 5% clay sintered to 700°C, (</w:t>
      </w:r>
      <w:r w:rsidR="004E6428">
        <w:rPr>
          <w:rFonts w:asciiTheme="majorBidi" w:hAnsiTheme="majorBidi" w:cstheme="majorBidi"/>
          <w:sz w:val="24"/>
          <w:szCs w:val="24"/>
        </w:rPr>
        <w:t>F</w:t>
      </w:r>
      <w:r w:rsidRPr="00DD2F4A">
        <w:rPr>
          <w:rFonts w:asciiTheme="majorBidi" w:hAnsiTheme="majorBidi" w:cstheme="majorBidi"/>
          <w:sz w:val="24"/>
          <w:szCs w:val="24"/>
        </w:rPr>
        <w:t>) 5% clay sintered to 1000°C, and (</w:t>
      </w:r>
      <w:r w:rsidR="004E6428">
        <w:rPr>
          <w:rFonts w:asciiTheme="majorBidi" w:hAnsiTheme="majorBidi" w:cstheme="majorBidi"/>
          <w:sz w:val="24"/>
          <w:szCs w:val="24"/>
        </w:rPr>
        <w:t>G</w:t>
      </w:r>
      <w:r w:rsidRPr="00DD2F4A">
        <w:rPr>
          <w:rFonts w:asciiTheme="majorBidi" w:hAnsiTheme="majorBidi" w:cstheme="majorBidi"/>
          <w:sz w:val="24"/>
          <w:szCs w:val="24"/>
        </w:rPr>
        <w:t xml:space="preserve">) 5% clay sintered to 1100°C.  </w:t>
      </w:r>
    </w:p>
    <w:sectPr w:rsidR="00DD2F4A" w:rsidRPr="00DD2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2A"/>
    <w:rsid w:val="00051F81"/>
    <w:rsid w:val="00091959"/>
    <w:rsid w:val="0011521D"/>
    <w:rsid w:val="001529E1"/>
    <w:rsid w:val="001C3236"/>
    <w:rsid w:val="001C45C7"/>
    <w:rsid w:val="00246FB2"/>
    <w:rsid w:val="003870D5"/>
    <w:rsid w:val="00413633"/>
    <w:rsid w:val="00414F48"/>
    <w:rsid w:val="004E6428"/>
    <w:rsid w:val="00506087"/>
    <w:rsid w:val="0053584F"/>
    <w:rsid w:val="00546CD0"/>
    <w:rsid w:val="00561CAC"/>
    <w:rsid w:val="006D78C8"/>
    <w:rsid w:val="007C00CE"/>
    <w:rsid w:val="007C2178"/>
    <w:rsid w:val="00A02990"/>
    <w:rsid w:val="00A50C98"/>
    <w:rsid w:val="00A71506"/>
    <w:rsid w:val="00B2723B"/>
    <w:rsid w:val="00BF2B2A"/>
    <w:rsid w:val="00BF3A9F"/>
    <w:rsid w:val="00C3078B"/>
    <w:rsid w:val="00C36BFB"/>
    <w:rsid w:val="00CB37F2"/>
    <w:rsid w:val="00D03E5F"/>
    <w:rsid w:val="00D07170"/>
    <w:rsid w:val="00D17D07"/>
    <w:rsid w:val="00DB4EFB"/>
    <w:rsid w:val="00DD2F4A"/>
    <w:rsid w:val="00DE273E"/>
    <w:rsid w:val="00E10A23"/>
    <w:rsid w:val="00EA055C"/>
    <w:rsid w:val="00EC217A"/>
    <w:rsid w:val="00F37CB2"/>
    <w:rsid w:val="00F7554C"/>
    <w:rsid w:val="00F846B8"/>
    <w:rsid w:val="00F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29C5F"/>
  <w15:chartTrackingRefBased/>
  <w15:docId w15:val="{CC6EE307-0EA9-4E63-9B9A-4EDDA860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2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272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1Light">
    <w:name w:val="Grid Table 1 Light"/>
    <w:basedOn w:val="TableNormal"/>
    <w:uiPriority w:val="46"/>
    <w:rsid w:val="00F846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561C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561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61CAC"/>
  </w:style>
  <w:style w:type="character" w:customStyle="1" w:styleId="eop">
    <w:name w:val="eop"/>
    <w:basedOn w:val="DefaultParagraphFont"/>
    <w:rsid w:val="00561CAC"/>
  </w:style>
  <w:style w:type="character" w:styleId="Hyperlink">
    <w:name w:val="Hyperlink"/>
    <w:basedOn w:val="DefaultParagraphFont"/>
    <w:uiPriority w:val="99"/>
    <w:unhideWhenUsed/>
    <w:rsid w:val="00561C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CA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1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F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F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F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8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C2F6DBF5C2740932689FD26F4D6C3" ma:contentTypeVersion="14" ma:contentTypeDescription="Create a new document." ma:contentTypeScope="" ma:versionID="638c00b681fa5e58a6487bed94ff9d26">
  <xsd:schema xmlns:xsd="http://www.w3.org/2001/XMLSchema" xmlns:xs="http://www.w3.org/2001/XMLSchema" xmlns:p="http://schemas.microsoft.com/office/2006/metadata/properties" xmlns:ns3="85224c9b-3834-44c4-90a4-a8cb3a5c7c25" xmlns:ns4="cc391a19-1c29-44f8-b5fa-8dfbd1a2a733" targetNamespace="http://schemas.microsoft.com/office/2006/metadata/properties" ma:root="true" ma:fieldsID="4b2384dd8982c5c1b79ccc3c159ecba2" ns3:_="" ns4:_="">
    <xsd:import namespace="85224c9b-3834-44c4-90a4-a8cb3a5c7c25"/>
    <xsd:import namespace="cc391a19-1c29-44f8-b5fa-8dfbd1a2a7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24c9b-3834-44c4-90a4-a8cb3a5c7c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91a19-1c29-44f8-b5fa-8dfbd1a2a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97E9FA-D980-4815-B2FE-B1BD05A23C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1499A1-F463-4F21-BA26-E900145387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C2D5C-B45E-4DEB-9725-CAB5CB5134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24c9b-3834-44c4-90a4-a8cb3a5c7c25"/>
    <ds:schemaRef ds:uri="cc391a19-1c29-44f8-b5fa-8dfbd1a2a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Lubna Jamal Hussein Bin Ali Jaber</dc:creator>
  <cp:keywords/>
  <dc:description/>
  <cp:lastModifiedBy>Abdelaziz Elgamouz</cp:lastModifiedBy>
  <cp:revision>2</cp:revision>
  <dcterms:created xsi:type="dcterms:W3CDTF">2022-09-12T02:37:00Z</dcterms:created>
  <dcterms:modified xsi:type="dcterms:W3CDTF">2022-09-12T02:37:00Z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0x0101006EEC2F6DBF5C2740932689FD26F4D6C3</vt:lpwstr>
  </property>
</Properties>
</file>