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870" w:rsidRDefault="00382E95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 w:hint="eastAsia"/>
          <w:b/>
          <w:bCs/>
          <w:sz w:val="28"/>
          <w:szCs w:val="28"/>
        </w:rPr>
        <w:t>Supporting information</w:t>
      </w: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114300" distR="114300">
            <wp:extent cx="5219700" cy="7019290"/>
            <wp:effectExtent l="0" t="0" r="0" b="0"/>
            <wp:docPr id="1" name="图片 1" descr="红外＋紫外+TEM+SEM+EDX2022.9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红外＋紫外+TEM+SEM+EDX2022.9.26"/>
                    <pic:cNvPicPr>
                      <a:picLocks noChangeAspect="1"/>
                    </pic:cNvPicPr>
                  </pic:nvPicPr>
                  <pic:blipFill>
                    <a:blip r:embed="rId7"/>
                    <a:srcRect l="1867" t="2036" r="7927" b="36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4D0870" w:rsidRDefault="004D0870">
      <w:pPr>
        <w:jc w:val="center"/>
        <w:rPr>
          <w:rFonts w:ascii="Arial" w:hAnsi="Arial" w:cs="Arial"/>
          <w:szCs w:val="21"/>
        </w:rPr>
      </w:pPr>
    </w:p>
    <w:p w:rsidR="004D0870" w:rsidRDefault="00382E95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t>Fig</w:t>
      </w:r>
      <w:r>
        <w:rPr>
          <w:rFonts w:ascii="Arial" w:hAnsi="Arial" w:cs="Arial" w:hint="eastAsia"/>
          <w:color w:val="000000"/>
        </w:rPr>
        <w:t>ure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 w:hint="eastAsia"/>
          <w:color w:val="000000"/>
        </w:rPr>
        <w:t>S</w:t>
      </w:r>
      <w:r>
        <w:rPr>
          <w:rFonts w:ascii="Arial" w:hAnsi="Arial" w:cs="Arial"/>
          <w:color w:val="000000"/>
        </w:rPr>
        <w:t xml:space="preserve">1. (A) </w:t>
      </w:r>
      <w:r>
        <w:rPr>
          <w:rFonts w:ascii="Arial" w:hAnsi="Arial" w:cs="Arial"/>
        </w:rPr>
        <w:t xml:space="preserve">The UV-Vis absorption </w:t>
      </w:r>
      <w:r>
        <w:rPr>
          <w:rFonts w:ascii="Arial" w:eastAsia="AdvOT863180fb" w:hAnsi="Arial" w:cs="Arial"/>
          <w:kern w:val="0"/>
        </w:rPr>
        <w:t>and p</w:t>
      </w:r>
      <w:r>
        <w:rPr>
          <w:rFonts w:ascii="Arial" w:eastAsia="AdvOT863180fb" w:hAnsi="Arial" w:cs="Arial"/>
          <w:color w:val="000000"/>
          <w:kern w:val="0"/>
        </w:rPr>
        <w:t>hoto</w:t>
      </w:r>
      <w:r>
        <w:rPr>
          <w:rFonts w:ascii="Arial" w:hAnsi="Arial" w:cs="Arial"/>
          <w:color w:val="000000"/>
          <w:kern w:val="0"/>
        </w:rPr>
        <w:t xml:space="preserve">graph </w:t>
      </w:r>
      <w:r>
        <w:rPr>
          <w:rFonts w:ascii="Arial" w:hAnsi="Arial" w:cs="Arial"/>
          <w:color w:val="000000"/>
        </w:rPr>
        <w:t xml:space="preserve">of </w:t>
      </w:r>
      <w:r>
        <w:rPr>
          <w:rFonts w:ascii="Arial" w:hAnsi="Arial" w:cs="Arial" w:hint="eastAsia"/>
          <w:color w:val="000000"/>
        </w:rPr>
        <w:t>Rutin</w:t>
      </w:r>
      <w:r>
        <w:rPr>
          <w:rFonts w:ascii="Arial" w:hAnsi="Arial" w:cs="Arial"/>
          <w:color w:val="000000"/>
        </w:rPr>
        <w:t>-</w:t>
      </w:r>
      <w:r>
        <w:rPr>
          <w:rFonts w:ascii="Arial" w:eastAsia="AdvOT863180fb" w:hAnsi="Arial" w:cs="Arial"/>
          <w:color w:val="000000"/>
          <w:kern w:val="0"/>
        </w:rPr>
        <w:t>AuNPs</w:t>
      </w:r>
      <w:r>
        <w:rPr>
          <w:rFonts w:ascii="Arial" w:hAnsi="Arial" w:cs="Arial"/>
          <w:color w:val="000000"/>
        </w:rPr>
        <w:t xml:space="preserve">. (B) The FT-IR spectrum of </w:t>
      </w:r>
      <w:r>
        <w:rPr>
          <w:rFonts w:ascii="Arial" w:hAnsi="Arial" w:cs="Arial" w:hint="eastAsia"/>
          <w:color w:val="000000"/>
          <w:kern w:val="0"/>
        </w:rPr>
        <w:t>Rutin</w:t>
      </w:r>
      <w:r>
        <w:rPr>
          <w:rFonts w:ascii="Arial" w:hAnsi="Arial" w:cs="Arial"/>
          <w:color w:val="000000"/>
          <w:kern w:val="0"/>
        </w:rPr>
        <w:t xml:space="preserve"> </w:t>
      </w:r>
      <w:r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 w:hint="eastAsia"/>
          <w:color w:val="000000"/>
        </w:rPr>
        <w:t>Rutin</w:t>
      </w:r>
      <w:r>
        <w:rPr>
          <w:rFonts w:ascii="Arial" w:hAnsi="Arial" w:cs="Arial"/>
          <w:color w:val="000000"/>
        </w:rPr>
        <w:t>-</w:t>
      </w:r>
      <w:r>
        <w:rPr>
          <w:rFonts w:ascii="Arial" w:eastAsia="AdvOT863180fb" w:hAnsi="Arial" w:cs="Arial"/>
          <w:color w:val="000000"/>
          <w:kern w:val="0"/>
        </w:rPr>
        <w:t>AuNPs</w:t>
      </w:r>
      <w:r>
        <w:rPr>
          <w:rFonts w:ascii="Arial" w:hAnsi="Arial" w:cs="Arial"/>
          <w:color w:val="000000"/>
          <w:kern w:val="0"/>
        </w:rPr>
        <w:t>.</w:t>
      </w:r>
      <w:r>
        <w:rPr>
          <w:rFonts w:ascii="Arial" w:hAnsi="Arial" w:cs="Arial"/>
          <w:color w:val="000000"/>
        </w:rPr>
        <w:t xml:space="preserve"> (C) The TEM image of </w:t>
      </w:r>
      <w:r>
        <w:rPr>
          <w:rFonts w:ascii="Arial" w:hAnsi="Arial" w:cs="Arial" w:hint="eastAsia"/>
          <w:color w:val="000000"/>
        </w:rPr>
        <w:t>Rutin</w:t>
      </w:r>
      <w:r>
        <w:rPr>
          <w:rFonts w:ascii="Arial" w:hAnsi="Arial" w:cs="Arial"/>
          <w:color w:val="000000"/>
        </w:rPr>
        <w:t xml:space="preserve">-AuNPs. (D) The SEM image of </w:t>
      </w:r>
      <w:r>
        <w:rPr>
          <w:rFonts w:ascii="Arial" w:hAnsi="Arial" w:cs="Arial" w:hint="eastAsia"/>
          <w:color w:val="000000"/>
        </w:rPr>
        <w:t>Rutin</w:t>
      </w:r>
      <w:r>
        <w:rPr>
          <w:rFonts w:ascii="Arial" w:hAnsi="Arial" w:cs="Arial"/>
          <w:color w:val="000000"/>
        </w:rPr>
        <w:t xml:space="preserve">-AuNPs. (E) The EDX image of </w:t>
      </w:r>
      <w:r>
        <w:rPr>
          <w:rFonts w:ascii="Arial" w:hAnsi="Arial" w:cs="Arial" w:hint="eastAsia"/>
          <w:color w:val="000000"/>
        </w:rPr>
        <w:t>Rutin</w:t>
      </w:r>
      <w:r>
        <w:rPr>
          <w:rFonts w:ascii="Arial" w:hAnsi="Arial" w:cs="Arial"/>
          <w:color w:val="000000"/>
        </w:rPr>
        <w:t xml:space="preserve">-AuNPs. </w:t>
      </w:r>
    </w:p>
    <w:p w:rsidR="004D0870" w:rsidRDefault="00382E95">
      <w:pPr>
        <w:jc w:val="center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>
            <wp:extent cx="5219700" cy="41611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16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Fig</w:t>
      </w:r>
      <w:r>
        <w:rPr>
          <w:rFonts w:ascii="Arial" w:hAnsi="Arial" w:cs="Arial" w:hint="eastAsia"/>
          <w:color w:val="000000"/>
        </w:rPr>
        <w:t>ure</w:t>
      </w:r>
      <w:r>
        <w:rPr>
          <w:rFonts w:ascii="Arial" w:hAnsi="Arial" w:cs="Arial"/>
        </w:rPr>
        <w:t>.</w:t>
      </w:r>
      <w:r>
        <w:rPr>
          <w:rFonts w:ascii="Arial" w:hAnsi="Arial" w:cs="Arial" w:hint="eastAsia"/>
        </w:rPr>
        <w:t>S</w:t>
      </w:r>
      <w:r>
        <w:rPr>
          <w:rFonts w:ascii="Arial" w:hAnsi="Arial" w:cs="Arial"/>
        </w:rPr>
        <w:t>2. T</w:t>
      </w:r>
      <w:r>
        <w:rPr>
          <w:rFonts w:ascii="Arial" w:hAnsi="Arial" w:cs="Arial" w:hint="eastAsia"/>
        </w:rPr>
        <w:t>he</w:t>
      </w:r>
      <w:r>
        <w:rPr>
          <w:rFonts w:ascii="Arial" w:hAnsi="Arial" w:cs="Arial"/>
        </w:rPr>
        <w:t xml:space="preserve"> XPS image of Au (A), C (B), O (C), and </w:t>
      </w:r>
      <w:r>
        <w:rPr>
          <w:rFonts w:ascii="Arial" w:hAnsi="Arial" w:cs="Arial" w:hint="eastAsia"/>
        </w:rPr>
        <w:t>Rutin</w:t>
      </w:r>
      <w:r>
        <w:rPr>
          <w:rFonts w:ascii="Arial" w:hAnsi="Arial" w:cs="Arial"/>
        </w:rPr>
        <w:t>-AuNPs (D).</w:t>
      </w: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>
            <wp:extent cx="5219700" cy="14801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4802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382E95">
      <w:pPr>
        <w:rPr>
          <w:rFonts w:ascii="Arial" w:hAnsi="Arial" w:cs="Arial"/>
        </w:rPr>
      </w:pPr>
      <w:r>
        <w:rPr>
          <w:rFonts w:ascii="Arial" w:hAnsi="Arial" w:cs="Arial"/>
        </w:rPr>
        <w:t>Fig</w:t>
      </w:r>
      <w:r>
        <w:rPr>
          <w:rFonts w:ascii="Arial" w:hAnsi="Arial" w:cs="Arial" w:hint="eastAsia"/>
        </w:rPr>
        <w:t>ure</w:t>
      </w:r>
      <w:r>
        <w:rPr>
          <w:rFonts w:ascii="Arial" w:hAnsi="Arial" w:cs="Arial"/>
        </w:rPr>
        <w:t>.</w:t>
      </w:r>
      <w:r>
        <w:rPr>
          <w:rFonts w:ascii="Arial" w:hAnsi="Arial" w:cs="Arial" w:hint="eastAsia"/>
        </w:rPr>
        <w:t>S</w:t>
      </w:r>
      <w:r>
        <w:rPr>
          <w:rFonts w:ascii="Arial" w:hAnsi="Arial" w:cs="Arial"/>
        </w:rPr>
        <w:t xml:space="preserve">3. (A) The particle size distribution of </w:t>
      </w:r>
      <w:r>
        <w:rPr>
          <w:rFonts w:ascii="Arial" w:hAnsi="Arial" w:cs="Arial" w:hint="eastAsia"/>
        </w:rPr>
        <w:t>Rutin</w:t>
      </w:r>
      <w:r>
        <w:rPr>
          <w:rFonts w:ascii="Arial" w:hAnsi="Arial" w:cs="Arial"/>
        </w:rPr>
        <w:t xml:space="preserve">-AuNPs. (B) The zeta potential of </w:t>
      </w:r>
      <w:r>
        <w:rPr>
          <w:rFonts w:ascii="Arial" w:hAnsi="Arial" w:cs="Arial" w:hint="eastAsia"/>
        </w:rPr>
        <w:t>Rutin</w:t>
      </w:r>
      <w:r>
        <w:rPr>
          <w:rFonts w:ascii="Arial" w:hAnsi="Arial" w:cs="Arial"/>
        </w:rPr>
        <w:t>-AuNPs.</w:t>
      </w: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4D0870">
      <w:pPr>
        <w:jc w:val="center"/>
        <w:rPr>
          <w:rFonts w:ascii="Arial" w:hAnsi="Arial" w:cs="Arial"/>
        </w:rPr>
      </w:pP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114300" distR="114300">
            <wp:extent cx="5219700" cy="4469130"/>
            <wp:effectExtent l="0" t="0" r="0" b="1270"/>
            <wp:docPr id="5" name="图片 5" descr="酸碱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酸碱性"/>
                    <pic:cNvPicPr>
                      <a:picLocks noChangeAspect="1"/>
                    </pic:cNvPicPr>
                  </pic:nvPicPr>
                  <pic:blipFill>
                    <a:blip r:embed="rId10"/>
                    <a:srcRect l="1650" t="1196" r="22356" b="842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4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0" w:rsidRDefault="00382E95">
      <w:pPr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Fig</w:t>
      </w:r>
      <w:r>
        <w:rPr>
          <w:rFonts w:ascii="Arial" w:hAnsi="Arial" w:cs="Arial" w:hint="eastAsia"/>
          <w:color w:val="000000" w:themeColor="text1"/>
          <w:szCs w:val="21"/>
        </w:rPr>
        <w:t>ure</w:t>
      </w:r>
      <w:r>
        <w:rPr>
          <w:rFonts w:ascii="Arial" w:hAnsi="Arial" w:cs="Arial"/>
          <w:color w:val="000000" w:themeColor="text1"/>
          <w:szCs w:val="21"/>
        </w:rPr>
        <w:t>.</w:t>
      </w:r>
      <w:r>
        <w:rPr>
          <w:rFonts w:ascii="Arial" w:hAnsi="Arial" w:cs="Arial" w:hint="eastAsia"/>
          <w:color w:val="000000" w:themeColor="text1"/>
          <w:szCs w:val="21"/>
        </w:rPr>
        <w:t>S</w:t>
      </w:r>
      <w:r>
        <w:rPr>
          <w:rFonts w:ascii="Arial" w:hAnsi="Arial" w:cs="Arial"/>
          <w:color w:val="000000" w:themeColor="text1"/>
          <w:szCs w:val="21"/>
        </w:rPr>
        <w:t xml:space="preserve">4. The </w:t>
      </w:r>
      <w:r>
        <w:rPr>
          <w:rFonts w:ascii="Arial" w:hAnsi="Arial" w:cs="Arial" w:hint="eastAsia"/>
          <w:color w:val="000000" w:themeColor="text1"/>
          <w:szCs w:val="21"/>
        </w:rPr>
        <w:t>UV-Vis</w:t>
      </w:r>
      <w:r>
        <w:rPr>
          <w:rFonts w:ascii="Arial" w:hAnsi="Arial" w:cs="Arial"/>
          <w:color w:val="000000" w:themeColor="text1"/>
          <w:szCs w:val="21"/>
        </w:rPr>
        <w:t xml:space="preserve"> absorption spectrum and 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photo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 xml:space="preserve">graph </w:t>
      </w:r>
      <w:r>
        <w:rPr>
          <w:rFonts w:ascii="Arial" w:hAnsi="Arial" w:cs="Arial"/>
          <w:color w:val="000000" w:themeColor="text1"/>
          <w:szCs w:val="21"/>
        </w:rPr>
        <w:t xml:space="preserve">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>-AuNPs from the pH 1-6 (A), the pH 7-14 (C). The absorbance trend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Arial" w:hAnsi="Arial" w:cs="Arial"/>
          <w:color w:val="000000" w:themeColor="text1"/>
          <w:szCs w:val="21"/>
        </w:rPr>
        <w:t xml:space="preserve">at 528 nm 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>-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AuNPs</w:t>
      </w:r>
      <w:r>
        <w:rPr>
          <w:rFonts w:ascii="Arial" w:hAnsi="Arial" w:cs="Arial"/>
          <w:color w:val="000000" w:themeColor="text1"/>
          <w:szCs w:val="21"/>
        </w:rPr>
        <w:t xml:space="preserve"> from the pH 1-6 (B), the pH7-14 (D).</w:t>
      </w: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4D0870">
      <w:pPr>
        <w:rPr>
          <w:rFonts w:ascii="Arial" w:hAnsi="Arial" w:cs="Arial"/>
        </w:rPr>
      </w:pP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114300" distR="114300">
            <wp:extent cx="5219700" cy="4478020"/>
            <wp:effectExtent l="0" t="0" r="0" b="5080"/>
            <wp:docPr id="7" name="图片 7" descr="温度＋时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温度＋时间"/>
                    <pic:cNvPicPr>
                      <a:picLocks noChangeAspect="1"/>
                    </pic:cNvPicPr>
                  </pic:nvPicPr>
                  <pic:blipFill>
                    <a:blip r:embed="rId11"/>
                    <a:srcRect l="1722" t="1213" r="22356" b="8307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4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0" w:rsidRDefault="00382E95">
      <w:pPr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Fig</w:t>
      </w:r>
      <w:r>
        <w:rPr>
          <w:rFonts w:ascii="Arial" w:hAnsi="Arial" w:cs="Arial" w:hint="eastAsia"/>
          <w:color w:val="000000" w:themeColor="text1"/>
          <w:szCs w:val="21"/>
        </w:rPr>
        <w:t>ure</w:t>
      </w:r>
      <w:r>
        <w:rPr>
          <w:rFonts w:ascii="Arial" w:hAnsi="Arial" w:cs="Arial"/>
          <w:color w:val="000000" w:themeColor="text1"/>
          <w:szCs w:val="21"/>
        </w:rPr>
        <w:t>.</w:t>
      </w:r>
      <w:r>
        <w:rPr>
          <w:rFonts w:ascii="Arial" w:hAnsi="Arial" w:cs="Arial" w:hint="eastAsia"/>
          <w:color w:val="000000" w:themeColor="text1"/>
          <w:szCs w:val="21"/>
        </w:rPr>
        <w:t>S</w:t>
      </w:r>
      <w:r>
        <w:rPr>
          <w:rFonts w:ascii="Arial" w:hAnsi="Arial" w:cs="Arial"/>
          <w:color w:val="000000" w:themeColor="text1"/>
          <w:szCs w:val="21"/>
        </w:rPr>
        <w:t xml:space="preserve">5. The </w:t>
      </w:r>
      <w:r>
        <w:rPr>
          <w:rFonts w:ascii="Arial" w:hAnsi="Arial" w:cs="Arial" w:hint="eastAsia"/>
          <w:color w:val="000000" w:themeColor="text1"/>
          <w:szCs w:val="21"/>
        </w:rPr>
        <w:t>UV-Vis</w:t>
      </w:r>
      <w:r>
        <w:rPr>
          <w:rFonts w:ascii="Arial" w:hAnsi="Arial" w:cs="Arial"/>
          <w:color w:val="000000" w:themeColor="text1"/>
          <w:szCs w:val="21"/>
        </w:rPr>
        <w:t xml:space="preserve"> absorption spectrum and 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photo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 xml:space="preserve">graph </w:t>
      </w:r>
      <w:r>
        <w:rPr>
          <w:rFonts w:ascii="Arial" w:hAnsi="Arial" w:cs="Arial"/>
          <w:color w:val="000000" w:themeColor="text1"/>
          <w:szCs w:val="21"/>
        </w:rPr>
        <w:t xml:space="preserve">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>-AuNPs from the time 10 min to 50 min (A), the temperature 20</w:t>
      </w:r>
      <w:r>
        <w:rPr>
          <w:rFonts w:ascii="Arial" w:eastAsia="SimSun" w:hAnsi="Arial" w:cs="Arial"/>
          <w:color w:val="000000" w:themeColor="text1"/>
          <w:szCs w:val="21"/>
        </w:rPr>
        <w:t>℃</w:t>
      </w:r>
      <w:r>
        <w:rPr>
          <w:rFonts w:ascii="Arial" w:hAnsi="Arial" w:cs="Arial"/>
          <w:color w:val="000000" w:themeColor="text1"/>
          <w:szCs w:val="21"/>
        </w:rPr>
        <w:t xml:space="preserve"> to 90</w:t>
      </w:r>
      <w:r>
        <w:rPr>
          <w:rFonts w:ascii="Arial" w:eastAsia="SimSun" w:hAnsi="Arial" w:cs="Arial"/>
          <w:color w:val="000000" w:themeColor="text1"/>
          <w:szCs w:val="21"/>
        </w:rPr>
        <w:t>℃</w:t>
      </w:r>
      <w:r>
        <w:rPr>
          <w:rFonts w:ascii="Arial" w:hAnsi="Arial" w:cs="Arial"/>
          <w:color w:val="000000" w:themeColor="text1"/>
          <w:szCs w:val="21"/>
        </w:rPr>
        <w:t xml:space="preserve"> (C). The absorbance trend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 xml:space="preserve"> </w:t>
      </w:r>
      <w:r>
        <w:rPr>
          <w:rFonts w:ascii="Arial" w:hAnsi="Arial" w:cs="Arial"/>
          <w:color w:val="000000" w:themeColor="text1"/>
          <w:szCs w:val="21"/>
        </w:rPr>
        <w:t xml:space="preserve">at 528 nm 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>-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AuNPs</w:t>
      </w:r>
      <w:r>
        <w:rPr>
          <w:rFonts w:ascii="Arial" w:hAnsi="Arial" w:cs="Arial"/>
          <w:color w:val="000000" w:themeColor="text1"/>
          <w:szCs w:val="21"/>
        </w:rPr>
        <w:t xml:space="preserve"> from the time 10 min to 50 min (B), the temperature 20</w:t>
      </w:r>
      <w:r>
        <w:rPr>
          <w:rFonts w:ascii="Arial" w:eastAsia="SimSun" w:hAnsi="Arial" w:cs="Arial"/>
          <w:color w:val="000000" w:themeColor="text1"/>
          <w:szCs w:val="21"/>
        </w:rPr>
        <w:t>℃</w:t>
      </w:r>
      <w:r>
        <w:rPr>
          <w:rFonts w:ascii="Arial" w:hAnsi="Arial" w:cs="Arial"/>
          <w:color w:val="000000" w:themeColor="text1"/>
          <w:szCs w:val="21"/>
        </w:rPr>
        <w:t xml:space="preserve"> to 90</w:t>
      </w:r>
      <w:r>
        <w:rPr>
          <w:rFonts w:ascii="Arial" w:eastAsia="SimSun" w:hAnsi="Arial" w:cs="Arial"/>
          <w:color w:val="000000" w:themeColor="text1"/>
          <w:szCs w:val="21"/>
        </w:rPr>
        <w:t>℃</w:t>
      </w:r>
      <w:r>
        <w:rPr>
          <w:rFonts w:ascii="Arial" w:hAnsi="Arial" w:cs="Arial"/>
          <w:color w:val="000000" w:themeColor="text1"/>
          <w:szCs w:val="21"/>
        </w:rPr>
        <w:t xml:space="preserve"> (D).</w:t>
      </w:r>
    </w:p>
    <w:p w:rsidR="004D0870" w:rsidRDefault="004D0870">
      <w:pPr>
        <w:rPr>
          <w:rFonts w:ascii="Arial" w:hAnsi="Arial" w:cs="Arial"/>
          <w:color w:val="000000" w:themeColor="text1"/>
          <w:szCs w:val="21"/>
        </w:rPr>
      </w:pP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en-IN" w:eastAsia="en-IN"/>
        </w:rPr>
        <w:drawing>
          <wp:inline distT="0" distB="0" distL="114300" distR="114300">
            <wp:extent cx="5219700" cy="4441190"/>
            <wp:effectExtent l="0" t="0" r="0" b="3810"/>
            <wp:docPr id="11" name="图片 11" descr="酸性＋碱性20229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酸性＋碱性20229.30"/>
                    <pic:cNvPicPr>
                      <a:picLocks noChangeAspect="1"/>
                    </pic:cNvPicPr>
                  </pic:nvPicPr>
                  <pic:blipFill>
                    <a:blip r:embed="rId12"/>
                    <a:srcRect l="970" r="21349" b="818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0" w:rsidRDefault="00382E95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  <w:szCs w:val="21"/>
        </w:rPr>
        <w:t>Fig</w:t>
      </w:r>
      <w:r>
        <w:rPr>
          <w:rFonts w:ascii="Arial" w:hAnsi="Arial" w:cs="Arial" w:hint="eastAsia"/>
          <w:color w:val="000000" w:themeColor="text1"/>
          <w:szCs w:val="21"/>
        </w:rPr>
        <w:t>ure</w:t>
      </w:r>
      <w:r>
        <w:rPr>
          <w:rFonts w:ascii="Arial" w:hAnsi="Arial" w:cs="Arial"/>
          <w:color w:val="000000" w:themeColor="text1"/>
          <w:szCs w:val="21"/>
        </w:rPr>
        <w:t>.</w:t>
      </w:r>
      <w:r>
        <w:rPr>
          <w:rFonts w:ascii="Arial" w:hAnsi="Arial" w:cs="Arial" w:hint="eastAsia"/>
          <w:color w:val="000000" w:themeColor="text1"/>
          <w:szCs w:val="21"/>
        </w:rPr>
        <w:t>S6</w:t>
      </w:r>
      <w:r>
        <w:rPr>
          <w:rFonts w:ascii="Arial" w:hAnsi="Arial" w:cs="Arial"/>
          <w:color w:val="000000" w:themeColor="text1"/>
          <w:szCs w:val="21"/>
        </w:rPr>
        <w:t xml:space="preserve">. The fluorescence emission spectrum and 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photo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 xml:space="preserve">graph </w:t>
      </w:r>
      <w:r>
        <w:rPr>
          <w:rFonts w:ascii="Arial" w:hAnsi="Arial" w:cs="Arial"/>
          <w:color w:val="000000" w:themeColor="text1"/>
          <w:szCs w:val="21"/>
        </w:rPr>
        <w:t xml:space="preserve">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 xml:space="preserve">-AuNPs and 7-Hydroxycumarin mixture from the pH 1-6 (A), the pH 7-14 (C). The fluorescence intensity trend 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>-AuNPs and 7-Hydroxycumarin mixture from the pH 1-6 (B), the pH7-14 (D).</w:t>
      </w:r>
    </w:p>
    <w:p w:rsidR="004D0870" w:rsidRDefault="00382E95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  <w:lang w:val="en-IN" w:eastAsia="en-IN"/>
        </w:rPr>
        <w:drawing>
          <wp:inline distT="0" distB="0" distL="114300" distR="114300">
            <wp:extent cx="5219700" cy="6569075"/>
            <wp:effectExtent l="0" t="0" r="0" b="9525"/>
            <wp:docPr id="12" name="图片 12" descr="时间＋温度＋盐浓度20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时间＋温度＋盐浓度2022930"/>
                    <pic:cNvPicPr>
                      <a:picLocks noChangeAspect="1"/>
                    </pic:cNvPicPr>
                  </pic:nvPicPr>
                  <pic:blipFill>
                    <a:blip r:embed="rId13"/>
                    <a:srcRect l="402" t="576" r="22176" b="4507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70" w:rsidRDefault="00382E95">
      <w:pPr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Fig</w:t>
      </w:r>
      <w:r>
        <w:rPr>
          <w:rFonts w:ascii="Arial" w:hAnsi="Arial" w:cs="Arial" w:hint="eastAsia"/>
          <w:color w:val="000000" w:themeColor="text1"/>
          <w:szCs w:val="21"/>
        </w:rPr>
        <w:t>ure</w:t>
      </w:r>
      <w:r>
        <w:rPr>
          <w:rFonts w:ascii="Arial" w:hAnsi="Arial" w:cs="Arial"/>
          <w:color w:val="000000" w:themeColor="text1"/>
          <w:szCs w:val="21"/>
        </w:rPr>
        <w:t>.</w:t>
      </w:r>
      <w:r>
        <w:rPr>
          <w:rFonts w:ascii="Arial" w:hAnsi="Arial" w:cs="Arial" w:hint="eastAsia"/>
          <w:color w:val="000000" w:themeColor="text1"/>
          <w:szCs w:val="21"/>
        </w:rPr>
        <w:t>S7</w:t>
      </w:r>
      <w:r>
        <w:rPr>
          <w:rFonts w:ascii="Arial" w:hAnsi="Arial" w:cs="Arial"/>
          <w:color w:val="000000" w:themeColor="text1"/>
          <w:szCs w:val="21"/>
        </w:rPr>
        <w:t xml:space="preserve">. The fluorescence emission spectrum and </w:t>
      </w:r>
      <w:r>
        <w:rPr>
          <w:rFonts w:ascii="Arial" w:eastAsia="AdvOT863180fb" w:hAnsi="Arial" w:cs="Arial"/>
          <w:color w:val="000000" w:themeColor="text1"/>
          <w:kern w:val="0"/>
          <w:szCs w:val="21"/>
          <w:lang w:bidi="ar"/>
        </w:rPr>
        <w:t>photo</w:t>
      </w:r>
      <w:r>
        <w:rPr>
          <w:rFonts w:ascii="Arial" w:eastAsia="SimSun" w:hAnsi="Arial" w:cs="Arial"/>
          <w:color w:val="000000" w:themeColor="text1"/>
          <w:kern w:val="0"/>
          <w:szCs w:val="21"/>
          <w:lang w:bidi="ar"/>
        </w:rPr>
        <w:t>graph</w:t>
      </w:r>
      <w:r>
        <w:rPr>
          <w:rFonts w:ascii="Arial" w:hAnsi="Arial" w:cs="Arial"/>
          <w:color w:val="000000" w:themeColor="text1"/>
          <w:szCs w:val="21"/>
        </w:rPr>
        <w:t xml:space="preserve"> 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 xml:space="preserve">-AuNPs and 7-Hydroxycumarin mixture under the salt concentration (A), the time (C), and the different temperature (E). The fluorescence intensity trend of </w:t>
      </w:r>
      <w:r>
        <w:rPr>
          <w:rFonts w:ascii="Arial" w:hAnsi="Arial" w:cs="Arial" w:hint="eastAsia"/>
          <w:color w:val="000000" w:themeColor="text1"/>
          <w:szCs w:val="21"/>
        </w:rPr>
        <w:t>Rutin</w:t>
      </w:r>
      <w:r>
        <w:rPr>
          <w:rFonts w:ascii="Arial" w:hAnsi="Arial" w:cs="Arial"/>
          <w:color w:val="000000" w:themeColor="text1"/>
          <w:szCs w:val="21"/>
        </w:rPr>
        <w:t xml:space="preserve">-AuNPs and the 7-Hydroxycumarin mixture under the salt concentration (B), the time (D), and the </w:t>
      </w:r>
      <w:r>
        <w:rPr>
          <w:rFonts w:ascii="Arial" w:hAnsi="Arial" w:cs="Arial"/>
          <w:color w:val="000000" w:themeColor="text1"/>
          <w:szCs w:val="21"/>
        </w:rPr>
        <w:t>different temperatures (F).</w:t>
      </w:r>
    </w:p>
    <w:p w:rsidR="004D0870" w:rsidRDefault="004D0870">
      <w:pPr>
        <w:rPr>
          <w:rFonts w:ascii="Arial" w:hAnsi="Arial" w:cs="Arial"/>
          <w:color w:val="00B0F0"/>
        </w:rPr>
      </w:pPr>
    </w:p>
    <w:p w:rsidR="004D0870" w:rsidRDefault="004D0870">
      <w:pPr>
        <w:rPr>
          <w:rFonts w:ascii="Arial" w:hAnsi="Arial" w:cs="Arial"/>
          <w:color w:val="00B0F0"/>
        </w:rPr>
      </w:pPr>
    </w:p>
    <w:p w:rsidR="004D0870" w:rsidRDefault="004D0870"/>
    <w:p w:rsidR="004D0870" w:rsidRDefault="004D0870"/>
    <w:sectPr w:rsidR="004D08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82E95">
      <w:pPr>
        <w:spacing w:after="0" w:line="240" w:lineRule="auto"/>
      </w:pPr>
      <w:r>
        <w:separator/>
      </w:r>
    </w:p>
  </w:endnote>
  <w:endnote w:type="continuationSeparator" w:id="0">
    <w:p w:rsidR="00000000" w:rsidRDefault="0038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dvOT863180fb">
    <w:altName w:val="Segoe Print"/>
    <w:charset w:val="00"/>
    <w:family w:val="auto"/>
    <w:pitch w:val="default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82E95">
      <w:pPr>
        <w:spacing w:after="0" w:line="240" w:lineRule="auto"/>
      </w:pPr>
      <w:r>
        <w:separator/>
      </w:r>
    </w:p>
  </w:footnote>
  <w:footnote w:type="continuationSeparator" w:id="0">
    <w:p w:rsidR="00000000" w:rsidRDefault="0038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6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C26F0"/>
    <w:rsid w:val="00016922"/>
    <w:rsid w:val="00016F01"/>
    <w:rsid w:val="00053E58"/>
    <w:rsid w:val="00060DB2"/>
    <w:rsid w:val="00061558"/>
    <w:rsid w:val="00111BCA"/>
    <w:rsid w:val="001B067B"/>
    <w:rsid w:val="001B32A5"/>
    <w:rsid w:val="001C18AF"/>
    <w:rsid w:val="001F5F41"/>
    <w:rsid w:val="002148E3"/>
    <w:rsid w:val="00217CDC"/>
    <w:rsid w:val="002A32E6"/>
    <w:rsid w:val="002A3BBA"/>
    <w:rsid w:val="002C2787"/>
    <w:rsid w:val="002E1BF4"/>
    <w:rsid w:val="00303633"/>
    <w:rsid w:val="003040C5"/>
    <w:rsid w:val="00340DAE"/>
    <w:rsid w:val="00382E95"/>
    <w:rsid w:val="00434DE6"/>
    <w:rsid w:val="00435678"/>
    <w:rsid w:val="004D0870"/>
    <w:rsid w:val="004E0B80"/>
    <w:rsid w:val="004F3EBE"/>
    <w:rsid w:val="00526351"/>
    <w:rsid w:val="00530D7B"/>
    <w:rsid w:val="005B5FAB"/>
    <w:rsid w:val="005B650C"/>
    <w:rsid w:val="005F393E"/>
    <w:rsid w:val="006530C1"/>
    <w:rsid w:val="00657264"/>
    <w:rsid w:val="00680ED6"/>
    <w:rsid w:val="0069628C"/>
    <w:rsid w:val="006A115B"/>
    <w:rsid w:val="006B222B"/>
    <w:rsid w:val="00716504"/>
    <w:rsid w:val="007676A5"/>
    <w:rsid w:val="007A7F5D"/>
    <w:rsid w:val="00844CF7"/>
    <w:rsid w:val="00844D50"/>
    <w:rsid w:val="00870BF2"/>
    <w:rsid w:val="0088346C"/>
    <w:rsid w:val="008A0AFB"/>
    <w:rsid w:val="00937683"/>
    <w:rsid w:val="009A30DD"/>
    <w:rsid w:val="009B1BE2"/>
    <w:rsid w:val="009B39BE"/>
    <w:rsid w:val="009B7141"/>
    <w:rsid w:val="009E472D"/>
    <w:rsid w:val="00A07036"/>
    <w:rsid w:val="00A3145B"/>
    <w:rsid w:val="00A62283"/>
    <w:rsid w:val="00B25BF4"/>
    <w:rsid w:val="00B31122"/>
    <w:rsid w:val="00B63852"/>
    <w:rsid w:val="00BA6F2E"/>
    <w:rsid w:val="00BC2329"/>
    <w:rsid w:val="00CC7AD8"/>
    <w:rsid w:val="00CE3F02"/>
    <w:rsid w:val="00D26735"/>
    <w:rsid w:val="00D3515C"/>
    <w:rsid w:val="00D628C3"/>
    <w:rsid w:val="00D7086C"/>
    <w:rsid w:val="00D93CC1"/>
    <w:rsid w:val="00E3068A"/>
    <w:rsid w:val="00E3647B"/>
    <w:rsid w:val="00E40210"/>
    <w:rsid w:val="00E441B2"/>
    <w:rsid w:val="00E46D70"/>
    <w:rsid w:val="00E8621F"/>
    <w:rsid w:val="00EC1EBB"/>
    <w:rsid w:val="00EC26F0"/>
    <w:rsid w:val="00EC4E95"/>
    <w:rsid w:val="00EC6D47"/>
    <w:rsid w:val="00EF1CA7"/>
    <w:rsid w:val="00F1306D"/>
    <w:rsid w:val="00F13D4E"/>
    <w:rsid w:val="00F46CBB"/>
    <w:rsid w:val="00F720C5"/>
    <w:rsid w:val="00FF3563"/>
    <w:rsid w:val="026B2479"/>
    <w:rsid w:val="039649B8"/>
    <w:rsid w:val="043425F8"/>
    <w:rsid w:val="0752704D"/>
    <w:rsid w:val="08996628"/>
    <w:rsid w:val="0FBF75DE"/>
    <w:rsid w:val="137E6C81"/>
    <w:rsid w:val="14215EF5"/>
    <w:rsid w:val="152205A2"/>
    <w:rsid w:val="19004707"/>
    <w:rsid w:val="191817A0"/>
    <w:rsid w:val="19DE5D70"/>
    <w:rsid w:val="1ADD532F"/>
    <w:rsid w:val="1D0E638C"/>
    <w:rsid w:val="1D6E1AF7"/>
    <w:rsid w:val="1D8F3EE3"/>
    <w:rsid w:val="1DD72766"/>
    <w:rsid w:val="20B05A09"/>
    <w:rsid w:val="20C57A1B"/>
    <w:rsid w:val="20EF430A"/>
    <w:rsid w:val="21353E30"/>
    <w:rsid w:val="22CF13D3"/>
    <w:rsid w:val="23486EDB"/>
    <w:rsid w:val="27D02A8B"/>
    <w:rsid w:val="2B19205D"/>
    <w:rsid w:val="2B9F2959"/>
    <w:rsid w:val="2C5306B6"/>
    <w:rsid w:val="2E180DC7"/>
    <w:rsid w:val="2F1E3CB6"/>
    <w:rsid w:val="2F2D79DA"/>
    <w:rsid w:val="358F0AC1"/>
    <w:rsid w:val="36AE2E14"/>
    <w:rsid w:val="39B6012F"/>
    <w:rsid w:val="3D233A1D"/>
    <w:rsid w:val="3D471004"/>
    <w:rsid w:val="3DC947D5"/>
    <w:rsid w:val="3E151CB3"/>
    <w:rsid w:val="3E3F7976"/>
    <w:rsid w:val="3E7F4B72"/>
    <w:rsid w:val="4057643F"/>
    <w:rsid w:val="41687AD1"/>
    <w:rsid w:val="42D511C5"/>
    <w:rsid w:val="46BF1F61"/>
    <w:rsid w:val="46D94AD3"/>
    <w:rsid w:val="485C68D5"/>
    <w:rsid w:val="4BEB0BA1"/>
    <w:rsid w:val="50E55544"/>
    <w:rsid w:val="522F3D4A"/>
    <w:rsid w:val="53B61196"/>
    <w:rsid w:val="547B6698"/>
    <w:rsid w:val="55474408"/>
    <w:rsid w:val="55522A0A"/>
    <w:rsid w:val="5624287E"/>
    <w:rsid w:val="56FB3E96"/>
    <w:rsid w:val="59BD5FDD"/>
    <w:rsid w:val="59E16737"/>
    <w:rsid w:val="5A82609F"/>
    <w:rsid w:val="5AF57BB8"/>
    <w:rsid w:val="5B014D05"/>
    <w:rsid w:val="5B1E7D24"/>
    <w:rsid w:val="5B5B0C11"/>
    <w:rsid w:val="5CB344B1"/>
    <w:rsid w:val="5D297D08"/>
    <w:rsid w:val="5EE20FFF"/>
    <w:rsid w:val="60195A0F"/>
    <w:rsid w:val="6121161E"/>
    <w:rsid w:val="61C0679F"/>
    <w:rsid w:val="62472555"/>
    <w:rsid w:val="63C43171"/>
    <w:rsid w:val="65BB00B5"/>
    <w:rsid w:val="66162B72"/>
    <w:rsid w:val="663C07D9"/>
    <w:rsid w:val="669566EB"/>
    <w:rsid w:val="689602D5"/>
    <w:rsid w:val="697318BA"/>
    <w:rsid w:val="69795308"/>
    <w:rsid w:val="6C1F129C"/>
    <w:rsid w:val="6E3C1E19"/>
    <w:rsid w:val="6E4A4F65"/>
    <w:rsid w:val="6E9D72A8"/>
    <w:rsid w:val="6FE426B6"/>
    <w:rsid w:val="6FF17BC0"/>
    <w:rsid w:val="70E86F91"/>
    <w:rsid w:val="725006BE"/>
    <w:rsid w:val="732B1882"/>
    <w:rsid w:val="741B2DB4"/>
    <w:rsid w:val="74767516"/>
    <w:rsid w:val="759C154E"/>
    <w:rsid w:val="765A3C4C"/>
    <w:rsid w:val="76F27D46"/>
    <w:rsid w:val="776537EE"/>
    <w:rsid w:val="7CAE19AA"/>
    <w:rsid w:val="7F4C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117301-B8B1-4726-912B-FCAE979B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noteText">
    <w:name w:val="footnote text"/>
    <w:basedOn w:val="Normal"/>
    <w:link w:val="FootnoteTextChar"/>
    <w:qFormat/>
    <w:pPr>
      <w:snapToGrid w:val="0"/>
      <w:jc w:val="left"/>
    </w:pPr>
    <w:rPr>
      <w:sz w:val="18"/>
      <w:szCs w:val="18"/>
    </w:rPr>
  </w:style>
  <w:style w:type="table" w:styleId="TableGrid">
    <w:name w:val="Table Grid"/>
    <w:basedOn w:val="TableNormal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qFormat/>
    <w:rPr>
      <w:sz w:val="18"/>
      <w:szCs w:val="18"/>
    </w:rPr>
  </w:style>
  <w:style w:type="character" w:customStyle="1" w:styleId="transsent">
    <w:name w:val="transsent"/>
    <w:basedOn w:val="DefaultParagraphFont"/>
    <w:qFormat/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Arial" w:eastAsia="DengXian" w:hAnsi="Arial" w:cs="Arial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Arial" w:eastAsia="DengXian" w:hAnsi="Arial" w:cs="Arial"/>
      <w:sz w:val="20"/>
      <w:szCs w:val="24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Arial" w:eastAsia="DengXian" w:hAnsi="Arial" w:cs="Arial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Arial" w:eastAsia="DengXian" w:hAnsi="Arial" w:cs="Arial"/>
      <w:sz w:val="20"/>
      <w:szCs w:val="24"/>
    </w:rPr>
  </w:style>
  <w:style w:type="character" w:customStyle="1" w:styleId="title-text">
    <w:name w:val="title-text"/>
    <w:basedOn w:val="DefaultParagraphFont"/>
    <w:qFormat/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src">
    <w:name w:val="src"/>
    <w:basedOn w:val="Normal"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character" w:customStyle="1" w:styleId="tagtrans">
    <w:name w:val="tag_trans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丹</dc:creator>
  <cp:lastModifiedBy>Pranava Moorthy J</cp:lastModifiedBy>
  <cp:revision>34</cp:revision>
  <dcterms:created xsi:type="dcterms:W3CDTF">2022-04-27T09:15:00Z</dcterms:created>
  <dcterms:modified xsi:type="dcterms:W3CDTF">2022-10-10T06:28:00Z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GrammarlyDocumentId">
    <vt:lpwstr>0f90eefe76ba0d765b90575f6882cf40edeaaeed730dca612d4077c2fa7ee709</vt:lpwstr>
  </property>
</Properties>
</file>