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ED" w:rsidRDefault="003774ED" w:rsidP="003774ED">
      <w:pPr>
        <w:pStyle w:val="MDPI22heading2"/>
        <w:spacing w:before="0" w:after="0" w:line="480" w:lineRule="auto"/>
        <w:ind w:left="28" w:firstLine="425"/>
        <w:jc w:val="both"/>
        <w:rPr>
          <w:rFonts w:eastAsia="SimSun"/>
          <w:i w:val="0"/>
          <w:snapToGrid/>
          <w:szCs w:val="20"/>
          <w:lang w:eastAsia="zh-CN" w:bidi="ar-SA"/>
        </w:rPr>
      </w:pPr>
    </w:p>
    <w:p w:rsidR="003774ED" w:rsidRPr="009E0478" w:rsidRDefault="003774ED" w:rsidP="003774ED">
      <w:pPr>
        <w:pStyle w:val="MDPI22heading2"/>
        <w:spacing w:before="0" w:after="0" w:line="480" w:lineRule="auto"/>
        <w:ind w:left="0" w:firstLine="425"/>
        <w:jc w:val="both"/>
        <w:rPr>
          <w:rFonts w:ascii="Times New Roman" w:hAnsi="Times New Roman"/>
          <w:i w:val="0"/>
          <w:iCs/>
          <w:noProof w:val="0"/>
          <w:sz w:val="24"/>
          <w:szCs w:val="24"/>
        </w:rPr>
      </w:pPr>
      <w:r>
        <w:rPr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07E5B" wp14:editId="308C4406">
                <wp:simplePos x="0" y="0"/>
                <wp:positionH relativeFrom="column">
                  <wp:posOffset>2079795</wp:posOffset>
                </wp:positionH>
                <wp:positionV relativeFrom="paragraph">
                  <wp:posOffset>1757472</wp:posOffset>
                </wp:positionV>
                <wp:extent cx="2860040" cy="649605"/>
                <wp:effectExtent l="0" t="0" r="0" b="0"/>
                <wp:wrapNone/>
                <wp:docPr id="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0040" cy="649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4ED" w:rsidRPr="003E3173" w:rsidRDefault="003774ED" w:rsidP="003774ED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E31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**</w:t>
                            </w:r>
                          </w:p>
                          <w:p w:rsidR="003774ED" w:rsidRPr="003E3173" w:rsidRDefault="003774ED" w:rsidP="003774ED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E31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E31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</w:t>
                            </w:r>
                            <w:r w:rsidRPr="003E31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 *        *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E31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*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07E5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63.75pt;margin-top:138.4pt;width:225.2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" filled="f" stroked="f">
                <v:path arrowok="t"/>
                <v:textbox style="mso-fit-shape-to-text:t">
                  <w:txbxContent>
                    <w:p w:rsidR="003774ED" w:rsidRPr="003E3173" w:rsidRDefault="003774ED" w:rsidP="003774ED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3E31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**</w:t>
                      </w:r>
                    </w:p>
                    <w:p w:rsidR="003774ED" w:rsidRPr="003E3173" w:rsidRDefault="003774ED" w:rsidP="003774ED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3E31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E31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</w:t>
                      </w:r>
                      <w:r w:rsidRPr="003E31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  *        *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E31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*</w:t>
                      </w:r>
                    </w:p>
                  </w:txbxContent>
                </v:textbox>
              </v:shape>
            </w:pict>
          </mc:Fallback>
        </mc:AlternateContent>
      </w:r>
      <w:r w:rsidRPr="003B5C2F">
        <w:rPr>
          <w:rFonts w:ascii="Times New Roman" w:hAnsi="Times New Roman"/>
          <w:i w:val="0"/>
          <w:iCs/>
          <w:sz w:val="24"/>
          <w:szCs w:val="24"/>
          <w:lang w:val="en-IN" w:eastAsia="en-IN" w:bidi="ar-SA"/>
        </w:rPr>
        <w:drawing>
          <wp:inline distT="0" distB="0" distL="0" distR="0" wp14:anchorId="101A614A" wp14:editId="5F1315D1">
            <wp:extent cx="5649642" cy="322072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774ED" w:rsidRPr="009E0478" w:rsidRDefault="003774ED" w:rsidP="003774ED">
      <w:pPr>
        <w:pStyle w:val="MDPI22heading2"/>
        <w:spacing w:before="0" w:after="0" w:line="480" w:lineRule="auto"/>
        <w:ind w:left="0"/>
        <w:jc w:val="both"/>
        <w:rPr>
          <w:rFonts w:ascii="Times New Roman" w:hAnsi="Times New Roman"/>
          <w:i w:val="0"/>
          <w:noProof w:val="0"/>
          <w:sz w:val="24"/>
          <w:szCs w:val="24"/>
        </w:rPr>
      </w:pPr>
      <w:r w:rsidRPr="009E0478">
        <w:rPr>
          <w:rFonts w:ascii="Times New Roman" w:hAnsi="Times New Roman"/>
          <w:b/>
          <w:bCs/>
          <w:i w:val="0"/>
          <w:iCs/>
          <w:noProof w:val="0"/>
          <w:sz w:val="24"/>
          <w:szCs w:val="24"/>
        </w:rPr>
        <w:t>Figure S1.</w:t>
      </w:r>
      <w:r w:rsidRPr="009E0478">
        <w:rPr>
          <w:rFonts w:ascii="Times New Roman" w:hAnsi="Times New Roman"/>
          <w:i w:val="0"/>
          <w:iCs/>
          <w:noProof w:val="0"/>
          <w:sz w:val="24"/>
          <w:szCs w:val="24"/>
        </w:rPr>
        <w:t xml:space="preserve"> Amount of the extracted total phenolic compounds and cumulative recoveries in different extraction cycles. </w:t>
      </w:r>
      <w:r w:rsidRPr="009E0478">
        <w:rPr>
          <w:rFonts w:ascii="Times New Roman" w:hAnsi="Times New Roman"/>
          <w:i w:val="0"/>
          <w:noProof w:val="0"/>
          <w:sz w:val="24"/>
          <w:szCs w:val="24"/>
        </w:rPr>
        <w:t>The bars followed by the same letters indicate the values as not significantly different (</w:t>
      </w:r>
      <w:r w:rsidRPr="009E0478">
        <w:rPr>
          <w:rFonts w:ascii="Times New Roman" w:hAnsi="Times New Roman"/>
          <w:iCs/>
          <w:noProof w:val="0"/>
          <w:sz w:val="24"/>
          <w:szCs w:val="24"/>
        </w:rPr>
        <w:t>p</w:t>
      </w:r>
      <w:r w:rsidRPr="009E0478">
        <w:rPr>
          <w:rFonts w:ascii="Times New Roman" w:hAnsi="Times New Roman"/>
          <w:i w:val="0"/>
          <w:noProof w:val="0"/>
          <w:sz w:val="24"/>
          <w:szCs w:val="24"/>
        </w:rPr>
        <w:t>&lt;0.05)</w:t>
      </w:r>
      <w:r>
        <w:rPr>
          <w:rFonts w:ascii="Times New Roman" w:hAnsi="Times New Roman"/>
          <w:i w:val="0"/>
          <w:noProof w:val="0"/>
          <w:sz w:val="24"/>
          <w:szCs w:val="24"/>
        </w:rPr>
        <w:t>,</w:t>
      </w:r>
      <w:r w:rsidRPr="009E0478">
        <w:rPr>
          <w:rFonts w:ascii="Times New Roman" w:hAnsi="Times New Roman"/>
          <w:i w:val="0"/>
          <w:noProof w:val="0"/>
          <w:sz w:val="24"/>
          <w:szCs w:val="24"/>
        </w:rPr>
        <w:t xml:space="preserve"> while the stars indicate the values were below the limit of detection (*) and quantification (**).</w:t>
      </w:r>
    </w:p>
    <w:p w:rsidR="00D738F9" w:rsidRDefault="00D738F9">
      <w:bookmarkStart w:id="0" w:name="_GoBack"/>
      <w:bookmarkEnd w:id="0"/>
    </w:p>
    <w:sectPr w:rsidR="00D73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ED"/>
    <w:rsid w:val="003774ED"/>
    <w:rsid w:val="005A0BE2"/>
    <w:rsid w:val="00850AB5"/>
    <w:rsid w:val="00D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14E5E-EAD8-45D6-98C5-C155BACC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ED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2heading2">
    <w:name w:val="MDPI_2.2_heading2"/>
    <w:qFormat/>
    <w:rsid w:val="003774E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olumes\NO%20NAME\Hasil%20TPC%20Siklus+kinetik%20Optimasi%20revisi%20terbaru%20W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'TPC Recovery Cottonii'!$J$16</c:f>
              <c:strCache>
                <c:ptCount val="1"/>
                <c:pt idx="0">
                  <c:v>Yield (mg GAE/kg)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elete val="1"/>
          </c:dLbls>
          <c:errBars>
            <c:errBarType val="both"/>
            <c:errValType val="cust"/>
            <c:noEndCap val="0"/>
            <c:plus>
              <c:numRef>
                <c:f>'TPC Recovery Cottonii'!$I$28:$I$34</c:f>
                <c:numCache>
                  <c:formatCode>General</c:formatCode>
                  <c:ptCount val="7"/>
                  <c:pt idx="0">
                    <c:v>22.82684417116862</c:v>
                  </c:pt>
                  <c:pt idx="1">
                    <c:v>14.441773257284385</c:v>
                  </c:pt>
                  <c:pt idx="2">
                    <c:v>9.6824583655185403</c:v>
                  </c:pt>
                  <c:pt idx="3">
                    <c:v>0</c:v>
                  </c:pt>
                  <c:pt idx="4">
                    <c:v>0</c:v>
                  </c:pt>
                  <c:pt idx="5">
                    <c:v>0</c:v>
                  </c:pt>
                  <c:pt idx="6">
                    <c:v>0</c:v>
                  </c:pt>
                </c:numCache>
              </c:numRef>
            </c:plus>
            <c:minus>
              <c:numRef>
                <c:f>'TPC Recovery Cottonii'!$I$28:$I$34</c:f>
                <c:numCache>
                  <c:formatCode>General</c:formatCode>
                  <c:ptCount val="7"/>
                  <c:pt idx="0">
                    <c:v>22.82684417116862</c:v>
                  </c:pt>
                  <c:pt idx="1">
                    <c:v>14.441773257284385</c:v>
                  </c:pt>
                  <c:pt idx="2">
                    <c:v>9.6824583655185403</c:v>
                  </c:pt>
                  <c:pt idx="3">
                    <c:v>0</c:v>
                  </c:pt>
                  <c:pt idx="4">
                    <c:v>0</c:v>
                  </c:pt>
                  <c:pt idx="5">
                    <c:v>0</c:v>
                  </c:pt>
                  <c:pt idx="6">
                    <c:v>0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50000"/>
                    <a:lumOff val="50000"/>
                  </a:schemeClr>
                </a:solidFill>
                <a:round/>
              </a:ln>
              <a:effectLst/>
            </c:spPr>
          </c:errBars>
          <c:cat>
            <c:numRef>
              <c:f>'TPC Recovery Cottonii'!$H$17:$H$23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'TPC Recovery Cottonii'!$J$17:$J$23</c:f>
              <c:numCache>
                <c:formatCode>0.00</c:formatCode>
                <c:ptCount val="7"/>
                <c:pt idx="0">
                  <c:v>397.08333333333326</c:v>
                </c:pt>
                <c:pt idx="1">
                  <c:v>157.91666666666666</c:v>
                </c:pt>
                <c:pt idx="2">
                  <c:v>88.75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5A-4030-AC58-8FEDB10A2A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75849760"/>
        <c:axId val="575850936"/>
      </c:barChart>
      <c:lineChart>
        <c:grouping val="standard"/>
        <c:varyColors val="0"/>
        <c:ser>
          <c:idx val="2"/>
          <c:order val="2"/>
          <c:tx>
            <c:strRef>
              <c:f>'TPC Recovery Cottonii'!$I$16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val>
            <c:numRef>
              <c:f>'TPC Recovery Cottonii'!$I$17:$I$24</c:f>
              <c:numCache>
                <c:formatCode>General</c:formatCode>
                <c:ptCount val="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25A-4030-AC58-8FEDB10A2A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75849760"/>
        <c:axId val="575850936"/>
      </c:lineChart>
      <c:lineChart>
        <c:grouping val="standard"/>
        <c:varyColors val="0"/>
        <c:ser>
          <c:idx val="1"/>
          <c:order val="1"/>
          <c:tx>
            <c:strRef>
              <c:f>'TPC Recovery Cottonii'!$K$16</c:f>
              <c:strCache>
                <c:ptCount val="1"/>
                <c:pt idx="0">
                  <c:v>% Cummulative Recovery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'TPC Recovery Cottonii'!$H$16:$H$23</c:f>
              <c:strCache>
                <c:ptCount val="8"/>
                <c:pt idx="0">
                  <c:v>Siklus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strCache>
            </c:strRef>
          </c:cat>
          <c:val>
            <c:numRef>
              <c:f>'TPC Recovery Cottonii'!$K$17:$K$23</c:f>
              <c:numCache>
                <c:formatCode>_(* #,##0.00_);_(* \(#,##0.00\);_(* "-"??_);_(@_)</c:formatCode>
                <c:ptCount val="7"/>
                <c:pt idx="0">
                  <c:v>71.546546546546551</c:v>
                </c:pt>
                <c:pt idx="1">
                  <c:v>100.00000000000001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General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25A-4030-AC58-8FEDB10A2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5850152"/>
        <c:axId val="575849368"/>
      </c:lineChart>
      <c:catAx>
        <c:axId val="575849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Extraction Cycle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850936"/>
        <c:crosses val="autoZero"/>
        <c:auto val="1"/>
        <c:lblAlgn val="ctr"/>
        <c:lblOffset val="100"/>
        <c:noMultiLvlLbl val="0"/>
      </c:catAx>
      <c:valAx>
        <c:axId val="575850936"/>
        <c:scaling>
          <c:orientation val="minMax"/>
          <c:max val="555"/>
          <c:min val="0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TPC (mg GAE kg-1)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849760"/>
        <c:crosses val="autoZero"/>
        <c:crossBetween val="between"/>
      </c:valAx>
      <c:valAx>
        <c:axId val="575849368"/>
        <c:scaling>
          <c:orientation val="minMax"/>
          <c:max val="1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Recovery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850152"/>
        <c:crosses val="max"/>
        <c:crossBetween val="between"/>
      </c:valAx>
      <c:catAx>
        <c:axId val="5758501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58493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15875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0.33676</cdr:x>
      <cdr:y>0.45601</cdr:y>
    </cdr:from>
    <cdr:to>
      <cdr:x>0.80831</cdr:x>
      <cdr:y>0.77125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D7EF236B-17B2-EA43-8C57-85ABFC8BC0AD}"/>
            </a:ext>
          </a:extLst>
        </cdr:cNvPr>
        <cdr:cNvSpPr txBox="1"/>
      </cdr:nvSpPr>
      <cdr:spPr>
        <a:xfrm xmlns:a="http://schemas.openxmlformats.org/drawingml/2006/main">
          <a:off x="1883122" y="1322762"/>
          <a:ext cx="263687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 dirty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Sasireka S.</dc:creator>
  <cp:keywords/>
  <dc:description/>
  <cp:lastModifiedBy>Sasireka S.</cp:lastModifiedBy>
  <cp:revision>1</cp:revision>
  <dcterms:created xsi:type="dcterms:W3CDTF">2021-12-01T05:06:00Z</dcterms:created>
  <dcterms:modified xsi:type="dcterms:W3CDTF">2021-12-01T05:07:00Z</dcterms:modified>
</cp:coreProperties>
</file>