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F6" w:rsidRPr="002B1BF6" w:rsidRDefault="002B1BF6" w:rsidP="002B1BF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2B1BF6">
        <w:rPr>
          <w:rFonts w:ascii="Times New Roman" w:hAnsi="Times New Roman"/>
          <w:b/>
          <w:sz w:val="24"/>
          <w:szCs w:val="24"/>
          <w:u w:val="single"/>
        </w:rPr>
        <w:t>Supporting Materials</w:t>
      </w:r>
    </w:p>
    <w:p w:rsidR="002B1BF6" w:rsidRPr="002B1BF6" w:rsidRDefault="002B1BF6" w:rsidP="002B1BF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B1BF6">
        <w:rPr>
          <w:rFonts w:ascii="Times New Roman" w:hAnsi="Times New Roman"/>
          <w:sz w:val="24"/>
          <w:szCs w:val="24"/>
        </w:rPr>
        <w:object w:dxaOrig="3314" w:dyaOrig="2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91.5pt" o:ole="">
            <v:imagedata r:id="rId7" o:title="" cropbottom="12552f" cropright="8545f"/>
          </v:shape>
          <o:OLEObject Type="Embed" ProgID="ChemDraw.Document.6.0" ShapeID="_x0000_i1025" DrawAspect="Content" ObjectID="_1710417397" r:id="rId8"/>
        </w:object>
      </w:r>
    </w:p>
    <w:p w:rsidR="002B1BF6" w:rsidRDefault="002B1BF6" w:rsidP="002B1BF6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B1BF6">
        <w:rPr>
          <w:rFonts w:ascii="Times New Roman" w:hAnsi="Times New Roman"/>
          <w:b/>
          <w:sz w:val="24"/>
          <w:szCs w:val="24"/>
        </w:rPr>
        <w:t xml:space="preserve">Scheme </w:t>
      </w:r>
      <w:r>
        <w:rPr>
          <w:rFonts w:ascii="Times New Roman" w:hAnsi="Times New Roman"/>
          <w:b/>
          <w:sz w:val="24"/>
          <w:szCs w:val="24"/>
        </w:rPr>
        <w:t xml:space="preserve">SM. </w:t>
      </w:r>
      <w:r w:rsidRPr="002B1BF6">
        <w:rPr>
          <w:rFonts w:ascii="Times New Roman" w:hAnsi="Times New Roman"/>
          <w:b/>
          <w:sz w:val="24"/>
          <w:szCs w:val="24"/>
        </w:rPr>
        <w:t>1</w:t>
      </w:r>
      <w:r w:rsidRPr="002B1BF6">
        <w:rPr>
          <w:rFonts w:ascii="Times New Roman" w:hAnsi="Times New Roman"/>
          <w:sz w:val="24"/>
          <w:szCs w:val="24"/>
        </w:rPr>
        <w:t>:  Molecular structure of GA</w:t>
      </w:r>
    </w:p>
    <w:p w:rsidR="00A12343" w:rsidRDefault="00A12343" w:rsidP="002B1BF6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12343" w:rsidRDefault="00A12343" w:rsidP="002B1BF6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12343">
        <w:rPr>
          <w:rFonts w:ascii="Times New Roman" w:hAnsi="Times New Roman"/>
          <w:sz w:val="24"/>
          <w:szCs w:val="24"/>
        </w:rPr>
        <w:object w:dxaOrig="4665" w:dyaOrig="3585">
          <v:shape id="_x0000_i1026" type="#_x0000_t75" style="width:233.25pt;height:179.25pt" o:ole="">
            <v:imagedata r:id="rId9" o:title="" cropbottom="13493f" cropright="13405f"/>
          </v:shape>
          <o:OLEObject Type="Embed" ProgID="Origin50.Graph" ShapeID="_x0000_i1026" DrawAspect="Content" ObjectID="_1710417398" r:id="rId10"/>
        </w:object>
      </w:r>
      <w:r w:rsidRPr="00A12343">
        <w:rPr>
          <w:rFonts w:ascii="Times New Roman" w:hAnsi="Times New Roman"/>
          <w:sz w:val="24"/>
          <w:szCs w:val="24"/>
        </w:rPr>
        <w:object w:dxaOrig="4665" w:dyaOrig="3585">
          <v:shape id="_x0000_i1027" type="#_x0000_t75" style="width:233.25pt;height:179.25pt" o:ole="">
            <v:imagedata r:id="rId11" o:title="" cropbottom="13493f" cropright="13405f"/>
          </v:shape>
          <o:OLEObject Type="Embed" ProgID="Origin50.Graph" ShapeID="_x0000_i1027" DrawAspect="Content" ObjectID="_1710417399" r:id="rId12"/>
        </w:object>
      </w:r>
    </w:p>
    <w:p w:rsidR="00A12343" w:rsidRDefault="00A12343" w:rsidP="002B1BF6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12343">
        <w:rPr>
          <w:rFonts w:ascii="Times New Roman" w:hAnsi="Times New Roman"/>
          <w:b/>
          <w:sz w:val="24"/>
          <w:szCs w:val="24"/>
        </w:rPr>
        <w:t>Figure SM1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2343">
        <w:rPr>
          <w:rFonts w:ascii="Times New Roman" w:hAnsi="Times New Roman"/>
          <w:sz w:val="24"/>
          <w:szCs w:val="24"/>
        </w:rPr>
        <w:t>. (A) Effect of accumulation time on oxidative peak current at different time (a-f: 0, 5, 10, 20, 30, and 40 s, respectively), and (B) Effect of accumulation potential at various potential (a-k: 200, 250, 300, 350, 400, 450, 500, 550, 600, 650, and 700 mV, respectively) of 1.0 mM GA in pH 2.0 PBS at poly(DPASA)/GCE. Inset: plot of Ipa versus (A) accumulation time and (B) accumulation potential.</w:t>
      </w:r>
    </w:p>
    <w:p w:rsidR="00A12343" w:rsidRPr="002B1BF6" w:rsidRDefault="00A12343" w:rsidP="002B1BF6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D4A1C" w:rsidRPr="00BF2FF1" w:rsidRDefault="000D4A1C" w:rsidP="000D4A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C27D1" w:rsidRDefault="001C27D1" w:rsidP="001C27D1">
      <w:pPr>
        <w:spacing w:line="360" w:lineRule="auto"/>
        <w:jc w:val="both"/>
      </w:pPr>
      <w:r>
        <w:object w:dxaOrig="6336" w:dyaOrig="4896">
          <v:shape id="_x0000_i1028" type="#_x0000_t75" style="width:225.75pt;height:175.5pt" o:ole="">
            <v:imagedata r:id="rId13" o:title="" cropbottom="13493f" cropright="13405f"/>
          </v:shape>
          <o:OLEObject Type="Embed" ProgID="Origin50.Graph" ShapeID="_x0000_i1028" DrawAspect="Content" ObjectID="_1710417400" r:id="rId14"/>
        </w:object>
      </w:r>
      <w:r>
        <w:object w:dxaOrig="6336" w:dyaOrig="4896">
          <v:shape id="_x0000_i1029" type="#_x0000_t75" style="width:240pt;height:182.25pt" o:ole="">
            <v:imagedata r:id="rId15" o:title="" cropbottom="14456f" cropright="13405f"/>
          </v:shape>
          <o:OLEObject Type="Embed" ProgID="Origin50.Graph" ShapeID="_x0000_i1029" DrawAspect="Content" ObjectID="_1710417401" r:id="rId16"/>
        </w:object>
      </w:r>
    </w:p>
    <w:p w:rsidR="001C27D1" w:rsidRDefault="001C27D1" w:rsidP="001C27D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object w:dxaOrig="6336" w:dyaOrig="4896">
          <v:shape id="_x0000_i1030" type="#_x0000_t75" style="width:252pt;height:190.5pt" o:ole="">
            <v:imagedata r:id="rId17" o:title="" cropbottom="14456f" cropright="13405f"/>
          </v:shape>
          <o:OLEObject Type="Embed" ProgID="Origin50.Graph" ShapeID="_x0000_i1030" DrawAspect="Content" ObjectID="_1710417402" r:id="rId18"/>
        </w:object>
      </w:r>
    </w:p>
    <w:p w:rsidR="001C27D1" w:rsidRPr="008F6C7A" w:rsidRDefault="001C27D1" w:rsidP="001C27D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2886">
        <w:rPr>
          <w:rFonts w:ascii="Times New Roman" w:hAnsi="Times New Roman"/>
          <w:b/>
          <w:sz w:val="24"/>
          <w:szCs w:val="24"/>
        </w:rPr>
        <w:t xml:space="preserve">Figure </w:t>
      </w:r>
      <w:r w:rsidR="00A12343">
        <w:rPr>
          <w:rFonts w:ascii="Times New Roman" w:hAnsi="Times New Roman"/>
          <w:b/>
          <w:sz w:val="24"/>
          <w:szCs w:val="24"/>
        </w:rPr>
        <w:t>SM 2</w:t>
      </w:r>
      <w:r w:rsidRPr="00C115B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AdSSW</w:t>
      </w:r>
      <w:r w:rsidRPr="008D001D">
        <w:rPr>
          <w:rFonts w:ascii="Times New Roman" w:hAnsi="Times New Roman"/>
          <w:sz w:val="24"/>
          <w:szCs w:val="24"/>
        </w:rPr>
        <w:t>Vs of</w:t>
      </w:r>
      <w:r w:rsidRPr="008D001D">
        <w:rPr>
          <w:rFonts w:ascii="Times New Roman" w:hAnsi="Times New Roman"/>
          <w:b/>
          <w:sz w:val="24"/>
          <w:szCs w:val="24"/>
        </w:rPr>
        <w:t xml:space="preserve"> </w:t>
      </w:r>
      <w:r w:rsidRPr="008D001D">
        <w:rPr>
          <w:rFonts w:ascii="Times New Roman" w:hAnsi="Times New Roman"/>
          <w:sz w:val="24"/>
          <w:szCs w:val="24"/>
        </w:rPr>
        <w:t>poly(</w:t>
      </w:r>
      <w:r>
        <w:rPr>
          <w:rFonts w:ascii="Times New Roman" w:hAnsi="Times New Roman"/>
          <w:color w:val="131413"/>
          <w:sz w:val="24"/>
          <w:szCs w:val="24"/>
        </w:rPr>
        <w:t>DPASA</w:t>
      </w:r>
      <w:r>
        <w:rPr>
          <w:rFonts w:ascii="Times New Roman" w:hAnsi="Times New Roman"/>
          <w:sz w:val="24"/>
          <w:szCs w:val="24"/>
        </w:rPr>
        <w:t>)/GCE in pH 2.0 PBS containing 1.0 mM GA</w:t>
      </w:r>
      <w:r w:rsidRPr="008D001D">
        <w:rPr>
          <w:rFonts w:ascii="Times New Roman" w:hAnsi="Times New Roman"/>
          <w:sz w:val="24"/>
          <w:szCs w:val="24"/>
        </w:rPr>
        <w:t xml:space="preserve"> at (A) various step potentials (a-</w:t>
      </w:r>
      <w:r>
        <w:rPr>
          <w:rFonts w:ascii="Times New Roman" w:hAnsi="Times New Roman"/>
          <w:sz w:val="24"/>
          <w:szCs w:val="24"/>
        </w:rPr>
        <w:t>e: 2, 4, 6, 8 and 10</w:t>
      </w:r>
      <w:r w:rsidRPr="00C15A6D">
        <w:t xml:space="preserve"> </w:t>
      </w:r>
      <w:r w:rsidRPr="00C15A6D">
        <w:rPr>
          <w:rFonts w:ascii="Times New Roman" w:hAnsi="Times New Roman"/>
          <w:sz w:val="24"/>
          <w:szCs w:val="24"/>
        </w:rPr>
        <w:t>mV</w:t>
      </w:r>
      <w:r>
        <w:rPr>
          <w:rFonts w:ascii="Times New Roman" w:hAnsi="Times New Roman"/>
          <w:sz w:val="24"/>
          <w:szCs w:val="24"/>
        </w:rPr>
        <w:t>,</w:t>
      </w:r>
      <w:r w:rsidRPr="008D001D">
        <w:rPr>
          <w:rFonts w:ascii="Times New Roman" w:hAnsi="Times New Roman"/>
          <w:sz w:val="24"/>
          <w:szCs w:val="24"/>
        </w:rPr>
        <w:t xml:space="preserve"> respectively)</w:t>
      </w:r>
      <w:r>
        <w:rPr>
          <w:rFonts w:ascii="Times New Roman" w:hAnsi="Times New Roman"/>
          <w:sz w:val="24"/>
          <w:szCs w:val="24"/>
        </w:rPr>
        <w:t>,</w:t>
      </w:r>
      <w:r w:rsidRPr="008D00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amplitude:25 mV, and frequency:15 Hz, </w:t>
      </w:r>
      <w:r w:rsidRPr="008D001D">
        <w:rPr>
          <w:rFonts w:ascii="Times New Roman" w:hAnsi="Times New Roman"/>
          <w:sz w:val="24"/>
          <w:szCs w:val="24"/>
        </w:rPr>
        <w:t>(B)</w:t>
      </w:r>
      <w:r w:rsidRPr="008D001D">
        <w:rPr>
          <w:rFonts w:ascii="Times New Roman" w:hAnsi="Times New Roman"/>
          <w:b/>
          <w:sz w:val="24"/>
          <w:szCs w:val="24"/>
        </w:rPr>
        <w:t xml:space="preserve"> </w:t>
      </w:r>
      <w:r w:rsidRPr="008D001D">
        <w:rPr>
          <w:rFonts w:ascii="Times New Roman" w:hAnsi="Times New Roman"/>
          <w:sz w:val="24"/>
          <w:szCs w:val="24"/>
        </w:rPr>
        <w:t>various amplitudes (a-</w:t>
      </w:r>
      <w:r>
        <w:rPr>
          <w:rFonts w:ascii="Times New Roman" w:hAnsi="Times New Roman"/>
          <w:sz w:val="24"/>
          <w:szCs w:val="24"/>
        </w:rPr>
        <w:t>f: 20, 25, 30</w:t>
      </w:r>
      <w:r w:rsidRPr="008D001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35</w:t>
      </w:r>
      <w:r w:rsidRPr="008D001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40, and 45</w:t>
      </w:r>
      <w:r w:rsidRPr="008D001D">
        <w:rPr>
          <w:rFonts w:ascii="Times New Roman" w:hAnsi="Times New Roman"/>
          <w:sz w:val="24"/>
          <w:szCs w:val="24"/>
        </w:rPr>
        <w:t xml:space="preserve"> mV, respectively)</w:t>
      </w:r>
      <w:r>
        <w:rPr>
          <w:rFonts w:ascii="Times New Roman" w:hAnsi="Times New Roman"/>
          <w:sz w:val="24"/>
          <w:szCs w:val="24"/>
        </w:rPr>
        <w:t>,</w:t>
      </w:r>
      <w:r w:rsidRPr="008D00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step potential:4</w:t>
      </w:r>
      <w:r w:rsidRPr="004715BE">
        <w:rPr>
          <w:rFonts w:ascii="Times New Roman" w:hAnsi="Times New Roman"/>
          <w:sz w:val="24"/>
          <w:szCs w:val="24"/>
        </w:rPr>
        <w:t xml:space="preserve"> mV</w:t>
      </w:r>
      <w:r>
        <w:rPr>
          <w:rFonts w:ascii="Times New Roman" w:hAnsi="Times New Roman"/>
          <w:sz w:val="24"/>
          <w:szCs w:val="24"/>
        </w:rPr>
        <w:t xml:space="preserve">, and frequency:15 Hz, and (C) </w:t>
      </w:r>
      <w:r>
        <w:rPr>
          <w:rFonts w:ascii="Times New Roman" w:hAnsi="Times New Roman"/>
          <w:bCs/>
          <w:sz w:val="24"/>
          <w:szCs w:val="24"/>
        </w:rPr>
        <w:t xml:space="preserve">various frequencies </w:t>
      </w:r>
      <w:r>
        <w:rPr>
          <w:rFonts w:ascii="Times New Roman" w:hAnsi="Times New Roman"/>
          <w:sz w:val="24"/>
          <w:szCs w:val="24"/>
        </w:rPr>
        <w:t xml:space="preserve">(a-e: 10, 15, 20, 25, and 30 </w:t>
      </w:r>
      <w:r w:rsidRPr="001942DC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z, respectively), step potential:4</w:t>
      </w:r>
      <w:r w:rsidRPr="004715BE">
        <w:rPr>
          <w:rFonts w:ascii="Times New Roman" w:hAnsi="Times New Roman"/>
          <w:sz w:val="24"/>
          <w:szCs w:val="24"/>
        </w:rPr>
        <w:t xml:space="preserve"> mV</w:t>
      </w:r>
      <w:r>
        <w:rPr>
          <w:rFonts w:ascii="Times New Roman" w:hAnsi="Times New Roman"/>
          <w:sz w:val="24"/>
          <w:szCs w:val="24"/>
        </w:rPr>
        <w:t xml:space="preserve"> and amplitude:30 mV</w:t>
      </w:r>
      <w:r w:rsidRPr="008D001D">
        <w:rPr>
          <w:rFonts w:ascii="Times New Roman" w:hAnsi="Times New Roman"/>
          <w:sz w:val="24"/>
          <w:szCs w:val="24"/>
        </w:rPr>
        <w:t xml:space="preserve">. </w:t>
      </w:r>
      <w:r w:rsidRPr="008F6C7A">
        <w:rPr>
          <w:rFonts w:ascii="Times New Roman" w:hAnsi="Times New Roman"/>
          <w:bCs/>
          <w:color w:val="000000"/>
          <w:sz w:val="24"/>
          <w:szCs w:val="24"/>
        </w:rPr>
        <w:t>Insert</w:t>
      </w:r>
      <w:r w:rsidRPr="008F6C7A">
        <w:rPr>
          <w:rFonts w:ascii="Times New Roman" w:hAnsi="Times New Roman"/>
          <w:color w:val="000000"/>
          <w:sz w:val="24"/>
          <w:szCs w:val="24"/>
        </w:rPr>
        <w:t>: (A) plot of oxidative peak current vs step potential, (B) plot of oxidative peak current vs square wave amplitude, and (C) plot of oxidative peak current vs square wave frequency.</w:t>
      </w:r>
    </w:p>
    <w:p w:rsidR="007C67E3" w:rsidRDefault="007C67E3" w:rsidP="007C67E3">
      <w:pPr>
        <w:spacing w:line="360" w:lineRule="auto"/>
        <w:jc w:val="both"/>
      </w:pPr>
      <w:r>
        <w:object w:dxaOrig="6336" w:dyaOrig="4896">
          <v:shape id="_x0000_i1031" type="#_x0000_t75" style="width:233.25pt;height:190.5pt" o:ole="">
            <v:imagedata r:id="rId19" o:title="" cropbottom="13493f" cropright="19363f"/>
          </v:shape>
          <o:OLEObject Type="Embed" ProgID="Origin50.Graph" ShapeID="_x0000_i1031" DrawAspect="Content" ObjectID="_1710417403" r:id="rId20"/>
        </w:object>
      </w:r>
      <w:r>
        <w:object w:dxaOrig="6336" w:dyaOrig="4896">
          <v:shape id="_x0000_i1032" type="#_x0000_t75" style="width:233.25pt;height:195.75pt" o:ole="">
            <v:imagedata r:id="rId21" o:title="" cropbottom="13493f" cropright="20852f"/>
          </v:shape>
          <o:OLEObject Type="Embed" ProgID="Origin50.Graph" ShapeID="_x0000_i1032" DrawAspect="Content" ObjectID="_1710417404" r:id="rId22"/>
        </w:object>
      </w:r>
    </w:p>
    <w:p w:rsidR="007C67E3" w:rsidRDefault="007C67E3" w:rsidP="007C67E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object w:dxaOrig="6336" w:dyaOrig="4896">
          <v:shape id="_x0000_i1033" type="#_x0000_t75" style="width:222.75pt;height:183.75pt" o:ole="">
            <v:imagedata r:id="rId23" o:title="" cropbottom="14456f" cropright="19363f"/>
          </v:shape>
          <o:OLEObject Type="Embed" ProgID="Origin50.Graph" ShapeID="_x0000_i1033" DrawAspect="Content" ObjectID="_1710417405" r:id="rId24"/>
        </w:object>
      </w:r>
      <w:r w:rsidRPr="0058603B">
        <w:t xml:space="preserve"> </w:t>
      </w:r>
      <w:r>
        <w:object w:dxaOrig="6336" w:dyaOrig="4896">
          <v:shape id="_x0000_i1034" type="#_x0000_t75" style="width:222.75pt;height:177pt" o:ole="">
            <v:imagedata r:id="rId25" o:title="" cropbottom="14456f" cropright="19363f"/>
          </v:shape>
          <o:OLEObject Type="Embed" ProgID="Origin50.Graph" ShapeID="_x0000_i1034" DrawAspect="Content" ObjectID="_1710417406" r:id="rId26"/>
        </w:object>
      </w:r>
    </w:p>
    <w:p w:rsidR="007C67E3" w:rsidRPr="00441A5B" w:rsidRDefault="007C67E3" w:rsidP="007C67E3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41A5B">
        <w:rPr>
          <w:rFonts w:ascii="Times New Roman" w:hAnsi="Times New Roman"/>
          <w:b/>
          <w:sz w:val="24"/>
          <w:szCs w:val="24"/>
        </w:rPr>
        <w:t xml:space="preserve">Figure </w:t>
      </w:r>
      <w:r w:rsidR="00A12343">
        <w:rPr>
          <w:rFonts w:ascii="Times New Roman" w:hAnsi="Times New Roman"/>
          <w:b/>
          <w:sz w:val="24"/>
          <w:szCs w:val="24"/>
        </w:rPr>
        <w:t>SM 3</w:t>
      </w:r>
      <w:r w:rsidRPr="00441A5B">
        <w:rPr>
          <w:rFonts w:ascii="Times New Roman" w:hAnsi="Times New Roman"/>
          <w:sz w:val="24"/>
          <w:szCs w:val="24"/>
        </w:rPr>
        <w:t>. A</w:t>
      </w:r>
      <w:r>
        <w:rPr>
          <w:rFonts w:ascii="Times New Roman" w:hAnsi="Times New Roman"/>
          <w:sz w:val="24"/>
          <w:szCs w:val="24"/>
        </w:rPr>
        <w:t>d</w:t>
      </w:r>
      <w:r w:rsidRPr="00441A5B">
        <w:rPr>
          <w:rFonts w:ascii="Times New Roman" w:hAnsi="Times New Roman"/>
          <w:sz w:val="24"/>
          <w:szCs w:val="24"/>
        </w:rPr>
        <w:t xml:space="preserve">SSWVs of poly(DPASA)/GCE in pH 2.0 PBS containing (A) </w:t>
      </w:r>
      <w:r>
        <w:rPr>
          <w:rFonts w:ascii="Times New Roman" w:hAnsi="Times New Roman"/>
          <w:sz w:val="24"/>
          <w:szCs w:val="24"/>
        </w:rPr>
        <w:t xml:space="preserve">inside body of raw </w:t>
      </w:r>
      <w:r w:rsidRPr="00441A5B">
        <w:rPr>
          <w:rFonts w:ascii="Times New Roman" w:hAnsi="Times New Roman"/>
          <w:sz w:val="24"/>
          <w:szCs w:val="24"/>
        </w:rPr>
        <w:t xml:space="preserve">peanut (B) cover of </w:t>
      </w:r>
      <w:r>
        <w:rPr>
          <w:rFonts w:ascii="Times New Roman" w:hAnsi="Times New Roman"/>
          <w:sz w:val="24"/>
          <w:szCs w:val="24"/>
        </w:rPr>
        <w:t xml:space="preserve"> raw </w:t>
      </w:r>
      <w:r w:rsidRPr="00441A5B">
        <w:rPr>
          <w:rFonts w:ascii="Times New Roman" w:hAnsi="Times New Roman"/>
          <w:sz w:val="24"/>
          <w:szCs w:val="24"/>
        </w:rPr>
        <w:t>peanut samples</w:t>
      </w:r>
      <w:r>
        <w:rPr>
          <w:rFonts w:ascii="Times New Roman" w:hAnsi="Times New Roman"/>
          <w:sz w:val="24"/>
          <w:szCs w:val="24"/>
        </w:rPr>
        <w:t>,</w:t>
      </w:r>
      <w:r w:rsidRPr="00441A5B">
        <w:rPr>
          <w:rFonts w:ascii="Times New Roman" w:hAnsi="Times New Roman"/>
          <w:sz w:val="24"/>
          <w:szCs w:val="24"/>
        </w:rPr>
        <w:t xml:space="preserve"> (C)</w:t>
      </w:r>
      <w:r w:rsidRPr="00353FCE">
        <w:rPr>
          <w:rFonts w:ascii="Times New Roman" w:hAnsi="Times New Roman"/>
          <w:sz w:val="24"/>
          <w:szCs w:val="24"/>
        </w:rPr>
        <w:t xml:space="preserve"> AAF, (D) Berejat brand </w:t>
      </w:r>
      <w:r w:rsidRPr="00441A5B">
        <w:rPr>
          <w:rFonts w:ascii="Times New Roman" w:hAnsi="Times New Roman"/>
          <w:sz w:val="24"/>
          <w:szCs w:val="24"/>
        </w:rPr>
        <w:t>locally available processed peanut butter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1A5B">
        <w:rPr>
          <w:rFonts w:ascii="Times New Roman" w:hAnsi="Times New Roman"/>
          <w:sz w:val="24"/>
          <w:szCs w:val="24"/>
        </w:rPr>
        <w:t>samples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1A5B">
        <w:rPr>
          <w:rFonts w:ascii="Times New Roman" w:hAnsi="Times New Roman"/>
          <w:sz w:val="24"/>
          <w:szCs w:val="24"/>
        </w:rPr>
        <w:t xml:space="preserve"> respectiv</w:t>
      </w:r>
      <w:r>
        <w:rPr>
          <w:rFonts w:ascii="Times New Roman" w:hAnsi="Times New Roman"/>
          <w:sz w:val="24"/>
          <w:szCs w:val="24"/>
        </w:rPr>
        <w:t>ely.</w:t>
      </w:r>
    </w:p>
    <w:p w:rsidR="0092698A" w:rsidRDefault="0092698A" w:rsidP="0092698A">
      <w:p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C52C61">
        <w:rPr>
          <w:rFonts w:ascii="Times New Roman" w:hAnsi="Times New Roman"/>
          <w:b/>
          <w:sz w:val="24"/>
          <w:szCs w:val="24"/>
        </w:rPr>
        <w:t xml:space="preserve">Table </w:t>
      </w:r>
      <w:r w:rsidR="00686861">
        <w:rPr>
          <w:rFonts w:ascii="Times New Roman" w:hAnsi="Times New Roman"/>
          <w:b/>
          <w:sz w:val="24"/>
          <w:szCs w:val="24"/>
        </w:rPr>
        <w:t>SM 1</w:t>
      </w:r>
      <w:r>
        <w:rPr>
          <w:rFonts w:ascii="Times New Roman" w:hAnsi="Times New Roman"/>
          <w:b/>
          <w:sz w:val="24"/>
          <w:szCs w:val="24"/>
        </w:rPr>
        <w:t>.</w:t>
      </w:r>
      <w:r w:rsidRPr="00C52C61">
        <w:rPr>
          <w:rFonts w:ascii="Times New Roman" w:hAnsi="Times New Roman"/>
          <w:sz w:val="24"/>
          <w:szCs w:val="24"/>
        </w:rPr>
        <w:t xml:space="preserve"> Summary of recovery results of GA in </w:t>
      </w:r>
      <w:r>
        <w:rPr>
          <w:rFonts w:ascii="Times New Roman" w:hAnsi="Times New Roman"/>
          <w:sz w:val="24"/>
          <w:szCs w:val="24"/>
        </w:rPr>
        <w:t>peanut</w:t>
      </w:r>
      <w:r w:rsidRPr="00C52C61">
        <w:rPr>
          <w:rFonts w:ascii="Times New Roman" w:hAnsi="Times New Roman"/>
          <w:sz w:val="24"/>
          <w:szCs w:val="24"/>
        </w:rPr>
        <w:t xml:space="preserve"> samples</w:t>
      </w:r>
      <w:r>
        <w:rPr>
          <w:rFonts w:ascii="Times New Roman" w:hAnsi="Times New Roman"/>
          <w:sz w:val="24"/>
          <w:szCs w:val="24"/>
        </w:rPr>
        <w:t>.</w:t>
      </w:r>
      <w:r w:rsidRPr="005226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26"/>
        <w:gridCol w:w="2042"/>
        <w:gridCol w:w="1536"/>
        <w:gridCol w:w="1986"/>
        <w:gridCol w:w="1586"/>
      </w:tblGrid>
      <w:tr w:rsidR="0092698A" w:rsidRPr="008F6C7A" w:rsidTr="005C2ADA">
        <w:trPr>
          <w:trHeight w:val="864"/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Peanut samples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 xml:space="preserve">Initial GA content/ (µM)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Spiked GA (µM)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Detected GA (µM)</w:t>
            </w:r>
            <w:r w:rsidRPr="008F6C7A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Recovery (%)</w:t>
            </w:r>
            <w:r w:rsidRPr="008F6C7A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92698A" w:rsidRPr="008F6C7A" w:rsidTr="005C2ADA">
        <w:trPr>
          <w:trHeight w:hRule="exact" w:val="90"/>
          <w:jc w:val="center"/>
        </w:trPr>
        <w:tc>
          <w:tcPr>
            <w:tcW w:w="2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98A" w:rsidRPr="008F6C7A" w:rsidTr="005C2ADA">
        <w:trPr>
          <w:trHeight w:hRule="exact" w:val="397"/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Inside body</w:t>
            </w:r>
          </w:p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11.73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11.73±0.033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92698A" w:rsidRPr="008F6C7A" w:rsidTr="005C2ADA">
        <w:trPr>
          <w:trHeight w:hRule="exact" w:val="361"/>
          <w:jc w:val="center"/>
        </w:trPr>
        <w:tc>
          <w:tcPr>
            <w:tcW w:w="2426" w:type="dxa"/>
            <w:vMerge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11.73</w:t>
            </w:r>
          </w:p>
        </w:tc>
        <w:tc>
          <w:tcPr>
            <w:tcW w:w="1536" w:type="dxa"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60.00</w:t>
            </w:r>
          </w:p>
        </w:tc>
        <w:tc>
          <w:tcPr>
            <w:tcW w:w="1986" w:type="dxa"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68.73±0.034</w:t>
            </w:r>
          </w:p>
        </w:tc>
        <w:tc>
          <w:tcPr>
            <w:tcW w:w="1586" w:type="dxa"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95.00±3.4</w:t>
            </w:r>
          </w:p>
        </w:tc>
      </w:tr>
      <w:tr w:rsidR="0092698A" w:rsidRPr="008F6C7A" w:rsidTr="005C2ADA">
        <w:trPr>
          <w:trHeight w:hRule="exact" w:val="361"/>
          <w:jc w:val="center"/>
        </w:trPr>
        <w:tc>
          <w:tcPr>
            <w:tcW w:w="2426" w:type="dxa"/>
            <w:vMerge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11.73</w:t>
            </w:r>
          </w:p>
        </w:tc>
        <w:tc>
          <w:tcPr>
            <w:tcW w:w="1536" w:type="dxa"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80.00</w:t>
            </w:r>
          </w:p>
        </w:tc>
        <w:tc>
          <w:tcPr>
            <w:tcW w:w="1986" w:type="dxa"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89.48±0.031</w:t>
            </w:r>
          </w:p>
        </w:tc>
        <w:tc>
          <w:tcPr>
            <w:tcW w:w="1586" w:type="dxa"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97.19±3.1</w:t>
            </w:r>
          </w:p>
        </w:tc>
      </w:tr>
      <w:tr w:rsidR="0092698A" w:rsidRPr="008F6C7A" w:rsidTr="005C2ADA">
        <w:trPr>
          <w:trHeight w:hRule="exact" w:val="297"/>
          <w:jc w:val="center"/>
        </w:trPr>
        <w:tc>
          <w:tcPr>
            <w:tcW w:w="2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11.73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100.00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111.50±0.027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99.77 ±2.7</w:t>
            </w:r>
          </w:p>
        </w:tc>
      </w:tr>
      <w:tr w:rsidR="0092698A" w:rsidRPr="008F6C7A" w:rsidTr="005C2ADA">
        <w:trPr>
          <w:trHeight w:val="341"/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lastRenderedPageBreak/>
              <w:t>Cover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lastRenderedPageBreak/>
              <w:t>23.20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23.20±0.029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92698A" w:rsidRPr="008F6C7A" w:rsidTr="005C2ADA">
        <w:trPr>
          <w:trHeight w:val="341"/>
          <w:jc w:val="center"/>
        </w:trPr>
        <w:tc>
          <w:tcPr>
            <w:tcW w:w="2426" w:type="dxa"/>
            <w:vMerge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23.20</w:t>
            </w:r>
          </w:p>
        </w:tc>
        <w:tc>
          <w:tcPr>
            <w:tcW w:w="1536" w:type="dxa"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80.00</w:t>
            </w:r>
          </w:p>
        </w:tc>
        <w:tc>
          <w:tcPr>
            <w:tcW w:w="1986" w:type="dxa"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101.50±0.023</w:t>
            </w:r>
          </w:p>
        </w:tc>
        <w:tc>
          <w:tcPr>
            <w:tcW w:w="1586" w:type="dxa"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97.87±2.3</w:t>
            </w:r>
          </w:p>
        </w:tc>
      </w:tr>
      <w:tr w:rsidR="0092698A" w:rsidRPr="008F6C7A" w:rsidTr="005C2ADA">
        <w:trPr>
          <w:trHeight w:val="341"/>
          <w:jc w:val="center"/>
        </w:trPr>
        <w:tc>
          <w:tcPr>
            <w:tcW w:w="2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23.20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100.00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123.00±0.026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99.80±2.6</w:t>
            </w:r>
          </w:p>
        </w:tc>
      </w:tr>
      <w:tr w:rsidR="0092698A" w:rsidRPr="008F6C7A" w:rsidTr="005C2ADA">
        <w:trPr>
          <w:trHeight w:val="341"/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Commercial butter (AAF)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6.50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6.50±0.018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92698A" w:rsidRPr="008F6C7A" w:rsidTr="005C2ADA">
        <w:trPr>
          <w:trHeight w:val="341"/>
          <w:jc w:val="center"/>
        </w:trPr>
        <w:tc>
          <w:tcPr>
            <w:tcW w:w="2426" w:type="dxa"/>
            <w:vMerge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6.50</w:t>
            </w:r>
          </w:p>
        </w:tc>
        <w:tc>
          <w:tcPr>
            <w:tcW w:w="1536" w:type="dxa"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80.00</w:t>
            </w:r>
          </w:p>
        </w:tc>
        <w:tc>
          <w:tcPr>
            <w:tcW w:w="1986" w:type="dxa"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85.2±0.028</w:t>
            </w:r>
          </w:p>
        </w:tc>
        <w:tc>
          <w:tcPr>
            <w:tcW w:w="1586" w:type="dxa"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98.38±2.8</w:t>
            </w:r>
          </w:p>
        </w:tc>
      </w:tr>
      <w:tr w:rsidR="0092698A" w:rsidRPr="008F6C7A" w:rsidTr="005C2ADA">
        <w:trPr>
          <w:trHeight w:val="341"/>
          <w:jc w:val="center"/>
        </w:trPr>
        <w:tc>
          <w:tcPr>
            <w:tcW w:w="2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6.50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100.00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109.7±0.034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103.20±3.4</w:t>
            </w:r>
          </w:p>
        </w:tc>
      </w:tr>
      <w:tr w:rsidR="0092698A" w:rsidRPr="008F6C7A" w:rsidTr="005C2ADA">
        <w:trPr>
          <w:trHeight w:val="341"/>
          <w:jc w:val="center"/>
        </w:trPr>
        <w:tc>
          <w:tcPr>
            <w:tcW w:w="2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Commercial butter (Berejat)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5.43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5.43±0.020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92698A" w:rsidRPr="008F6C7A" w:rsidTr="005C2ADA">
        <w:trPr>
          <w:trHeight w:val="341"/>
          <w:jc w:val="center"/>
        </w:trPr>
        <w:tc>
          <w:tcPr>
            <w:tcW w:w="2426" w:type="dxa"/>
            <w:vMerge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5.43</w:t>
            </w:r>
          </w:p>
        </w:tc>
        <w:tc>
          <w:tcPr>
            <w:tcW w:w="1536" w:type="dxa"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80.00</w:t>
            </w:r>
          </w:p>
        </w:tc>
        <w:tc>
          <w:tcPr>
            <w:tcW w:w="1986" w:type="dxa"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83.23±0.029</w:t>
            </w:r>
          </w:p>
        </w:tc>
        <w:tc>
          <w:tcPr>
            <w:tcW w:w="1586" w:type="dxa"/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97.25±2.9</w:t>
            </w:r>
          </w:p>
        </w:tc>
      </w:tr>
      <w:tr w:rsidR="0092698A" w:rsidRPr="008F6C7A" w:rsidTr="005C2ADA">
        <w:trPr>
          <w:trHeight w:val="360"/>
          <w:jc w:val="center"/>
        </w:trPr>
        <w:tc>
          <w:tcPr>
            <w:tcW w:w="2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5.43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100.00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104.73±0.031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92698A" w:rsidRPr="008F6C7A" w:rsidRDefault="0092698A" w:rsidP="005C2A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99.3±3.1</w:t>
            </w:r>
          </w:p>
        </w:tc>
      </w:tr>
      <w:tr w:rsidR="0092698A" w:rsidRPr="008F6C7A" w:rsidTr="005C2ADA">
        <w:trPr>
          <w:trHeight w:hRule="exact" w:val="442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2698A" w:rsidRDefault="0092698A" w:rsidP="005C2ADA">
            <w:pPr>
              <w:pStyle w:val="Heading4"/>
              <w:spacing w:before="120" w:after="120" w:line="36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10DC2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 xml:space="preserve">                                  a </w:t>
            </w:r>
            <w:r w:rsidRPr="00910DC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Detected mean GA ± RSD,   </w:t>
            </w:r>
            <w:r w:rsidRPr="00910DC2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</w:rPr>
              <w:t>b</w:t>
            </w:r>
            <w:r w:rsidRPr="00910DC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% Recovery  GA ± %RSD</w:t>
            </w:r>
          </w:p>
          <w:p w:rsidR="008B3A9B" w:rsidRDefault="008B3A9B" w:rsidP="008B3A9B"/>
          <w:p w:rsidR="008B3A9B" w:rsidRDefault="008B3A9B" w:rsidP="008B3A9B"/>
          <w:p w:rsidR="008B3A9B" w:rsidRPr="008B3A9B" w:rsidRDefault="008B3A9B" w:rsidP="008B3A9B"/>
        </w:tc>
      </w:tr>
    </w:tbl>
    <w:p w:rsidR="008B3A9B" w:rsidRDefault="008B3A9B" w:rsidP="00454AD7">
      <w:pPr>
        <w:spacing w:line="360" w:lineRule="auto"/>
        <w:jc w:val="both"/>
      </w:pPr>
    </w:p>
    <w:p w:rsidR="008B3A9B" w:rsidRDefault="008B3A9B" w:rsidP="00454AD7">
      <w:pPr>
        <w:spacing w:line="360" w:lineRule="auto"/>
        <w:jc w:val="both"/>
      </w:pPr>
    </w:p>
    <w:p w:rsidR="008B3A9B" w:rsidRPr="008B3A9B" w:rsidRDefault="00454AD7" w:rsidP="00454AD7">
      <w:pPr>
        <w:spacing w:line="360" w:lineRule="auto"/>
        <w:jc w:val="both"/>
      </w:pPr>
      <w:r>
        <w:object w:dxaOrig="6336" w:dyaOrig="4896">
          <v:shape id="_x0000_i1035" type="#_x0000_t75" style="width:229.5pt;height:171.75pt" o:ole="">
            <v:imagedata r:id="rId27" o:title="" cropbottom="14456f" cropright="12660f"/>
          </v:shape>
          <o:OLEObject Type="Embed" ProgID="Origin50.Graph" ShapeID="_x0000_i1035" DrawAspect="Content" ObjectID="_1710417407" r:id="rId28"/>
        </w:object>
      </w:r>
      <w:r>
        <w:object w:dxaOrig="6336" w:dyaOrig="4896">
          <v:shape id="_x0000_i1036" type="#_x0000_t75" style="width:229.5pt;height:171.75pt" o:ole="">
            <v:imagedata r:id="rId29" o:title="" cropbottom="14456f" cropright="12660f"/>
          </v:shape>
          <o:OLEObject Type="Embed" ProgID="Origin50.Graph" ShapeID="_x0000_i1036" DrawAspect="Content" ObjectID="_1710417408" r:id="rId30"/>
        </w:object>
      </w:r>
    </w:p>
    <w:p w:rsidR="00454AD7" w:rsidRDefault="00A12343" w:rsidP="00454A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Figure SM 4</w:t>
      </w:r>
      <w:r w:rsidR="00454AD7" w:rsidRPr="006A3621">
        <w:rPr>
          <w:rFonts w:ascii="Times New Roman" w:hAnsi="Times New Roman"/>
          <w:b/>
          <w:sz w:val="24"/>
          <w:szCs w:val="24"/>
        </w:rPr>
        <w:t>.</w:t>
      </w:r>
      <w:r w:rsidR="00454AD7">
        <w:rPr>
          <w:rFonts w:ascii="Times New Roman" w:hAnsi="Times New Roman"/>
          <w:sz w:val="24"/>
          <w:szCs w:val="24"/>
        </w:rPr>
        <w:t xml:space="preserve"> AdSSWVs of </w:t>
      </w:r>
      <w:r w:rsidR="00454AD7" w:rsidRPr="00F35F8E">
        <w:rPr>
          <w:rFonts w:ascii="Times New Roman" w:hAnsi="Times New Roman"/>
          <w:sz w:val="24"/>
          <w:szCs w:val="24"/>
        </w:rPr>
        <w:t xml:space="preserve">poly(DPASA)/GCE in pH 2.0 PBS containing </w:t>
      </w:r>
      <w:r w:rsidR="00454AD7">
        <w:rPr>
          <w:rFonts w:ascii="Times New Roman" w:hAnsi="Times New Roman"/>
          <w:sz w:val="24"/>
          <w:szCs w:val="24"/>
        </w:rPr>
        <w:t>raw peanut (inside body)</w:t>
      </w:r>
      <w:r w:rsidR="00454AD7" w:rsidRPr="00F35F8E">
        <w:rPr>
          <w:rFonts w:ascii="Times New Roman" w:hAnsi="Times New Roman"/>
          <w:sz w:val="24"/>
          <w:szCs w:val="24"/>
        </w:rPr>
        <w:t xml:space="preserve"> sample solu</w:t>
      </w:r>
      <w:r w:rsidR="00454AD7">
        <w:rPr>
          <w:rFonts w:ascii="Times New Roman" w:hAnsi="Times New Roman"/>
          <w:sz w:val="24"/>
          <w:szCs w:val="24"/>
        </w:rPr>
        <w:t>tions in the presence of (A) AA</w:t>
      </w:r>
      <w:r w:rsidR="00454AD7" w:rsidRPr="00F35F8E">
        <w:rPr>
          <w:rFonts w:ascii="Times New Roman" w:hAnsi="Times New Roman"/>
          <w:sz w:val="24"/>
          <w:szCs w:val="24"/>
        </w:rPr>
        <w:t xml:space="preserve"> and (B) UA o</w:t>
      </w:r>
      <w:r w:rsidR="00454AD7">
        <w:rPr>
          <w:rFonts w:ascii="Times New Roman" w:hAnsi="Times New Roman"/>
          <w:sz w:val="24"/>
          <w:szCs w:val="24"/>
        </w:rPr>
        <w:t>f various concentrations (0.0, 5.0,  10.0, 15.0 and 2</w:t>
      </w:r>
      <w:r w:rsidR="00454AD7" w:rsidRPr="00F35F8E">
        <w:rPr>
          <w:rFonts w:ascii="Times New Roman" w:hAnsi="Times New Roman"/>
          <w:sz w:val="24"/>
          <w:szCs w:val="24"/>
        </w:rPr>
        <w:t>0.0 μM)</w:t>
      </w:r>
      <w:r w:rsidR="00454AD7">
        <w:rPr>
          <w:rFonts w:ascii="Times New Roman" w:hAnsi="Times New Roman"/>
          <w:sz w:val="24"/>
          <w:szCs w:val="24"/>
        </w:rPr>
        <w:t>.</w:t>
      </w:r>
    </w:p>
    <w:p w:rsidR="002140B2" w:rsidRDefault="002140B2" w:rsidP="002140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object w:dxaOrig="6336" w:dyaOrig="4896">
          <v:shape id="_x0000_i1037" type="#_x0000_t75" style="width:229.5pt;height:190.5pt" o:ole="">
            <v:imagedata r:id="rId31" o:title="" cropbottom="14456f" cropright="17873f"/>
          </v:shape>
          <o:OLEObject Type="Embed" ProgID="Origin50.Graph" ShapeID="_x0000_i1037" DrawAspect="Content" ObjectID="_1710417409" r:id="rId32"/>
        </w:object>
      </w:r>
      <w:r>
        <w:object w:dxaOrig="6336" w:dyaOrig="4896">
          <v:shape id="_x0000_i1038" type="#_x0000_t75" style="width:229.5pt;height:190.5pt" o:ole="">
            <v:imagedata r:id="rId33" o:title="" cropbottom="14456f" cropright="17873f"/>
          </v:shape>
          <o:OLEObject Type="Embed" ProgID="Origin50.Graph" ShapeID="_x0000_i1038" DrawAspect="Content" ObjectID="_1710417410" r:id="rId34"/>
        </w:object>
      </w:r>
    </w:p>
    <w:p w:rsidR="002140B2" w:rsidRDefault="002140B2" w:rsidP="002140B2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82886">
        <w:rPr>
          <w:rFonts w:ascii="Times New Roman" w:hAnsi="Times New Roman"/>
          <w:b/>
          <w:sz w:val="24"/>
          <w:szCs w:val="24"/>
        </w:rPr>
        <w:t xml:space="preserve">Figure </w:t>
      </w:r>
      <w:r w:rsidR="00980E49">
        <w:rPr>
          <w:rFonts w:ascii="Times New Roman" w:hAnsi="Times New Roman"/>
          <w:b/>
          <w:sz w:val="24"/>
          <w:szCs w:val="24"/>
        </w:rPr>
        <w:t>SM 5</w:t>
      </w:r>
      <w:r>
        <w:rPr>
          <w:rFonts w:ascii="Times New Roman" w:hAnsi="Times New Roman"/>
          <w:sz w:val="24"/>
          <w:szCs w:val="24"/>
        </w:rPr>
        <w:t>. AdSSW</w:t>
      </w:r>
      <w:r w:rsidRPr="00771C36">
        <w:rPr>
          <w:rFonts w:ascii="Times New Roman" w:hAnsi="Times New Roman"/>
          <w:sz w:val="24"/>
          <w:szCs w:val="24"/>
        </w:rPr>
        <w:t>Vs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1C36">
        <w:rPr>
          <w:rFonts w:ascii="Times New Roman" w:hAnsi="Times New Roman"/>
          <w:sz w:val="24"/>
          <w:szCs w:val="24"/>
        </w:rPr>
        <w:t>poly(DPASA)/GCE in pH 2</w:t>
      </w:r>
      <w:r>
        <w:rPr>
          <w:rFonts w:ascii="Times New Roman" w:hAnsi="Times New Roman"/>
          <w:sz w:val="24"/>
          <w:szCs w:val="24"/>
        </w:rPr>
        <w:t>.0</w:t>
      </w:r>
      <w:r w:rsidRPr="00771C36">
        <w:rPr>
          <w:rFonts w:ascii="Times New Roman" w:hAnsi="Times New Roman"/>
          <w:sz w:val="24"/>
          <w:szCs w:val="24"/>
        </w:rPr>
        <w:t xml:space="preserve"> PBS containing </w:t>
      </w:r>
      <w:r>
        <w:rPr>
          <w:rFonts w:ascii="Times New Roman" w:hAnsi="Times New Roman"/>
          <w:sz w:val="24"/>
          <w:szCs w:val="24"/>
        </w:rPr>
        <w:t xml:space="preserve">honey sample </w:t>
      </w:r>
      <w:r w:rsidRPr="00771C36">
        <w:rPr>
          <w:rFonts w:ascii="Times New Roman" w:hAnsi="Times New Roman"/>
          <w:sz w:val="24"/>
          <w:szCs w:val="24"/>
        </w:rPr>
        <w:t>solution</w:t>
      </w:r>
      <w:r>
        <w:rPr>
          <w:rFonts w:ascii="Times New Roman" w:hAnsi="Times New Roman"/>
          <w:sz w:val="24"/>
          <w:szCs w:val="24"/>
        </w:rPr>
        <w:t xml:space="preserve"> collected from Gazo Wereda</w:t>
      </w:r>
      <w:r w:rsidRPr="00114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(kebele 01), </w:t>
      </w:r>
      <w:r w:rsidRPr="00114211">
        <w:rPr>
          <w:rFonts w:ascii="Times New Roman" w:hAnsi="Times New Roman"/>
          <w:sz w:val="24"/>
          <w:szCs w:val="24"/>
        </w:rPr>
        <w:t>North Wollo Zone</w:t>
      </w:r>
      <w:r>
        <w:rPr>
          <w:rFonts w:ascii="Times New Roman" w:hAnsi="Times New Roman"/>
          <w:sz w:val="24"/>
          <w:szCs w:val="24"/>
        </w:rPr>
        <w:t>, Ethiopia</w:t>
      </w:r>
      <w:r w:rsidRPr="00DC3C18">
        <w:rPr>
          <w:rFonts w:ascii="Times New Roman" w:hAnsi="Times New Roman"/>
          <w:sz w:val="24"/>
          <w:szCs w:val="24"/>
        </w:rPr>
        <w:t xml:space="preserve">  </w:t>
      </w:r>
      <w:r w:rsidRPr="00771C36">
        <w:rPr>
          <w:rFonts w:ascii="Times New Roman" w:hAnsi="Times New Roman"/>
          <w:sz w:val="24"/>
          <w:szCs w:val="24"/>
        </w:rPr>
        <w:t>in the pre</w:t>
      </w:r>
      <w:r>
        <w:rPr>
          <w:rFonts w:ascii="Times New Roman" w:hAnsi="Times New Roman"/>
          <w:sz w:val="24"/>
          <w:szCs w:val="24"/>
        </w:rPr>
        <w:t xml:space="preserve">sence of (A) AA, and (B) UA </w:t>
      </w:r>
      <w:r w:rsidRPr="00771C36">
        <w:rPr>
          <w:rFonts w:ascii="Times New Roman" w:hAnsi="Times New Roman"/>
          <w:sz w:val="24"/>
          <w:szCs w:val="24"/>
        </w:rPr>
        <w:t>of various</w:t>
      </w:r>
      <w:r>
        <w:rPr>
          <w:rFonts w:ascii="Times New Roman" w:hAnsi="Times New Roman"/>
          <w:sz w:val="24"/>
          <w:szCs w:val="24"/>
        </w:rPr>
        <w:t xml:space="preserve"> concentrations (0.0, 23.0,  46.0, 69.0 and 92.0</w:t>
      </w:r>
      <w:r w:rsidRPr="00771C36">
        <w:rPr>
          <w:rFonts w:ascii="Times New Roman" w:hAnsi="Times New Roman"/>
          <w:sz w:val="24"/>
          <w:szCs w:val="24"/>
        </w:rPr>
        <w:t xml:space="preserve"> μM)</w:t>
      </w:r>
      <w:r>
        <w:rPr>
          <w:rFonts w:ascii="Times New Roman" w:hAnsi="Times New Roman"/>
          <w:sz w:val="24"/>
          <w:szCs w:val="24"/>
        </w:rPr>
        <w:t>.</w:t>
      </w:r>
    </w:p>
    <w:p w:rsidR="00AF3FF2" w:rsidRDefault="00AF3FF2" w:rsidP="00757EEA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7EEA" w:rsidRDefault="00686861" w:rsidP="00757EE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Table SM 2</w:t>
      </w:r>
      <w:r w:rsidR="00757EEA" w:rsidRPr="00F82886">
        <w:rPr>
          <w:rFonts w:ascii="Times New Roman" w:hAnsi="Times New Roman"/>
          <w:b/>
          <w:sz w:val="24"/>
          <w:szCs w:val="24"/>
        </w:rPr>
        <w:t>.</w:t>
      </w:r>
      <w:r w:rsidR="00757EEA" w:rsidRPr="00F82886">
        <w:rPr>
          <w:rFonts w:ascii="Times New Roman" w:hAnsi="Times New Roman"/>
          <w:sz w:val="24"/>
          <w:szCs w:val="24"/>
        </w:rPr>
        <w:t xml:space="preserve"> Summary of interference study of GA with different concentrations of </w:t>
      </w:r>
      <w:r w:rsidR="00757EEA">
        <w:rPr>
          <w:rFonts w:ascii="Times New Roman" w:hAnsi="Times New Roman"/>
          <w:sz w:val="24"/>
          <w:szCs w:val="24"/>
        </w:rPr>
        <w:t>AA</w:t>
      </w:r>
      <w:r w:rsidR="00757EEA" w:rsidRPr="00F82886">
        <w:rPr>
          <w:rFonts w:ascii="Times New Roman" w:hAnsi="Times New Roman"/>
          <w:sz w:val="24"/>
          <w:szCs w:val="24"/>
        </w:rPr>
        <w:t xml:space="preserve"> and </w:t>
      </w:r>
      <w:r w:rsidR="00757EEA">
        <w:rPr>
          <w:rFonts w:ascii="Times New Roman" w:hAnsi="Times New Roman"/>
          <w:sz w:val="24"/>
          <w:szCs w:val="24"/>
        </w:rPr>
        <w:t>UA</w:t>
      </w:r>
      <w:r w:rsidR="00757EEA" w:rsidRPr="000563EF">
        <w:rPr>
          <w:rFonts w:ascii="Times New Roman" w:hAnsi="Times New Roman"/>
          <w:sz w:val="24"/>
          <w:szCs w:val="24"/>
        </w:rPr>
        <w:t xml:space="preserve"> </w:t>
      </w:r>
      <w:r w:rsidR="00757EEA">
        <w:rPr>
          <w:rFonts w:ascii="Times New Roman" w:hAnsi="Times New Roman"/>
          <w:sz w:val="24"/>
          <w:szCs w:val="24"/>
        </w:rPr>
        <w:t xml:space="preserve">for honey sample. 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469"/>
        <w:gridCol w:w="2350"/>
        <w:gridCol w:w="2156"/>
        <w:gridCol w:w="1098"/>
      </w:tblGrid>
      <w:tr w:rsidR="00757EEA" w:rsidRPr="008F6C7A" w:rsidTr="005C2ADA">
        <w:trPr>
          <w:trHeight w:hRule="exact" w:val="613"/>
          <w:jc w:val="center"/>
        </w:trPr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 xml:space="preserve">Interferent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Interferent  added (µM)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Current response (µA)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Expected current (µA)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 xml:space="preserve">%  error </w:t>
            </w:r>
          </w:p>
        </w:tc>
      </w:tr>
      <w:tr w:rsidR="00757EEA" w:rsidRPr="008F6C7A" w:rsidTr="005C2ADA">
        <w:trPr>
          <w:trHeight w:hRule="exact" w:val="343"/>
          <w:jc w:val="center"/>
        </w:trPr>
        <w:tc>
          <w:tcPr>
            <w:tcW w:w="1503" w:type="dxa"/>
            <w:vMerge w:val="restart"/>
            <w:tcBorders>
              <w:top w:val="single" w:sz="4" w:space="0" w:color="auto"/>
            </w:tcBorders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28.60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28.60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757EEA" w:rsidRPr="008F6C7A" w:rsidTr="005C2ADA">
        <w:trPr>
          <w:trHeight w:hRule="exact" w:val="351"/>
          <w:jc w:val="center"/>
        </w:trPr>
        <w:tc>
          <w:tcPr>
            <w:tcW w:w="1503" w:type="dxa"/>
            <w:vMerge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23.0</w:t>
            </w:r>
          </w:p>
        </w:tc>
        <w:tc>
          <w:tcPr>
            <w:tcW w:w="2350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28.33</w:t>
            </w:r>
          </w:p>
        </w:tc>
        <w:tc>
          <w:tcPr>
            <w:tcW w:w="2156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28.60</w:t>
            </w:r>
          </w:p>
        </w:tc>
        <w:tc>
          <w:tcPr>
            <w:tcW w:w="1098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0.95</w:t>
            </w:r>
          </w:p>
        </w:tc>
      </w:tr>
      <w:tr w:rsidR="00757EEA" w:rsidRPr="008F6C7A" w:rsidTr="005C2ADA">
        <w:trPr>
          <w:trHeight w:hRule="exact" w:val="334"/>
          <w:jc w:val="center"/>
        </w:trPr>
        <w:tc>
          <w:tcPr>
            <w:tcW w:w="1503" w:type="dxa"/>
            <w:vMerge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46.0</w:t>
            </w:r>
          </w:p>
        </w:tc>
        <w:tc>
          <w:tcPr>
            <w:tcW w:w="2350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28.56</w:t>
            </w:r>
          </w:p>
        </w:tc>
        <w:tc>
          <w:tcPr>
            <w:tcW w:w="2156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28.60</w:t>
            </w:r>
          </w:p>
        </w:tc>
        <w:tc>
          <w:tcPr>
            <w:tcW w:w="1098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757EEA" w:rsidRPr="008F6C7A" w:rsidTr="005C2ADA">
        <w:trPr>
          <w:trHeight w:hRule="exact" w:val="369"/>
          <w:jc w:val="center"/>
        </w:trPr>
        <w:tc>
          <w:tcPr>
            <w:tcW w:w="1503" w:type="dxa"/>
            <w:vMerge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69.0</w:t>
            </w:r>
          </w:p>
        </w:tc>
        <w:tc>
          <w:tcPr>
            <w:tcW w:w="2350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28.80</w:t>
            </w:r>
          </w:p>
        </w:tc>
        <w:tc>
          <w:tcPr>
            <w:tcW w:w="2156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28.60</w:t>
            </w:r>
          </w:p>
        </w:tc>
        <w:tc>
          <w:tcPr>
            <w:tcW w:w="1098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</w:tr>
      <w:tr w:rsidR="00757EEA" w:rsidRPr="008F6C7A" w:rsidTr="005C2ADA">
        <w:trPr>
          <w:trHeight w:hRule="exact" w:val="369"/>
          <w:jc w:val="center"/>
        </w:trPr>
        <w:tc>
          <w:tcPr>
            <w:tcW w:w="1503" w:type="dxa"/>
            <w:vMerge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92.0</w:t>
            </w:r>
          </w:p>
        </w:tc>
        <w:tc>
          <w:tcPr>
            <w:tcW w:w="2350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29.20</w:t>
            </w:r>
          </w:p>
        </w:tc>
        <w:tc>
          <w:tcPr>
            <w:tcW w:w="2156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28.60</w:t>
            </w:r>
          </w:p>
        </w:tc>
        <w:tc>
          <w:tcPr>
            <w:tcW w:w="1098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</w:tr>
      <w:tr w:rsidR="00757EEA" w:rsidRPr="008F6C7A" w:rsidTr="005C2ADA">
        <w:trPr>
          <w:trHeight w:hRule="exact" w:val="324"/>
          <w:jc w:val="center"/>
        </w:trPr>
        <w:tc>
          <w:tcPr>
            <w:tcW w:w="1503" w:type="dxa"/>
            <w:vMerge w:val="restart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UA</w:t>
            </w:r>
          </w:p>
        </w:tc>
        <w:tc>
          <w:tcPr>
            <w:tcW w:w="2469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2350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28.60</w:t>
            </w:r>
          </w:p>
        </w:tc>
        <w:tc>
          <w:tcPr>
            <w:tcW w:w="2156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28.60</w:t>
            </w:r>
          </w:p>
        </w:tc>
        <w:tc>
          <w:tcPr>
            <w:tcW w:w="1098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757EEA" w:rsidRPr="008F6C7A" w:rsidTr="005C2ADA">
        <w:trPr>
          <w:trHeight w:hRule="exact" w:val="369"/>
          <w:jc w:val="center"/>
        </w:trPr>
        <w:tc>
          <w:tcPr>
            <w:tcW w:w="1503" w:type="dxa"/>
            <w:vMerge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23.0</w:t>
            </w:r>
          </w:p>
        </w:tc>
        <w:tc>
          <w:tcPr>
            <w:tcW w:w="2350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28.20</w:t>
            </w:r>
          </w:p>
        </w:tc>
        <w:tc>
          <w:tcPr>
            <w:tcW w:w="2156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28.60</w:t>
            </w:r>
          </w:p>
        </w:tc>
        <w:tc>
          <w:tcPr>
            <w:tcW w:w="1098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1.42</w:t>
            </w:r>
          </w:p>
        </w:tc>
      </w:tr>
      <w:tr w:rsidR="00757EEA" w:rsidRPr="008F6C7A" w:rsidTr="005C2ADA">
        <w:trPr>
          <w:trHeight w:hRule="exact" w:val="360"/>
          <w:jc w:val="center"/>
        </w:trPr>
        <w:tc>
          <w:tcPr>
            <w:tcW w:w="1503" w:type="dxa"/>
            <w:vMerge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46.0</w:t>
            </w:r>
          </w:p>
        </w:tc>
        <w:tc>
          <w:tcPr>
            <w:tcW w:w="2350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28.50</w:t>
            </w:r>
          </w:p>
        </w:tc>
        <w:tc>
          <w:tcPr>
            <w:tcW w:w="2156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28.60</w:t>
            </w:r>
          </w:p>
        </w:tc>
        <w:tc>
          <w:tcPr>
            <w:tcW w:w="1098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0.35</w:t>
            </w:r>
          </w:p>
        </w:tc>
      </w:tr>
      <w:tr w:rsidR="00757EEA" w:rsidRPr="008F6C7A" w:rsidTr="005C2ADA">
        <w:trPr>
          <w:trHeight w:hRule="exact" w:val="315"/>
          <w:jc w:val="center"/>
        </w:trPr>
        <w:tc>
          <w:tcPr>
            <w:tcW w:w="1503" w:type="dxa"/>
            <w:vMerge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46.0</w:t>
            </w:r>
          </w:p>
        </w:tc>
        <w:tc>
          <w:tcPr>
            <w:tcW w:w="2350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28.70</w:t>
            </w:r>
          </w:p>
        </w:tc>
        <w:tc>
          <w:tcPr>
            <w:tcW w:w="2156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28.60</w:t>
            </w:r>
          </w:p>
        </w:tc>
        <w:tc>
          <w:tcPr>
            <w:tcW w:w="1098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0.35</w:t>
            </w:r>
          </w:p>
        </w:tc>
      </w:tr>
      <w:tr w:rsidR="00757EEA" w:rsidRPr="008F6C7A" w:rsidTr="005C2ADA">
        <w:trPr>
          <w:trHeight w:hRule="exact" w:val="360"/>
          <w:jc w:val="center"/>
        </w:trPr>
        <w:tc>
          <w:tcPr>
            <w:tcW w:w="1503" w:type="dxa"/>
            <w:vMerge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92.0</w:t>
            </w:r>
          </w:p>
        </w:tc>
        <w:tc>
          <w:tcPr>
            <w:tcW w:w="2350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2156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28.60</w:t>
            </w:r>
          </w:p>
        </w:tc>
        <w:tc>
          <w:tcPr>
            <w:tcW w:w="1098" w:type="dxa"/>
          </w:tcPr>
          <w:p w:rsidR="00757EEA" w:rsidRPr="008F6C7A" w:rsidRDefault="00757EEA" w:rsidP="005C2A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C7A">
              <w:rPr>
                <w:rFonts w:ascii="Times New Roman" w:hAnsi="Times New Roman"/>
                <w:sz w:val="24"/>
                <w:szCs w:val="24"/>
              </w:rPr>
              <w:t>1.75</w:t>
            </w:r>
          </w:p>
        </w:tc>
      </w:tr>
    </w:tbl>
    <w:p w:rsidR="00BF7134" w:rsidRDefault="000D5669"/>
    <w:p w:rsidR="00C00912" w:rsidRDefault="00C00912"/>
    <w:p w:rsidR="00C00912" w:rsidRPr="00C00912" w:rsidRDefault="00C00912" w:rsidP="00C00912">
      <w:r w:rsidRPr="00C00912">
        <w:object w:dxaOrig="4770" w:dyaOrig="4185">
          <v:shape id="_x0000_i1039" type="#_x0000_t75" style="width:238.5pt;height:209.25pt" o:ole="">
            <v:imagedata r:id="rId35" o:title="" cropbottom="13493f" cropright="20852f"/>
          </v:shape>
          <o:OLEObject Type="Embed" ProgID="Origin50.Graph" ShapeID="_x0000_i1039" DrawAspect="Content" ObjectID="_1710417411" r:id="rId36"/>
        </w:object>
      </w:r>
      <w:r w:rsidRPr="00C00912">
        <w:object w:dxaOrig="4530" w:dyaOrig="4080">
          <v:shape id="_x0000_i1040" type="#_x0000_t75" style="width:226.5pt;height:204pt" o:ole="">
            <v:imagedata r:id="rId37" o:title="" cropbottom="13493f" cropright="20852f"/>
          </v:shape>
          <o:OLEObject Type="Embed" ProgID="Origin50.Graph" ShapeID="_x0000_i1040" DrawAspect="Content" ObjectID="_1710417412" r:id="rId38"/>
        </w:object>
      </w:r>
    </w:p>
    <w:p w:rsidR="00C00912" w:rsidRDefault="00C00912" w:rsidP="00C00912"/>
    <w:p w:rsidR="00C00912" w:rsidRPr="00C00912" w:rsidRDefault="00A12343" w:rsidP="00C009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Figure SM 6</w:t>
      </w:r>
      <w:r w:rsidR="006A35B0" w:rsidRPr="006A35B0">
        <w:t xml:space="preserve"> </w:t>
      </w:r>
      <w:r w:rsidR="006A35B0" w:rsidRPr="006A35B0">
        <w:rPr>
          <w:rFonts w:ascii="Times New Roman" w:hAnsi="Times New Roman"/>
          <w:sz w:val="24"/>
          <w:szCs w:val="24"/>
        </w:rPr>
        <w:t>Five repetitive AdSSWVs of poly(DPASA)/GCE  in pH 2.0 PBS containing 1.0 mM GA recorded in (A) one day, and (B) 15 days: step potential: 4 mV, amplitude: 30 mV, and frequency: 20 Hz.</w:t>
      </w:r>
      <w:r w:rsidR="006A35B0">
        <w:rPr>
          <w:rFonts w:ascii="Times New Roman" w:hAnsi="Times New Roman"/>
          <w:sz w:val="24"/>
          <w:szCs w:val="24"/>
        </w:rPr>
        <w:t xml:space="preserve"> </w:t>
      </w:r>
    </w:p>
    <w:sectPr w:rsidR="00C00912" w:rsidRPr="00C00912" w:rsidSect="00B760F2">
      <w:foot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69" w:rsidRDefault="000D5669" w:rsidP="008B3A9B">
      <w:pPr>
        <w:spacing w:after="0" w:line="240" w:lineRule="auto"/>
      </w:pPr>
      <w:r>
        <w:separator/>
      </w:r>
    </w:p>
  </w:endnote>
  <w:endnote w:type="continuationSeparator" w:id="0">
    <w:p w:rsidR="000D5669" w:rsidRDefault="000D5669" w:rsidP="008B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160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3A9B" w:rsidRDefault="008B3A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8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3A9B" w:rsidRDefault="008B3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69" w:rsidRDefault="000D5669" w:rsidP="008B3A9B">
      <w:pPr>
        <w:spacing w:after="0" w:line="240" w:lineRule="auto"/>
      </w:pPr>
      <w:r>
        <w:separator/>
      </w:r>
    </w:p>
  </w:footnote>
  <w:footnote w:type="continuationSeparator" w:id="0">
    <w:p w:rsidR="000D5669" w:rsidRDefault="000D5669" w:rsidP="008B3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F6"/>
    <w:rsid w:val="000B15BA"/>
    <w:rsid w:val="000D4A1C"/>
    <w:rsid w:val="000D5669"/>
    <w:rsid w:val="001C27D1"/>
    <w:rsid w:val="002140B2"/>
    <w:rsid w:val="002B1BF6"/>
    <w:rsid w:val="004428CA"/>
    <w:rsid w:val="00454AD7"/>
    <w:rsid w:val="004603F4"/>
    <w:rsid w:val="004F3366"/>
    <w:rsid w:val="00542AD9"/>
    <w:rsid w:val="005801EA"/>
    <w:rsid w:val="005E7D34"/>
    <w:rsid w:val="00627254"/>
    <w:rsid w:val="00686861"/>
    <w:rsid w:val="006A35B0"/>
    <w:rsid w:val="006B1470"/>
    <w:rsid w:val="006C075D"/>
    <w:rsid w:val="00757EEA"/>
    <w:rsid w:val="007C67E3"/>
    <w:rsid w:val="007D2BB8"/>
    <w:rsid w:val="00852D38"/>
    <w:rsid w:val="008B3A9B"/>
    <w:rsid w:val="008F6DDE"/>
    <w:rsid w:val="0092698A"/>
    <w:rsid w:val="00977431"/>
    <w:rsid w:val="00980E49"/>
    <w:rsid w:val="009F6289"/>
    <w:rsid w:val="00A12343"/>
    <w:rsid w:val="00AF3FF2"/>
    <w:rsid w:val="00B760F2"/>
    <w:rsid w:val="00C00912"/>
    <w:rsid w:val="00C867F6"/>
    <w:rsid w:val="00CB2E2C"/>
    <w:rsid w:val="00D00E98"/>
    <w:rsid w:val="00D306B6"/>
    <w:rsid w:val="00D431AB"/>
    <w:rsid w:val="00ED6BE7"/>
    <w:rsid w:val="00F012B9"/>
    <w:rsid w:val="00F5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F6"/>
    <w:pPr>
      <w:spacing w:after="160" w:line="259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4A1C"/>
    <w:pPr>
      <w:keepNext/>
      <w:keepLine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B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2B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1BF6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D4A1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B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B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9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B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A9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F6"/>
    <w:pPr>
      <w:spacing w:after="160" w:line="259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4A1C"/>
    <w:pPr>
      <w:keepNext/>
      <w:keepLine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B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2B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1BF6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D4A1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B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B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9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B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A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Zelalem Bitew Deress</cp:lastModifiedBy>
  <cp:revision>2</cp:revision>
  <dcterms:created xsi:type="dcterms:W3CDTF">2022-04-02T12:10:00Z</dcterms:created>
  <dcterms:modified xsi:type="dcterms:W3CDTF">2022-04-02T12:10:00Z</dcterms:modified>
</cp:coreProperties>
</file>