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32"/>
          <w14:textFill>
            <w14:solidFill>
              <w14:schemeClr w14:val="tx1"/>
            </w14:solidFill>
          </w14:textFill>
        </w:rPr>
        <w:t>Supplementary data</w:t>
      </w:r>
    </w:p>
    <w:p>
      <w:pPr>
        <w:numPr>
          <w:ilvl w:val="0"/>
          <w:numId w:val="1"/>
        </w:numPr>
        <w:tabs>
          <w:tab w:val="left" w:pos="1275"/>
        </w:tabs>
        <w:spacing w:after="80" w:line="240" w:lineRule="exact"/>
        <w:ind w:left="0" w:leftChars="0" w:firstLine="0" w:firstLineChars="0"/>
        <w:rPr>
          <w:rFonts w:hint="default" w:ascii="Times New Roman" w:hAnsi="Times New Roman"/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Specific calculation steps of grey correlation analysis (GCA) is as follows: 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The measured pharmacodynamics indicators were used as reference sequence; the peak areas of 13 common peaks were used as comparison sequence.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The mean value method is used to non-dimensionally process the original data.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The correlation coefficient is defined according to the following formula:</w:t>
      </w:r>
    </w:p>
    <w:p>
      <w:pPr>
        <w:widowControl/>
        <w:ind w:firstLine="420" w:firstLineChars="200"/>
        <w:jc w:val="left"/>
        <w:textAlignment w:val="center"/>
        <w:rPr>
          <w:rFonts w:hint="default" w:ascii="Times New Roman" w:hAnsi="Times New Roman"/>
          <w:color w:val="000000" w:themeColor="text1"/>
          <w:position w:val="-32"/>
          <w:sz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position w:val="-32"/>
          <w:sz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37.4pt;width:290.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/>
          <w:color w:val="000000" w:themeColor="text1"/>
          <w:position w:val="-32"/>
          <w:sz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Times New Roman" w:hAnsi="Times New Roman"/>
          <w:color w:val="000000" w:themeColor="text1"/>
          <w:position w:val="-32"/>
          <w:sz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/>
          <w:color w:val="000000" w:themeColor="text1"/>
          <w:position w:val="-32"/>
          <w:sz w:val="21"/>
          <w14:textFill>
            <w14:solidFill>
              <w14:schemeClr w14:val="tx1"/>
            </w14:solidFill>
          </w14:textFill>
        </w:rPr>
        <w:t>(1)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The formula for the grey correlation degree is as follows: </w:t>
      </w:r>
    </w:p>
    <w:p>
      <w:pPr>
        <w:widowControl/>
        <w:numPr>
          <w:ilvl w:val="0"/>
          <w:numId w:val="0"/>
        </w:numPr>
        <w:ind w:firstLine="420" w:firstLineChars="200"/>
        <w:jc w:val="left"/>
        <w:textAlignment w:val="center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position w:val="-28"/>
          <w:sz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34.85pt;width:7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/>
          <w:color w:val="000000" w:themeColor="text1"/>
          <w:position w:val="-28"/>
          <w:sz w:val="21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Times New Roman" w:hAnsi="Times New Roman"/>
          <w:color w:val="000000" w:themeColor="text1"/>
          <w:position w:val="-28"/>
          <w:sz w:val="21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imes New Roman" w:hAnsi="Times New Roman"/>
          <w:color w:val="000000" w:themeColor="text1"/>
          <w:position w:val="-28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position w:val="-28"/>
          <w:sz w:val="21"/>
          <w14:textFill>
            <w14:solidFill>
              <w14:schemeClr w14:val="tx1"/>
            </w14:solidFill>
          </w14:textFill>
        </w:rPr>
        <w:t>(2)</w:t>
      </w:r>
      <w:r>
        <w:rPr>
          <w:rFonts w:hint="default" w:ascii="Times New Roman" w:hAnsi="Times New Roman"/>
          <w:color w:val="000000" w:themeColor="text1"/>
          <w:position w:val="-28"/>
          <w:sz w:val="2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Times New Roman" w:hAnsi="Times New Roman"/>
          <w:color w:val="000000" w:themeColor="text1"/>
          <w:position w:val="-28"/>
          <w:sz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/>
          <w:color w:val="000000" w:themeColor="text1"/>
          <w:position w:val="-28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position w:val="-28"/>
          <w:sz w:val="2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idowControl/>
        <w:numPr>
          <w:ilvl w:val="0"/>
          <w:numId w:val="2"/>
        </w:numPr>
        <w:jc w:val="left"/>
        <w:textAlignment w:val="center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The order of association is obtained by sorting the grey correlation degree.</w:t>
      </w:r>
    </w:p>
    <w:p>
      <w:pPr>
        <w:widowControl/>
        <w:numPr>
          <w:ilvl w:val="0"/>
          <w:numId w:val="0"/>
        </w:numPr>
        <w:jc w:val="left"/>
        <w:textAlignment w:val="center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Abbreviations: min, minimum; max, maximum; </w:t>
      </w:r>
      <w:r>
        <w:rPr>
          <w:rFonts w:hint="default" w:ascii="Times New Roman" w:hAnsi="Times New Roman"/>
          <w:i/>
          <w:color w:val="000000" w:themeColor="text1"/>
          <w:sz w:val="21"/>
          <w14:textFill>
            <w14:solidFill>
              <w14:schemeClr w14:val="tx1"/>
            </w14:solidFill>
          </w14:textFill>
        </w:rPr>
        <w:t>Ym</w:t>
      </w: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/>
          <w:i/>
          <w:color w:val="000000" w:themeColor="text1"/>
          <w:sz w:val="21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) is the pharmacodynamics indicators; </w:t>
      </w:r>
      <w:r>
        <w:rPr>
          <w:rFonts w:hint="default" w:ascii="Times New Roman" w:hAnsi="Times New Roman"/>
          <w:i/>
          <w:color w:val="000000" w:themeColor="text1"/>
          <w:sz w:val="21"/>
          <w14:textFill>
            <w14:solidFill>
              <w14:schemeClr w14:val="tx1"/>
            </w14:solidFill>
          </w14:textFill>
        </w:rPr>
        <w:t>Yz</w:t>
      </w: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/>
          <w:i/>
          <w:color w:val="000000" w:themeColor="text1"/>
          <w:sz w:val="21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) is the the normalized value of the common peak area; z is the order of common peak; k is the numbers of batches of Taxilli Herba; </w:t>
      </w:r>
      <w:r>
        <w:rPr>
          <w:rFonts w:hint="default" w:ascii="Times New Roman" w:hAnsi="Times New Roman"/>
          <w:i/>
          <w:color w:val="000000" w:themeColor="text1"/>
          <w:sz w:val="21"/>
          <w14:textFill>
            <w14:solidFill>
              <w14:schemeClr w14:val="tx1"/>
            </w14:solidFill>
          </w14:textFill>
        </w:rPr>
        <w:t>ρ</w:t>
      </w: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is the resolution coefficient lying from 0 to 1, and it is generally set as 0.5. </w:t>
      </w: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275"/>
        </w:tabs>
        <w:spacing w:after="80" w:line="240" w:lineRule="exact"/>
        <w:rPr>
          <w:rFonts w:hint="eastAsia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tabs>
          <w:tab w:val="left" w:pos="1275"/>
        </w:tabs>
        <w:spacing w:after="80" w:line="240" w:lineRule="exact"/>
        <w:rPr>
          <w:rFonts w:hint="eastAsia" w:ascii="Times New Roman" w:hAnsi="Times New Roman"/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Specific calculation steps of </w:t>
      </w:r>
      <w:r>
        <w:rPr>
          <w:rFonts w:hint="default" w:ascii="Times New Roman" w:hAnsi="Times New Roman"/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>Technique for order preference by similarity to ideal solution (TOPSIS)</w:t>
      </w:r>
      <w:r>
        <w:rPr>
          <w:rFonts w:hint="eastAsia" w:ascii="Times New Roman" w:hAnsi="Times New Roman"/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is as follows: 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(1) Normalization of raw data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   The matrix V consists of assay data normalized according to formula (1) because of the different content (m=1, 2, 3 ... i, n=1, 2, 3... j; in this experiment, m=20, n=5), where m 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s the evaluation object and 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is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the evaluation index.</w:t>
      </w:r>
    </w:p>
    <w:p>
      <w:pP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i w:val="0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i w:val="0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cs="Times New Roman"/>
          <w:i w:val="0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m:oMath>
        <m:sSub>
          <m:sSubPr>
            <m:ctrlPr>
              <w:rPr>
                <w:rFonts w:hint="default" w:ascii="Cambria Math" w:hAnsi="Cambria Math" w:cs="Times New Roman"/>
                <w:i/>
                <w:color w:val="000000" w:themeColor="text1"/>
                <w:sz w:val="2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ij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 w:themeColor="text1"/>
            <w:sz w:val="21"/>
            <w:szCs w:val="24"/>
            <w:lang w:val="en-US"/>
            <w14:textFill>
              <w14:solidFill>
                <w14:schemeClr w14:val="tx1"/>
              </w14:solidFill>
            </w14:textFill>
          </w:rPr>
          <m:t>=</m:t>
        </m:r>
        <m:f>
          <m:fPr>
            <m:type m:val="lin"/>
            <m:ctrlPr>
              <w:rPr>
                <w:rFonts w:hint="default" w:ascii="Cambria Math" w:hAnsi="Cambria Math" w:cs="Times New Roman"/>
                <w:i/>
                <w:color w:val="000000" w:themeColor="text1"/>
                <w:sz w:val="2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1"/>
                    <w:szCs w:val="24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1"/>
                    <w:szCs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1"/>
                    <w:szCs w:val="24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1"/>
                    <w:szCs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m:t>ij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1"/>
                    <w:szCs w:val="24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color w:val="000000" w:themeColor="text1"/>
                <w:sz w:val="2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1"/>
                    <w:szCs w:val="24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1"/>
                    <w:szCs w:val="24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nary>
                  <m:naryPr>
                    <m:chr m:val="∑"/>
                    <m:limLoc m:val="undOvr"/>
                    <m:ctrlPr>
                      <w:rPr>
                        <w:rFonts w:hint="default" w:ascii="Cambria Math" w:hAnsi="Cambria Math" w:cs="Times New Roman"/>
                        <w:i/>
                        <w:color w:val="000000" w:themeColor="text1"/>
                        <w:sz w:val="21"/>
                        <w:szCs w:val="24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 w:cs="Times New Roman"/>
                        <w:color w:val="000000" w:themeColor="text1"/>
                        <w:sz w:val="21"/>
                        <w:szCs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j=1</m:t>
                    </m:r>
                    <m:ctrlPr>
                      <w:rPr>
                        <w:rFonts w:hint="default" w:ascii="Cambria Math" w:hAnsi="Cambria Math" w:cs="Times New Roman"/>
                        <w:i/>
                        <w:color w:val="000000" w:themeColor="text1"/>
                        <w:sz w:val="21"/>
                        <w:szCs w:val="24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 w:cs="Times New Roman"/>
                        <w:color w:val="000000" w:themeColor="text1"/>
                        <w:sz w:val="21"/>
                        <w:szCs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hint="default" w:ascii="Cambria Math" w:hAnsi="Cambria Math" w:cs="Times New Roman"/>
                        <w:i/>
                        <w:color w:val="000000" w:themeColor="text1"/>
                        <w:sz w:val="21"/>
                        <w:szCs w:val="24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  <m:e>
                    <m:sSup>
                      <m:sSupPr>
                        <m:ctrlPr>
                          <w:rPr>
                            <w:rFonts w:hint="default" w:ascii="Cambria Math" w:hAnsi="Cambria Math" w:cs="Times New Roman"/>
                            <w:i/>
                            <w:color w:val="000000" w:themeColor="text1"/>
                            <w:sz w:val="21"/>
                            <w:szCs w:val="24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color w:val="000000" w:themeColor="text1"/>
                            <w:sz w:val="21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(</m:t>
                        </m:r>
                        <m:sSubSup>
                          <m:sSubSupP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SupPr>
                          <m:e>
                            <m:r>
                              <m:rPr/>
                              <w:rPr>
                                <w:rFonts w:hint="default" w:ascii="Cambria Math" w:hAnsi="Cambria Math" w:cs="Times New Roman"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a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ij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Fonts w:hint="default" w:ascii="Cambria Math" w:hAnsi="Cambria Math" w:cs="Times New Roman"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+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p>
                        </m:sSubSup>
                        <m:r>
                          <m:rPr/>
                          <w:rPr>
                            <w:rFonts w:hint="default" w:ascii="Cambria Math" w:hAnsi="Cambria Math" w:cs="Times New Roman"/>
                            <w:color w:val="000000" w:themeColor="text1"/>
                            <w:sz w:val="21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−</m:t>
                        </m:r>
                        <m:sSub>
                          <m:sSubP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 w:cs="Times New Roman"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a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 w:cs="Times New Roman"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ij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i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hint="default" w:ascii="Cambria Math" w:hAnsi="Cambria Math" w:cs="Times New Roman"/>
                            <w:color w:val="000000" w:themeColor="text1"/>
                            <w:sz w:val="21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)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color w:val="000000" w:themeColor="text1"/>
                            <w:sz w:val="21"/>
                            <w:szCs w:val="24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 w:cs="Times New Roman"/>
                            <w:color w:val="000000" w:themeColor="text1"/>
                            <w:sz w:val="21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color w:val="000000" w:themeColor="text1"/>
                            <w:sz w:val="21"/>
                            <w:szCs w:val="24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Times New Roman"/>
                        <w:i/>
                        <w:color w:val="000000" w:themeColor="text1"/>
                        <w:sz w:val="21"/>
                        <w:szCs w:val="24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nary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1"/>
                    <w:szCs w:val="24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hint="default" w:ascii="Cambria Math" w:hAnsi="Cambria Math" w:cs="Times New Roman"/>
                <w:i/>
                <w:color w:val="000000" w:themeColor="text1"/>
                <w:sz w:val="2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default" w:ascii="Times New Roman" w:hAnsi="Times New Roman" w:cs="Times New Roman"/>
          <w:color w:val="000000" w:themeColor="text1"/>
          <w:sz w:val="20"/>
          <w:szCs w:val="22"/>
          <w:lang w:val="en-US" w:eastAsia="zh-CN"/>
          <w14:textFill>
            <w14:solidFill>
              <w14:schemeClr w14:val="tx1"/>
            </w14:solidFill>
          </w14:textFill>
        </w:rPr>
        <w:t>(1)</w:t>
      </w:r>
      <w: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(2) Selection of optimal and worst schemes</w:t>
      </w:r>
    </w:p>
    <w:p>
      <w:pPr>
        <w:ind w:firstLine="400" w:firstLineChars="200"/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The optimal scheme and the worst scheme are selected based on the normalized matrix results. The optimal solution A</w:t>
      </w:r>
      <w:r>
        <w:rPr>
          <w:rFonts w:hint="default" w:ascii="Times New Roman" w:hAnsi="Times New Roman"/>
          <w:color w:val="000000" w:themeColor="text1"/>
          <w:sz w:val="20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is the maximum value of 5 evaluation indicators for the samples; the worst solution A</w:t>
      </w:r>
      <w:r>
        <w:rPr>
          <w:rFonts w:hint="default" w:ascii="Times New Roman" w:hAnsi="Times New Roman"/>
          <w:color w:val="000000" w:themeColor="text1"/>
          <w:sz w:val="20"/>
          <w:vertAlign w:val="superscript"/>
          <w14:textFill>
            <w14:solidFill>
              <w14:schemeClr w14:val="tx1"/>
            </w14:solidFill>
          </w14:textFill>
        </w:rPr>
        <w:t>–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is the minimum value of 5 evaluation indicators for the samples.</w:t>
      </w:r>
    </w:p>
    <w:p>
      <w:pP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Calculation of Euclidean distance between each evaluation object and ideal value</w:t>
      </w:r>
    </w:p>
    <w:p>
      <w:pPr>
        <w:numPr>
          <w:ilvl w:val="0"/>
          <w:numId w:val="0"/>
        </w:numPr>
        <w:ind w:firstLine="400" w:firstLineChars="200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The distance between each evaluation object and the optimal and inferior solutions is calculated according to formulas (2) and (3).</w:t>
      </w:r>
    </w:p>
    <w:p>
      <w:pPr>
        <w:numPr>
          <w:ilvl w:val="0"/>
          <w:numId w:val="0"/>
        </w:numPr>
        <w:ind w:firstLine="1600" w:firstLineChars="800"/>
        <w:rPr>
          <w:rFonts w:hint="default" w:ascii="Times New Roman" w:hAnsi="Times New Roman" w:cs="Times New Roman"/>
          <w:color w:val="000000" w:themeColor="text1"/>
          <w:sz w:val="20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  <m:oMath>
        <m:sSubSup>
          <m:sSubSupPr>
            <m:ctrlPr>
              <w:rPr>
                <w:rFonts w:hint="default" w:ascii="Cambria Math" w:hAnsi="Cambria Math" w:cs="Times New Roman"/>
                <w:i/>
                <w:color w:val="000000" w:themeColor="text1"/>
                <w:sz w:val="20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0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i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0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+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0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/>
          <w:rPr>
            <w:rFonts w:hint="default" w:ascii="Cambria Math" w:hAnsi="Cambria Math" w:cs="Times New Roman"/>
            <w:color w:val="000000" w:themeColor="text1"/>
            <w:sz w:val="20"/>
            <w:szCs w:val="22"/>
            <w:lang w:val="en-US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hint="default" w:ascii="Cambria Math" w:hAnsi="Cambria Math" w:cs="Times New Roman"/>
                <w:i/>
                <w:color w:val="000000" w:themeColor="text1"/>
                <w:sz w:val="20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hint="default" w:ascii="Cambria Math" w:hAnsi="Cambria Math" w:cs="Times New Roman"/>
                <w:i/>
                <w:color w:val="000000" w:themeColor="text1"/>
                <w:sz w:val="20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nary>
              <m:naryPr>
                <m:chr m:val="∑"/>
                <m:limLoc m:val="undOvr"/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0"/>
                    <w:szCs w:val="22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aryPr>
              <m:sub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0"/>
                    <w:szCs w:val="22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m:t>j=1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0"/>
                    <w:szCs w:val="22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0"/>
                    <w:szCs w:val="22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m:t>m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0"/>
                    <w:szCs w:val="22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  <m:e>
                <m:sSup>
                  <m:sSupPr>
                    <m:ctrlPr>
                      <w:rPr>
                        <w:rFonts w:hint="default" w:ascii="Cambria Math" w:hAnsi="Cambria Math" w:cs="Times New Roman"/>
                        <w:i/>
                        <w:color w:val="000000" w:themeColor="text1"/>
                        <w:sz w:val="20"/>
                        <w:szCs w:val="22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hint="default" w:ascii="Cambria Math" w:hAnsi="Cambria Math" w:cs="Times New Roman"/>
                            <w:i/>
                            <w:color w:val="000000" w:themeColor="text1"/>
                            <w:sz w:val="20"/>
                            <w:szCs w:val="22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Sup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(a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color w:val="000000" w:themeColor="text1"/>
                            <w:sz w:val="20"/>
                            <w:szCs w:val="22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ij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color w:val="000000" w:themeColor="text1"/>
                            <w:sz w:val="20"/>
                            <w:szCs w:val="22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  <m:sup>
                        <m:r>
                          <m:rPr/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+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color w:val="000000" w:themeColor="text1"/>
                            <w:sz w:val="20"/>
                            <w:szCs w:val="22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p>
                    </m:sSubSup>
                    <m:r>
                      <m:rPr/>
                      <w:rPr>
                        <w:rFonts w:hint="default" w:ascii="Cambria Math" w:hAnsi="Cambria Math" w:cs="Times New Roman"/>
                        <w:color w:val="000000" w:themeColor="text1"/>
                        <w:sz w:val="20"/>
                        <w:szCs w:val="22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−</m:t>
                    </m:r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i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a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ij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/>
                      <w:rPr>
                        <w:rFonts w:hint="default" w:ascii="Cambria Math" w:hAnsi="Cambria Math" w:cs="Times New Roman"/>
                        <w:color w:val="000000" w:themeColor="text1"/>
                        <w:sz w:val="20"/>
                        <w:szCs w:val="22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)</m:t>
                    </m:r>
                    <m:ctrlPr>
                      <w:rPr>
                        <w:rFonts w:hint="default" w:ascii="Cambria Math" w:hAnsi="Cambria Math" w:cs="Times New Roman"/>
                        <w:i/>
                        <w:color w:val="000000" w:themeColor="text1"/>
                        <w:sz w:val="20"/>
                        <w:szCs w:val="22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color w:val="000000" w:themeColor="text1"/>
                        <w:sz w:val="20"/>
                        <w:szCs w:val="22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/>
                        <w:color w:val="000000" w:themeColor="text1"/>
                        <w:sz w:val="20"/>
                        <w:szCs w:val="22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0"/>
                    <w:szCs w:val="22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nary>
            <m:ctrlPr>
              <w:rPr>
                <w:rFonts w:hint="default" w:ascii="Cambria Math" w:hAnsi="Cambria Math" w:cs="Times New Roman"/>
                <w:i/>
                <w:color w:val="000000" w:themeColor="text1"/>
                <w:sz w:val="20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hint="default" w:ascii="Times New Roman" w:hAnsi="Times New Roman" w:cs="Times New Roman"/>
          <w:i w:val="0"/>
          <w:color w:val="000000" w:themeColor="text1"/>
          <w:sz w:val="20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default" w:ascii="Times New Roman" w:hAnsi="Times New Roman" w:cs="Times New Roman"/>
          <w:color w:val="000000" w:themeColor="text1"/>
          <w:sz w:val="20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(2)</w:t>
      </w:r>
    </w:p>
    <w:p>
      <w:pPr>
        <w:numPr>
          <w:ilvl w:val="0"/>
          <w:numId w:val="0"/>
        </w:numPr>
        <w:ind w:firstLine="2600" w:firstLineChars="1300"/>
        <w:rPr>
          <w:rFonts w:hint="default" w:ascii="Times New Roman" w:hAnsi="Times New Roman" w:cs="Times New Roman"/>
          <w:color w:val="000000" w:themeColor="text1"/>
          <w:sz w:val="20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m:oMath>
        <m:sSubSup>
          <m:sSubSupPr>
            <m:ctrlPr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i</m:t>
            </m:r>
            <m:ctrlPr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−</m:t>
            </m:r>
            <m:ctrlPr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0"/>
            <w:szCs w:val="22"/>
            <w:lang w:val="en-US" w:eastAsia="zh-CN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nary>
              <m:naryPr>
                <m:chr m:val="∑"/>
                <m:limLoc m:val="undOvr"/>
                <m:ctrlPr>
                  <w:rPr>
                    <w:rFonts w:hint="default" w:ascii="Cambria Math" w:hAnsi="Cambria Math" w:cs="Times New Roman"/>
                    <w:color w:val="000000" w:themeColor="text1"/>
                    <w:sz w:val="20"/>
                    <w:szCs w:val="22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aryPr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 w:themeColor="text1"/>
                    <w:sz w:val="20"/>
                    <w:szCs w:val="22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m:t>j=1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0"/>
                    <w:szCs w:val="22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 w:themeColor="text1"/>
                    <w:sz w:val="20"/>
                    <w:szCs w:val="22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m:t>m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0"/>
                    <w:szCs w:val="22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  <m:e>
                <m:sSup>
                  <m:sSupPr>
                    <m:ctrlPr>
                      <w:rPr>
                        <w:rFonts w:hint="default" w:ascii="Cambria Math" w:hAnsi="Cambria Math" w:cs="Times New Roman"/>
                        <w:color w:val="000000" w:themeColor="text1"/>
                        <w:sz w:val="20"/>
                        <w:szCs w:val="22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(a</m:t>
                        </m:r>
                        <m:ctrl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ij</m:t>
                        </m:r>
                        <m:ctrl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−</m:t>
                        </m:r>
                        <m:ctrl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p>
                    </m:sSub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000000" w:themeColor="text1"/>
                        <w:sz w:val="20"/>
                        <w:szCs w:val="22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−</m:t>
                    </m:r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a</m:t>
                        </m:r>
                        <m:ctrl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ij</m:t>
                        </m:r>
                        <m:ctrlPr>
                          <w:rPr>
                            <w:rFonts w:hint="default" w:ascii="Cambria Math" w:hAnsi="Cambria Math" w:cs="Times New Roman"/>
                            <w:color w:val="000000" w:themeColor="text1"/>
                            <w:sz w:val="20"/>
                            <w:szCs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000000" w:themeColor="text1"/>
                        <w:sz w:val="20"/>
                        <w:szCs w:val="22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)</m:t>
                    </m:r>
                    <m:ctrlPr>
                      <w:rPr>
                        <w:rFonts w:hint="default" w:ascii="Cambria Math" w:hAnsi="Cambria Math" w:cs="Times New Roman"/>
                        <w:color w:val="000000" w:themeColor="text1"/>
                        <w:sz w:val="20"/>
                        <w:szCs w:val="22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000000" w:themeColor="text1"/>
                        <w:sz w:val="20"/>
                        <w:szCs w:val="22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color w:val="000000" w:themeColor="text1"/>
                        <w:sz w:val="20"/>
                        <w:szCs w:val="22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color w:val="000000" w:themeColor="text1"/>
                    <w:sz w:val="20"/>
                    <w:szCs w:val="22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nary>
            <m:ctrlPr>
              <w:rPr>
                <w:rFonts w:hint="default" w:ascii="Cambria Math" w:hAnsi="Cambria Math" w:cs="Times New Roman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hint="default" w:ascii="Times New Roman" w:hAnsi="Times New Roman" w:cs="Times New Roman"/>
          <w:color w:val="000000" w:themeColor="text1"/>
          <w:sz w:val="20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(3)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(4) 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Calculation of the proximity between each evaluation object and the optimal scheme</w:t>
      </w:r>
    </w:p>
    <w:p>
      <w:pPr>
        <w:numPr>
          <w:ilvl w:val="0"/>
          <w:numId w:val="0"/>
        </w:numPr>
        <w:ind w:firstLine="400" w:firstLineChars="200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The relative proximity (</w:t>
      </w:r>
      <w:r>
        <w:rPr>
          <w:rFonts w:hint="default" w:ascii="Times New Roman" w:hAnsi="Times New Roman"/>
          <w:i/>
          <w:color w:val="000000" w:themeColor="text1"/>
          <w:sz w:val="20"/>
          <w14:textFill>
            <w14:solidFill>
              <w14:schemeClr w14:val="tx1"/>
            </w14:solidFill>
          </w14:textFill>
        </w:rPr>
        <w:t>Ci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) of each evaluation object to the optimal solution is calculated according to formula (4), where </w:t>
      </w:r>
      <w:r>
        <w:rPr>
          <w:rFonts w:hint="default" w:ascii="Times New Roman" w:hAnsi="Times New Roman"/>
          <w:i/>
          <w:color w:val="000000" w:themeColor="text1"/>
          <w:sz w:val="20"/>
          <w14:textFill>
            <w14:solidFill>
              <w14:schemeClr w14:val="tx1"/>
            </w14:solidFill>
          </w14:textFill>
        </w:rPr>
        <w:t>Ci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range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from 0 to 1.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(5) Ranking </w:t>
      </w:r>
    </w:p>
    <w:p>
      <w:pPr>
        <w:tabs>
          <w:tab w:val="left" w:pos="1275"/>
        </w:tabs>
        <w:spacing w:after="80" w:line="240" w:lineRule="exact"/>
        <w:ind w:firstLine="400" w:firstLineChars="200"/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The evaluation objects are ranked according to the </w:t>
      </w:r>
      <w:r>
        <w:rPr>
          <w:rFonts w:hint="default" w:ascii="Times New Roman" w:hAnsi="Times New Roman"/>
          <w:i/>
          <w:color w:val="000000" w:themeColor="text1"/>
          <w:sz w:val="20"/>
          <w14:textFill>
            <w14:solidFill>
              <w14:schemeClr w14:val="tx1"/>
            </w14:solidFill>
          </w14:textFill>
        </w:rPr>
        <w:t>Ci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value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75"/>
        </w:tabs>
        <w:spacing w:after="80" w:line="240" w:lineRule="exac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center"/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center"/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center"/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Table S1</w:t>
      </w: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Establishment and administ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ra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tion of adjuvant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-induced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arthritis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(AIA)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model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in mice.</w:t>
      </w:r>
    </w:p>
    <w:tbl>
      <w:tblPr>
        <w:tblStyle w:val="3"/>
        <w:tblW w:w="825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0"/>
        <w:gridCol w:w="1300"/>
        <w:gridCol w:w="1762"/>
        <w:gridCol w:w="213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Groups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Molding ( 8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 )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Administration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(10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g/d, 21d 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361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Control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0.1m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of 0.9% NaCl 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 mL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of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0.5% CMC-Na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Model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0.1m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FCA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mL of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0.5% CMC-Na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36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TGT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mg/kg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Taxilli Herba from two hosts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i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Morus alba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L.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High dose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0.3 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Middle dose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0.15 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Low dose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0.075g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i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Liquidambar formosana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Hanc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High dose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0.3 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Middle dose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0.15 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Low dose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0.075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</w:tbl>
    <w:p>
      <w:pPr>
        <w:jc w:val="center"/>
        <w:rPr>
          <w:rFonts w:hint="default" w:ascii="Times New Roman" w:hAnsi="Times New Roman"/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center"/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Results of precision, stability and repeatability.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61"/>
        <w:gridCol w:w="1100"/>
        <w:gridCol w:w="1298"/>
        <w:gridCol w:w="1315"/>
        <w:gridCol w:w="112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Order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the relative peak area,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RSD,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) (n = 6)</w:t>
            </w: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the relative t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RSD,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) (n = 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precision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stability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repeatability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precision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stability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repeatability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2.145 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2.716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1.853 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0.247 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0.191 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2.096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2.621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1.625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0.254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0.086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0.116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1.117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2.704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1.251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0.120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0.066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2.797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2.685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1.910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0.074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0.041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2.866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2.253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1.504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0.092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0.060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1.283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2.684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0.382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0.086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0.041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1.945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2.836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1.633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0.110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0.067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2.325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2.278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1.450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0.082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0.028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2.936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2.338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1.243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0.083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0.044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2.155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2.081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1.565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0.079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0.097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2.619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2.339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1.582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0.094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0.036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1.443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2.319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1.959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0.250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0.044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13(R)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0.000 </w:t>
            </w:r>
          </w:p>
        </w:tc>
      </w:tr>
    </w:tbl>
    <w:p>
      <w:pPr>
        <w:widowControl/>
        <w:textAlignment w:val="center"/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widowControl/>
        <w:textAlignment w:val="center"/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textAlignment w:val="center"/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21605" cy="2425065"/>
            <wp:effectExtent l="0" t="0" r="17145" b="1333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textAlignment w:val="center"/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74590" cy="2310130"/>
            <wp:effectExtent l="0" t="0" r="16510" b="13970"/>
            <wp:docPr id="1" name="图片 4" descr="桑树桑寄生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桑树桑寄生 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70780" cy="2308225"/>
            <wp:effectExtent l="0" t="0" r="1270" b="15875"/>
            <wp:docPr id="2" name="图片 5" descr="枫香树桑寄生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枫香树桑寄生 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textAlignment w:val="center"/>
        <w:rPr>
          <w:rFonts w:hint="default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center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Fig</w:t>
      </w:r>
      <w:r>
        <w:rPr>
          <w:rFonts w:hint="eastAsia" w:ascii="Times New Roman" w:hAnsi="Times New Roman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S1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HP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LC-Triple TOF-MS/MS base peak chromatograms of the reference mixtures (A) and TH samples from </w:t>
      </w:r>
      <w:r>
        <w:rPr>
          <w:rFonts w:hint="default" w:ascii="Times New Roman" w:hAnsi="Times New Roman"/>
          <w:i/>
          <w:color w:val="000000" w:themeColor="text1"/>
          <w:sz w:val="20"/>
          <w14:textFill>
            <w14:solidFill>
              <w14:schemeClr w14:val="tx1"/>
            </w14:solidFill>
          </w14:textFill>
        </w:rPr>
        <w:t>Morus alba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L.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(B) and </w:t>
      </w:r>
      <w:r>
        <w:rPr>
          <w:rFonts w:hint="default" w:ascii="Times New Roman" w:hAnsi="Times New Roman"/>
          <w:i/>
          <w:color w:val="000000" w:themeColor="text1"/>
          <w:sz w:val="20"/>
          <w14:textFill>
            <w14:solidFill>
              <w14:schemeClr w14:val="tx1"/>
            </w14:solidFill>
          </w14:textFill>
        </w:rPr>
        <w:t>Liquidambar formosana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Hance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(C) under negative ion mode.</w:t>
      </w:r>
    </w:p>
    <w:p>
      <w:pPr>
        <w:widowControl/>
        <w:textAlignment w:val="center"/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Table S3.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Relative peak area of each common peak from TH samples based on </w:t>
      </w:r>
      <w:r>
        <w:rPr>
          <w:rFonts w:hint="eastAsia" w:ascii="Times New Roman" w:hAnsi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HP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LC-Triple TOF-MS/MS under negative ion mode.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901"/>
        <w:gridCol w:w="978"/>
        <w:gridCol w:w="977"/>
        <w:gridCol w:w="1041"/>
        <w:gridCol w:w="978"/>
        <w:gridCol w:w="1130"/>
        <w:gridCol w:w="953"/>
        <w:gridCol w:w="977"/>
        <w:gridCol w:w="1004"/>
        <w:gridCol w:w="1003"/>
        <w:gridCol w:w="1067"/>
        <w:gridCol w:w="991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Peak No.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1" w:colLast="10"/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2094518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720627.8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663555.9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4255384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971600.4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6633560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2867836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818768.1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847237.1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2159350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17200370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681474.9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12243870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1899378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2429822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2132114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10117350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2599877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10308620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8876419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2712458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3032546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6106422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31779860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907244.6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17040780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1959573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2681799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1774940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10044840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5045195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12090960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6364482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3591641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3194177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7079829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23887280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912248.1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22919620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2133376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6537389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1752405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9196537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3387122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11247180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6160052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2745947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2261768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6354659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36829900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643297.6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20673770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2299886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1941083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1155550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7017253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1876086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8632031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5717375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1713077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2511697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2758804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30436320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1366208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14940530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2259192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2522125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1469268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7673209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2402120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9581961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6735268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2347151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2920572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5820566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11889980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1173450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17426510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3379928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1463656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1248601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7233255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2280227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9016212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6485242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1798484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2503680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4017264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15470050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932672.8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16009130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1812544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2453266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1951577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10344310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2527250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10981250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8535644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2522228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3070893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6281289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32582900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932783.1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16721570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1999259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2643620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1774409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9804626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4314996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12745380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6790351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3519209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3073304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8203136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36162780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665486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22053420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2084472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3457233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1813219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8969660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4376681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10868110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6260313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2782031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2463641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5531816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34547330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862120.5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20389800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2346019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730430.8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644222.1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6705304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3453864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8705739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3039331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2695672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2186922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3786884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17062650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3380994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15041630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2345611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765989.6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730279.6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6669780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3872848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8270305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2969375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2587151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2087832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4128708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31341090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3260505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18537570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2284198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768310.1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656571.1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7353701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3735457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8892831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3512623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2916197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2378888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4191983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20485020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3703785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14402210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2395051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816272.9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922740.1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6892480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3804786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8828300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3607406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2799883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2503188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4282389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9554538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3485653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14620410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2551873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844617.9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861852.8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6645699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4043451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9014006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3267618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2844410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1630585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4598153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29593780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3353095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19755230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1659161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577035.4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662719.1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5530046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3195811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6721299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2218227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1855399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1023911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1963859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17163830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2217819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9600822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2223383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747776.4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682501.9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6563175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3230887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8511918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3271741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2528613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2171015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3593230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31468430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2997567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13613670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1431134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330984.3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423804.2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1363947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3900986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1873901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5639956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1170529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1204987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2052448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19725430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2119537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10638490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1574509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414384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934797.3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3755493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1672181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6083582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1694028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1306093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928737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2393985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21485340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2242214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14778730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S20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1887396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698993.5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701452.7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6644685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3923022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7400926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2476482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2386326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1408282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2113440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21585880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2813377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10338780</w:t>
            </w:r>
          </w:p>
        </w:tc>
      </w:tr>
      <w:bookmarkEnd w:id="0"/>
    </w:tbl>
    <w:p>
      <w:pPr>
        <w:rPr>
          <w:rFonts w:hint="default" w:ascii="Times New Roman" w:hAnsi="Times New Roman"/>
          <w:color w:val="000000" w:themeColor="text1"/>
          <w:sz w:val="18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18"/>
          <w:vertAlign w:val="superscript"/>
          <w14:textFill>
            <w14:solidFill>
              <w14:schemeClr w14:val="tx1"/>
            </w14:solidFill>
          </w14:textFill>
        </w:rPr>
        <w:t xml:space="preserve">* </w:t>
      </w:r>
      <w:r>
        <w:rPr>
          <w:rFonts w:hint="default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No. </w:t>
      </w:r>
      <w: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>1–</w:t>
      </w:r>
      <w: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>S10</w:t>
      </w:r>
      <w:r>
        <w:rPr>
          <w:rFonts w:hint="default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TH samples from </w:t>
      </w:r>
      <w:r>
        <w:rPr>
          <w:rFonts w:hint="default" w:ascii="Times New Roman" w:hAnsi="Times New Roman"/>
          <w:i/>
          <w:color w:val="000000" w:themeColor="text1"/>
          <w:sz w:val="18"/>
          <w14:textFill>
            <w14:solidFill>
              <w14:schemeClr w14:val="tx1"/>
            </w14:solidFill>
          </w14:textFill>
        </w:rPr>
        <w:t>Morus alba</w:t>
      </w:r>
      <w:r>
        <w:rPr>
          <w:rFonts w:hint="default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, No. </w:t>
      </w:r>
      <w: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>S11</w:t>
      </w:r>
      <w:r>
        <w:rPr>
          <w:rFonts w:hint="default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>S20</w:t>
      </w:r>
      <w:r>
        <w:rPr>
          <w:rFonts w:hint="default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TH samples from </w:t>
      </w:r>
      <w:r>
        <w:rPr>
          <w:rFonts w:hint="eastAsia" w:ascii="Times New Roman" w:hAnsi="Times New Roman"/>
          <w:i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Liquidambar formosana </w:t>
      </w:r>
      <w: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>Hance.</w:t>
      </w:r>
    </w:p>
    <w:p>
      <w:pPr>
        <w:widowControl/>
        <w:jc w:val="left"/>
        <w:textAlignment w:val="center"/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center"/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center"/>
        <w:rPr>
          <w:rFonts w:hint="eastAsia" w:ascii="Times New Roman" w:hAnsi="Times New Roman"/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center"/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Table S4.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Similarity evaluation results of 20 batches of Taxilli Herba.</w:t>
      </w:r>
    </w:p>
    <w:tbl>
      <w:tblPr>
        <w:tblStyle w:val="3"/>
        <w:tblW w:w="0" w:type="auto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30"/>
        <w:gridCol w:w="630"/>
        <w:gridCol w:w="630"/>
        <w:gridCol w:w="630"/>
        <w:gridCol w:w="630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2"/>
        <w:gridCol w:w="632"/>
        <w:gridCol w:w="632"/>
        <w:gridCol w:w="632"/>
        <w:gridCol w:w="632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Samples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S2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S3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S4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S5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S6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S7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S8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S9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S10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S11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S12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S13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S15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S16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S17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S18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S19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S20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0.968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0.903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0.974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0.980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0.922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0.858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0.971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0.978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0.977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0.756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0.940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0.779 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0.820 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0.932 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0.867 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0.885 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0.901 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0.916 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0.861 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0.968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0.992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0.745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0.814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0.875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0.728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0.744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0.786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0.784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0.775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0.839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0.991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0.739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0.771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0.811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0.897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0.831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0.732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0.767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0.818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0.927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0.897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0.875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0.828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0.710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0.752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0.867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0.826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0.839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0.831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0.828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0.674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0.689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0.729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0.721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0.730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0.752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0.716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0.992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0.737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0.771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0.808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0.916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0.856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0.879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0.755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0.783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0.816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0.991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0.744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0.772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0.812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0.886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0.896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0.756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0.745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0.739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0.732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0.710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0.737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0.755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0.744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0.760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0.848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0.817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0.807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0.806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0.834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0.882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0.994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0.956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0.779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0.728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0.771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0.767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0.674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0.771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0.783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0.772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0.760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0.834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0.811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0.836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0.838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0.829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0.898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0.820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0.744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0.752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0.689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0.879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0.884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0.994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0.836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0.880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0.786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0.729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0.993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0.784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0.721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0.892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0.953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0.987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0.730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0.879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0.838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0.935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0.953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0.953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0.814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0.826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0.752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0.807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0.956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0.829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0.879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0.935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0.953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0.884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0.775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0.792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0.716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0.859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0.861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0.806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0.898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0.884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0.993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0.987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0.909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SR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0.972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0.973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0.917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0.970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0.970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0.922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0.865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0.970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0.976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0.972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0.843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0.972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0.863 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0.889 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0.966 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0.935 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0.948 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0.947 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0.946 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0.931 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1.000 </w:t>
            </w:r>
          </w:p>
        </w:tc>
      </w:tr>
    </w:tbl>
    <w:p>
      <w:pPr>
        <w:widowControl/>
        <w:jc w:val="left"/>
        <w:textAlignment w:val="center"/>
        <w:rPr>
          <w:rFonts w:hint="default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adjustRightInd w:val="0"/>
        <w:snapToGrid w:val="0"/>
        <w:jc w:val="left"/>
        <w:textAlignment w:val="center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jc w:val="left"/>
        <w:textAlignment w:val="center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Effect of TH on body weight of A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A model mice (mean ± SD, n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= 10).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97"/>
        <w:gridCol w:w="1397"/>
        <w:gridCol w:w="1397"/>
        <w:gridCol w:w="1397"/>
        <w:gridCol w:w="139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Groups</w:t>
            </w:r>
          </w:p>
        </w:tc>
        <w:tc>
          <w:tcPr>
            <w:tcW w:w="69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Body weight (g)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0d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8d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15d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22d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29d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Control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20.07±1.74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9±2.69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27.85±2.53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.67±2.86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33.86±2.38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Model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20.81±1.23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.69±1.69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.69±1.42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.63±1.59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##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.41±1.71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##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TG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20.87±1.48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.35±1.92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.40±1.63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30.32±1.77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35.19±2.16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20.05±1.92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.41±1.24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.17±1.90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30.42±1.92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34.40±2.16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SMD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20.19±0.72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.89±1.30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.12±2.14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31.58±3.02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.87±2.44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20.81±2.09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.12±2.65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.72±2.66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.39±3.15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31.15±4.21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FHD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20.65±1.72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.19±3.15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.40±2.95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.26±2.11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34.25±2.71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20.24±2.80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.05±3.38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.74±4.12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30.04±4.88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33.86±3.17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FLD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20.99±1.55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.56±1.75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.41±1.78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.79±1.78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31.49±1.53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</w:tbl>
    <w:p>
      <w:pPr>
        <w:widowControl/>
        <w:adjustRightInd w:val="0"/>
        <w:snapToGrid w:val="0"/>
        <w:jc w:val="left"/>
        <w:textAlignment w:val="center"/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18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#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compared with model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0.05) 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##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compared with control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0.01) ; *compared with model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0.05) ; ** compared with model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0.01).</w:t>
      </w:r>
    </w:p>
    <w:p>
      <w:pPr>
        <w:widowControl/>
        <w:adjustRightInd w:val="0"/>
        <w:snapToGrid w:val="0"/>
        <w:jc w:val="left"/>
        <w:textAlignment w:val="center"/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jc w:val="left"/>
        <w:textAlignment w:val="center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Effect of TH on swelling degree of A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A model mice (mean ± SD, n = 10).</w:t>
      </w:r>
    </w:p>
    <w:tbl>
      <w:tblPr>
        <w:tblStyle w:val="3"/>
        <w:tblW w:w="8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98"/>
        <w:gridCol w:w="1398"/>
        <w:gridCol w:w="1398"/>
        <w:gridCol w:w="1398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Groups</w:t>
            </w:r>
          </w:p>
        </w:tc>
        <w:tc>
          <w:tcPr>
            <w:tcW w:w="69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Ankle diameter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(mm)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3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0d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8d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15d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22d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Control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3.39±0.17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3.14±0.08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3.03±0.07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2.77±0.13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2.76±0.14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Model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3.34±0.09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5.07±0.11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5.20±0.07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4.91±0.10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4.88±0.24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TGT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3.31±0.09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5.28±0.19*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4.95±0.08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4.66±0.10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4.43±0.19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3.40±0.20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5.51±0.15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4.95±0.40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4.58±0.28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4.39±0.32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3.46±0.14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5.54±0.16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4.99±0.28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4.71±0.26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4.55±0.22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3.39±0.08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5.60±0.26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5.25±0.35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4.92±0.26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4.85±0.20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3.41±0.20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5.80±0.17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4.93±0.37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4.57±0.44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4.48±0.50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3.39±0.19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5.45±0.20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5.12±0.21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4.72±0.35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4.62±0.23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3.42±0.17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5.52±0.41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5.24±0.35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5.13±0.31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4.94±0.30</w:t>
            </w:r>
          </w:p>
        </w:tc>
      </w:tr>
    </w:tbl>
    <w:p>
      <w:pPr>
        <w:widowControl/>
        <w:adjustRightInd w:val="0"/>
        <w:snapToGrid w:val="0"/>
        <w:jc w:val="left"/>
        <w:textAlignment w:val="center"/>
        <w:rPr>
          <w:rFonts w:hint="eastAsia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18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#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compared with model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0.05) 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##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compared with control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0.01) ; *compared with model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0.05) ; ** compared with model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0.01).</w:t>
      </w:r>
      <w:r>
        <w:rPr>
          <w:rFonts w:hint="eastAsia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ind w:left="803" w:hanging="803" w:hangingChars="400"/>
        <w:jc w:val="left"/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Effect of TH on 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level of serum 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IL-10</w:t>
      </w:r>
      <w:r>
        <w:rPr>
          <w:rFonts w:hint="eastAsia" w:ascii="Times New Roman" w:hAnsi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TNF-ɑ</w:t>
      </w:r>
      <w:r>
        <w:rPr>
          <w:rFonts w:hint="eastAsia" w:ascii="Times New Roman" w:hAnsi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IL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-1β</w:t>
      </w:r>
      <w:r>
        <w:rPr>
          <w:rFonts w:hint="eastAsia" w:ascii="Times New Roman" w:hAnsi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nd IL-6 and immune organ indexes of AIA model 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mice (mean ± SD, n = 10)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.</w:t>
      </w:r>
    </w:p>
    <w:tbl>
      <w:tblPr>
        <w:tblStyle w:val="3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50"/>
        <w:gridCol w:w="1467"/>
        <w:gridCol w:w="1350"/>
        <w:gridCol w:w="1318"/>
        <w:gridCol w:w="1339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Groups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IL-10 (pg/mL)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TNF-ɑ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(pg/mL)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IL-1β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(pg/mL)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IL-6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(pg/mL)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Thymus index (mg/g)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Spleen index (mg/g)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Control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106.76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10.63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132.71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±8.99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15.23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2.80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7.45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3.06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0.01 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3.10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Model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42.28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1.84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177.24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±5.33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42.18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4.87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29.15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0.95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1.48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4.27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TG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85.03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3.64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131.76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±9.21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28.13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3.47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12.75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1.24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1.07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2.93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92.45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6.01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132.83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±7.78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22.01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1.03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10.31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3.10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1.11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3.27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67.28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5.86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151.05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±0.98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31.55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0.99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20.68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1.75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3.66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57.88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164.38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±2.79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37.30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0.77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28.34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1.35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1.54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0.01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4.22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83.31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4.80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138.07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±6.18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25.29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1.69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12.63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0.36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1.13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3.44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64.52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158.55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±7.90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33.05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3.92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27.02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0.64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1.45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4.23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51.33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3.49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166.76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±6.26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36.44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2.61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30.43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1.48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0.02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4.41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</w:tbl>
    <w:p>
      <w:pPr>
        <w:widowControl/>
        <w:adjustRightInd w:val="0"/>
        <w:snapToGrid w:val="0"/>
        <w:jc w:val="left"/>
        <w:textAlignment w:val="center"/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18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#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compared with model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0.05) 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##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compared with control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0.01) ; *compared with model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0.05) ; ** compared with model group (</w:t>
      </w:r>
      <w:r>
        <w:rPr>
          <w:rFonts w:hint="default" w:ascii="Times New Roman" w:hAnsi="Times New Roman" w:cs="Times New Roman"/>
          <w:i/>
          <w:i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default" w:ascii="Times New Roman" w:hAnsi="Times New Roman" w:eastAsia="黑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0.01).</w:t>
      </w:r>
    </w:p>
    <w:p>
      <w:pPr>
        <w:widowControl/>
        <w:adjustRightInd w:val="0"/>
        <w:snapToGrid w:val="0"/>
        <w:jc w:val="left"/>
        <w:textAlignment w:val="center"/>
        <w:rPr>
          <w:rFonts w:hint="eastAsia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p>
      <w:pPr>
        <w:ind w:hanging="803" w:hangingChars="400"/>
        <w:jc w:val="left"/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Table S8.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Regression equati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ons of IL-10</w:t>
      </w:r>
      <w:r>
        <w:rPr>
          <w:rFonts w:hint="eastAsia" w:ascii="Times New Roman" w:hAnsi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NF-ɑ</w:t>
      </w:r>
      <w:r>
        <w:rPr>
          <w:rFonts w:hint="eastAsia" w:ascii="Times New Roman" w:hAnsi="Times New Roman" w:cs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IL-1β</w:t>
      </w:r>
      <w:r>
        <w:rPr>
          <w:rFonts w:hint="eastAsia" w:ascii="Times New Roman" w:hAnsi="Times New Roman" w:cs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and IL-6.</w:t>
      </w:r>
    </w:p>
    <w:tbl>
      <w:tblPr>
        <w:tblStyle w:val="3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321"/>
        <w:gridCol w:w="138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Names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Regression Equation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Liner Range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pg/mL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IL-10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sym w:font="Symbol" w:char="003D"/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0.0029X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0.1774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0.9989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12.5 </w:t>
            </w:r>
            <w:r>
              <w:rPr>
                <w:rFonts w:hint="default" w:ascii="Times New Roman" w:hAnsi="Times New Roman" w:eastAsia="Palatino Linotype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TNF-ɑ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0.0021X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0.0683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0.9903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IL-1β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0.00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87X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0.153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0.9916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3.75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IL-6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0.014X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0.0437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0.9917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3.75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120</w:t>
            </w:r>
          </w:p>
        </w:tc>
      </w:tr>
    </w:tbl>
    <w:p>
      <w:pPr>
        <w:ind w:hanging="840" w:hangingChars="400"/>
        <w:jc w:val="lef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ind w:hanging="840" w:hangingChars="400"/>
        <w:jc w:val="left"/>
        <w:rPr>
          <w:rFonts w:hint="eastAsia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ind w:hanging="803" w:hangingChars="400"/>
        <w:jc w:val="left"/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Table S9.</w:t>
      </w:r>
      <w:r>
        <w:rPr>
          <w:rFonts w:hint="eastAsia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Regression equations, LOD</w:t>
      </w:r>
      <w:r>
        <w:rPr>
          <w:rFonts w:hint="eastAsia" w:ascii="Times New Roman" w:hAnsi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and LOQ of 5 constituents.</w:t>
      </w:r>
    </w:p>
    <w:tbl>
      <w:tblPr>
        <w:tblStyle w:val="3"/>
        <w:tblW w:w="82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75"/>
        <w:gridCol w:w="1822"/>
        <w:gridCol w:w="814"/>
        <w:gridCol w:w="1704"/>
        <w:gridCol w:w="1135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Analytes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Calibration curves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Linear range (ng/mL)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LOD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(ng/mL)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LOQ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(ng/mL)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3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Isosakuranetin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Y = 7540X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11 800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0.999 4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3.08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789.1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(+)-catechin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Y = 968X +12 800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0.999 3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189.45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40.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135.32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Hyperoside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Y = 2350X + 54 100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0.999 1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4.82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1.2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Isoquercitrin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Y = 867X + 461 000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0.999 1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24.4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075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5.01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16.70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Quercitrin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Y = 3980X + 608 000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0.999 7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17.76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2.26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7.5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ind w:hanging="840" w:hangingChars="400"/>
        <w:jc w:val="lef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ind w:hanging="803" w:hangingChars="400"/>
        <w:jc w:val="left"/>
        <w:rPr>
          <w:rFonts w:hint="eastAsia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Table S10.</w:t>
      </w:r>
      <w:r>
        <w:rPr>
          <w:rFonts w:hint="eastAsia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Precision, repeatability, stability</w:t>
      </w:r>
      <w:r>
        <w:rPr>
          <w:rFonts w:hint="eastAsia" w:ascii="Times New Roman" w:hAnsi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and recovery of 5 constituents.</w:t>
      </w:r>
    </w:p>
    <w:tbl>
      <w:tblPr>
        <w:tblStyle w:val="3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86"/>
        <w:gridCol w:w="1125"/>
        <w:gridCol w:w="1093"/>
        <w:gridCol w:w="1189"/>
        <w:gridCol w:w="964"/>
        <w:gridCol w:w="740"/>
        <w:gridCol w:w="62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left"/>
              <w:rPr>
                <w:rFonts w:hint="default" w:ascii="Times New Roman" w:hAns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Analytes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Precision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(RSD, %, n = 6)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Repeatability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(RSD, %)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Stability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(RSD, %) 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Recovery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(%, n = 3)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Matrix 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Effect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Intra-Day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(n = 6)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Inter-Day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(n = 9)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(n = 6)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(n = 6)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Mean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RSD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Isosakuranetin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1.12  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3.52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3.65 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4.58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98.03 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2.78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(+)-catechin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1.63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2.93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3.29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100.5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1.63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Hyperoside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1.27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1.67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1.65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99.25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Isoquercitrin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1.39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1.33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2.41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100.86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1.42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0.97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Quercitrin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1.80 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1.77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2.94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1.43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99.97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2.18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0.95</w:t>
            </w:r>
          </w:p>
        </w:tc>
      </w:tr>
    </w:tbl>
    <w:p>
      <w:pPr>
        <w:jc w:val="left"/>
        <w:rPr>
          <w:rFonts w:hint="default" w:ascii="Times New Roman" w:hAns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0"/>
        </w:tabs>
        <w:rPr>
          <w:rFonts w:hint="default" w:ascii="Times New Roman" w:hAnsi="Times New Roman" w:eastAsia="宋体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Table S11</w:t>
      </w:r>
      <w:r>
        <w:rPr>
          <w:rFonts w:hint="default" w:ascii="Times New Roman" w:hAnsi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Content of 5 </w:t>
      </w:r>
      <w:r>
        <w:rPr>
          <w:rFonts w:hint="eastAsia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constituent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s in samples.</w:t>
      </w:r>
      <w:r>
        <w:rPr>
          <w:rFonts w:hint="eastAsia" w:ascii="Times New Roman" w:hAnsi="Times New Roman"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>(μg/g, mean ± SD, n = 3)</w:t>
      </w:r>
    </w:p>
    <w:tbl>
      <w:tblPr>
        <w:tblStyle w:val="3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2841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7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480" w:lineRule="auto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Analytes</w:t>
            </w:r>
          </w:p>
        </w:tc>
        <w:tc>
          <w:tcPr>
            <w:tcW w:w="5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S1</w:t>
            </w:r>
            <w:r>
              <w:rPr>
                <w:rFonts w:hint="default" w:ascii="Times New Roman" w:hAnsi="Times New Roman" w:eastAsia="Palatino Linotype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−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S11</w:t>
            </w:r>
            <w:r>
              <w:rPr>
                <w:rFonts w:hint="default" w:ascii="Times New Roman" w:hAnsi="Times New Roman" w:eastAsia="Palatino Linotype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−</w:t>
            </w: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Isosakuranetin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0.81 ± 0.16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0.56 ± 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(+)-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atechin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7069.51 ±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25.30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4491.12 ±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Isoquercitrin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3492.41 ±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16.52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3227.27 ±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Hyperoside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1557.08 ±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10.11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1071.83 ±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>Quercitrin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5670.83 ±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3360.38 ±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12.67</w:t>
            </w:r>
          </w:p>
        </w:tc>
      </w:tr>
    </w:tbl>
    <w:p>
      <w:pPr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87543"/>
    <w:multiLevelType w:val="multilevel"/>
    <w:tmpl w:val="08387543"/>
    <w:lvl w:ilvl="0" w:tentative="0">
      <w:start w:val="1"/>
      <w:numFmt w:val="decimal"/>
      <w:suff w:val="space"/>
      <w:lvlText w:val="(%1)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1">
    <w:nsid w:val="631123D3"/>
    <w:multiLevelType w:val="singleLevel"/>
    <w:tmpl w:val="631123D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855E551"/>
    <w:multiLevelType w:val="multilevel"/>
    <w:tmpl w:val="7855E551"/>
    <w:lvl w:ilvl="0" w:tentative="0">
      <w:start w:val="3"/>
      <w:numFmt w:val="decimal"/>
      <w:suff w:val="space"/>
      <w:lvlText w:val="(%1)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561E"/>
    <w:rsid w:val="009A0D4B"/>
    <w:rsid w:val="00DC7C1D"/>
    <w:rsid w:val="02C1356F"/>
    <w:rsid w:val="036730A8"/>
    <w:rsid w:val="08126878"/>
    <w:rsid w:val="0AEB0DA5"/>
    <w:rsid w:val="0BE37AEB"/>
    <w:rsid w:val="0BF06B4F"/>
    <w:rsid w:val="0DA20DE1"/>
    <w:rsid w:val="10ED1305"/>
    <w:rsid w:val="16B732A5"/>
    <w:rsid w:val="189574CF"/>
    <w:rsid w:val="19CC78EF"/>
    <w:rsid w:val="19D728B5"/>
    <w:rsid w:val="19E043ED"/>
    <w:rsid w:val="19EE03A4"/>
    <w:rsid w:val="1A8B0292"/>
    <w:rsid w:val="2485631A"/>
    <w:rsid w:val="252C4420"/>
    <w:rsid w:val="2572277A"/>
    <w:rsid w:val="258D68E2"/>
    <w:rsid w:val="27DE34D8"/>
    <w:rsid w:val="29820015"/>
    <w:rsid w:val="29FA5AF2"/>
    <w:rsid w:val="2B096E69"/>
    <w:rsid w:val="2B563FA5"/>
    <w:rsid w:val="2DDD275B"/>
    <w:rsid w:val="2ED62DF9"/>
    <w:rsid w:val="31861AF9"/>
    <w:rsid w:val="31DB5B5C"/>
    <w:rsid w:val="327F24B7"/>
    <w:rsid w:val="339733AC"/>
    <w:rsid w:val="34A83397"/>
    <w:rsid w:val="34A86C01"/>
    <w:rsid w:val="35C6441D"/>
    <w:rsid w:val="360D2669"/>
    <w:rsid w:val="368101F6"/>
    <w:rsid w:val="378B3F90"/>
    <w:rsid w:val="381B6272"/>
    <w:rsid w:val="38B31B16"/>
    <w:rsid w:val="399F6380"/>
    <w:rsid w:val="3A4F49E1"/>
    <w:rsid w:val="3B0D21A6"/>
    <w:rsid w:val="3BA75C7D"/>
    <w:rsid w:val="3EC6286A"/>
    <w:rsid w:val="3FF73B50"/>
    <w:rsid w:val="4099578D"/>
    <w:rsid w:val="42FE0A52"/>
    <w:rsid w:val="46B95E87"/>
    <w:rsid w:val="46EB449C"/>
    <w:rsid w:val="4AFB5186"/>
    <w:rsid w:val="4CD01844"/>
    <w:rsid w:val="4CE1117D"/>
    <w:rsid w:val="4E434887"/>
    <w:rsid w:val="4E456091"/>
    <w:rsid w:val="515F33A9"/>
    <w:rsid w:val="52C95E92"/>
    <w:rsid w:val="52E71802"/>
    <w:rsid w:val="57E722A5"/>
    <w:rsid w:val="5A707297"/>
    <w:rsid w:val="5A8A6B27"/>
    <w:rsid w:val="5B1B621A"/>
    <w:rsid w:val="5D1E6707"/>
    <w:rsid w:val="5D727F9D"/>
    <w:rsid w:val="5DB120F2"/>
    <w:rsid w:val="5DCB4B4A"/>
    <w:rsid w:val="60393C37"/>
    <w:rsid w:val="605B3EA0"/>
    <w:rsid w:val="608508AD"/>
    <w:rsid w:val="61EB2991"/>
    <w:rsid w:val="63491067"/>
    <w:rsid w:val="65907E19"/>
    <w:rsid w:val="67B11C8C"/>
    <w:rsid w:val="67BA5260"/>
    <w:rsid w:val="6AD95A7D"/>
    <w:rsid w:val="6AE66570"/>
    <w:rsid w:val="6B5C2937"/>
    <w:rsid w:val="6D3072D6"/>
    <w:rsid w:val="6DC26133"/>
    <w:rsid w:val="710144B4"/>
    <w:rsid w:val="728D7CFD"/>
    <w:rsid w:val="73F676A0"/>
    <w:rsid w:val="746B44C6"/>
    <w:rsid w:val="760A2E8E"/>
    <w:rsid w:val="76361AB7"/>
    <w:rsid w:val="76737317"/>
    <w:rsid w:val="76DB007A"/>
    <w:rsid w:val="770B4D24"/>
    <w:rsid w:val="77313088"/>
    <w:rsid w:val="78450BF6"/>
    <w:rsid w:val="7BDA3403"/>
    <w:rsid w:val="7C595D10"/>
    <w:rsid w:val="7D4C765E"/>
    <w:rsid w:val="7E9A30DE"/>
    <w:rsid w:val="7F3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2425</Words>
  <Characters>11122</Characters>
  <Lines>0</Lines>
  <Paragraphs>0</Paragraphs>
  <TotalTime>10</TotalTime>
  <ScaleCrop>false</ScaleCrop>
  <LinksUpToDate>false</LinksUpToDate>
  <CharactersWithSpaces>12894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2022-01-14T03:01:00Z</dcterms:created>
  <dc:creator>袁嘉欢</dc:creator>
  <cp:lastModifiedBy>Jiahuan Yuan </cp:lastModifiedBy>
  <dcterms:modified xsi:type="dcterms:W3CDTF">2022-04-16T02:39:28Z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EC643AFD00BA4D2F85BEF53F7AB9BEBB</vt:lpwstr>
  </property>
</Properties>
</file>