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after="0" w:line="360" w:lineRule="auto"/>
        <w:jc w:val="center"/>
        <w:rPr>
          <w:rFonts w:ascii="Times New Roman" w:hAnsi="Times New Roman" w:cs="Times New Roman"/>
          <w:b w:val="0"/>
          <w:bCs/>
          <w:sz w:val="28"/>
          <w:szCs w:val="28"/>
          <w:lang w:eastAsia="zh-CN"/>
        </w:rPr>
      </w:pPr>
      <w:r>
        <w:rPr>
          <w:rStyle w:val="11"/>
          <w:rFonts w:hint="eastAsia" w:ascii="Times New Roman" w:hAnsi="Times New Roman" w:cs="Times New Roman"/>
          <w:b w:val="0"/>
          <w:bCs/>
          <w:sz w:val="28"/>
          <w:szCs w:val="28"/>
          <w:lang w:eastAsia="zh-CN"/>
        </w:rPr>
        <w:t>S</w:t>
      </w:r>
      <w:r>
        <w:rPr>
          <w:rStyle w:val="11"/>
          <w:rFonts w:ascii="Times New Roman" w:hAnsi="Times New Roman" w:cs="Times New Roman"/>
          <w:b w:val="0"/>
          <w:bCs/>
          <w:sz w:val="28"/>
          <w:szCs w:val="28"/>
          <w:lang w:eastAsia="zh-CN"/>
        </w:rPr>
        <w:t>upporting information</w:t>
      </w:r>
    </w:p>
    <w:p>
      <w:pPr>
        <w:pStyle w:val="10"/>
        <w:spacing w:after="0" w:line="360" w:lineRule="auto"/>
        <w:jc w:val="both"/>
        <w:rPr>
          <w:rStyle w:val="11"/>
          <w:rFonts w:ascii="Times New Roman" w:hAnsi="Times New Roman" w:cs="Times New Roman"/>
          <w:b/>
          <w:color w:val="000000" w:themeColor="text1"/>
          <w:sz w:val="21"/>
          <w:szCs w:val="21"/>
          <w:lang w:val="en-US" w:eastAsia="zh-CN"/>
          <w14:textFill>
            <w14:solidFill>
              <w14:schemeClr w14:val="tx1"/>
            </w14:solidFill>
          </w14:textFill>
        </w:rPr>
      </w:pPr>
      <w:bookmarkStart w:id="0" w:name="_Hlk92698334"/>
      <w:r>
        <w:rPr>
          <w:rStyle w:val="11"/>
          <w:rFonts w:ascii="Times New Roman" w:hAnsi="Times New Roman" w:cs="Times New Roman"/>
          <w:b/>
          <w:sz w:val="21"/>
          <w:szCs w:val="21"/>
          <w:lang w:eastAsia="zh-CN"/>
        </w:rPr>
        <w:t xml:space="preserve">Preparation of </w:t>
      </w:r>
      <w:r>
        <w:rPr>
          <w:rStyle w:val="11"/>
          <w:rFonts w:ascii="Times New Roman" w:hAnsi="Times New Roman" w:cs="Times New Roman"/>
          <w:b/>
          <w:i/>
          <w:iCs/>
          <w:sz w:val="21"/>
          <w:szCs w:val="21"/>
        </w:rPr>
        <w:t>Quercus mongolica</w:t>
      </w:r>
      <w:r>
        <w:rPr>
          <w:rStyle w:val="11"/>
          <w:rFonts w:ascii="Times New Roman" w:hAnsi="Times New Roman" w:cs="Times New Roman"/>
          <w:b/>
          <w:iCs/>
          <w:sz w:val="21"/>
          <w:szCs w:val="21"/>
        </w:rPr>
        <w:t xml:space="preserve"> lea</w:t>
      </w:r>
      <w:r>
        <w:rPr>
          <w:rStyle w:val="11"/>
          <w:rFonts w:ascii="Times New Roman" w:hAnsi="Times New Roman" w:cs="Times New Roman"/>
          <w:b/>
          <w:iCs/>
          <w:sz w:val="21"/>
          <w:szCs w:val="21"/>
          <w:lang w:val="en-US" w:eastAsia="zh-CN"/>
        </w:rPr>
        <w:t>f</w:t>
      </w:r>
      <w:r>
        <w:rPr>
          <w:rStyle w:val="11"/>
          <w:rFonts w:ascii="Times New Roman" w:hAnsi="Times New Roman" w:cs="Times New Roman"/>
          <w:b/>
          <w:sz w:val="21"/>
          <w:szCs w:val="21"/>
          <w:lang w:eastAsia="zh-CN"/>
        </w:rPr>
        <w:t xml:space="preserve">-derived porous carbon </w:t>
      </w:r>
      <w:r>
        <w:rPr>
          <w:rStyle w:val="11"/>
          <w:rFonts w:ascii="Times New Roman" w:hAnsi="Times New Roman" w:cs="Times New Roman"/>
          <w:b/>
          <w:color w:val="000000" w:themeColor="text1"/>
          <w:sz w:val="21"/>
          <w:szCs w:val="21"/>
          <w:lang w:eastAsia="zh-CN"/>
          <w14:textFill>
            <w14:solidFill>
              <w14:schemeClr w14:val="tx1"/>
            </w14:solidFill>
          </w14:textFill>
        </w:rPr>
        <w:t>with</w:t>
      </w:r>
      <w:r>
        <w:rPr>
          <w:rStyle w:val="11"/>
          <w:rFonts w:hint="eastAsia" w:ascii="Times New Roman" w:hAnsi="Times New Roman" w:cs="Times New Roman"/>
          <w:b/>
          <w:color w:val="000000" w:themeColor="text1"/>
          <w:sz w:val="21"/>
          <w:szCs w:val="21"/>
          <w:lang w:val="en-US" w:eastAsia="zh-CN"/>
          <w14:textFill>
            <w14:solidFill>
              <w14:schemeClr w14:val="tx1"/>
            </w14:solidFill>
          </w14:textFill>
        </w:rPr>
        <w:t xml:space="preserve"> a</w:t>
      </w:r>
      <w:r>
        <w:rPr>
          <w:rStyle w:val="11"/>
          <w:rFonts w:ascii="Times New Roman" w:hAnsi="Times New Roman" w:cs="Times New Roman"/>
          <w:b/>
          <w:color w:val="000000" w:themeColor="text1"/>
          <w:sz w:val="21"/>
          <w:szCs w:val="21"/>
          <w:lang w:eastAsia="zh-CN"/>
          <w14:textFill>
            <w14:solidFill>
              <w14:schemeClr w14:val="tx1"/>
            </w14:solidFill>
          </w14:textFill>
        </w:rPr>
        <w:t xml:space="preserve"> large specific surface area for highly effective removal of dye and antibiotic</w:t>
      </w:r>
      <w:r>
        <w:rPr>
          <w:rStyle w:val="11"/>
          <w:rFonts w:ascii="Times New Roman" w:hAnsi="Times New Roman" w:cs="Times New Roman"/>
          <w:b/>
          <w:color w:val="000000" w:themeColor="text1"/>
          <w:sz w:val="21"/>
          <w:szCs w:val="21"/>
          <w:lang w:val="en-US" w:eastAsia="zh-CN"/>
          <w14:textFill>
            <w14:solidFill>
              <w14:schemeClr w14:val="tx1"/>
            </w14:solidFill>
          </w14:textFill>
        </w:rPr>
        <w:t xml:space="preserve"> from water</w:t>
      </w:r>
    </w:p>
    <w:p>
      <w:pPr>
        <w:pStyle w:val="10"/>
        <w:spacing w:after="0" w:line="360" w:lineRule="auto"/>
        <w:jc w:val="both"/>
        <w:rPr>
          <w:rFonts w:ascii="Times New Roman" w:hAnsi="Times New Roman" w:cs="Times New Roman"/>
          <w:b w:val="0"/>
          <w:bCs/>
          <w:color w:val="000000" w:themeColor="text1"/>
          <w:sz w:val="21"/>
          <w:szCs w:val="21"/>
          <w:lang w:eastAsia="zh-CN"/>
          <w14:textFill>
            <w14:solidFill>
              <w14:schemeClr w14:val="tx1"/>
            </w14:solidFill>
          </w14:textFill>
        </w:rPr>
      </w:pPr>
      <w:bookmarkStart w:id="1" w:name="OLE_LINK51"/>
      <w:r>
        <w:rPr>
          <w:rStyle w:val="11"/>
          <w:rFonts w:ascii="Times New Roman" w:hAnsi="Times New Roman" w:cs="Times New Roman"/>
          <w:b w:val="0"/>
          <w:bCs/>
          <w:color w:val="000000" w:themeColor="text1"/>
          <w:sz w:val="21"/>
          <w:szCs w:val="21"/>
          <w:lang w:val="en-US" w:eastAsia="zh-CN"/>
          <w14:textFill>
            <w14:solidFill>
              <w14:schemeClr w14:val="tx1"/>
            </w14:solidFill>
          </w14:textFill>
        </w:rPr>
        <w:t>Qinghua Zhou</w:t>
      </w:r>
      <w:r>
        <w:rPr>
          <w:rStyle w:val="11"/>
          <w:rFonts w:ascii="Times New Roman" w:hAnsi="Times New Roman" w:cs="Times New Roman"/>
          <w:b w:val="0"/>
          <w:bCs/>
          <w:color w:val="000000" w:themeColor="text1"/>
          <w:sz w:val="21"/>
          <w:szCs w:val="21"/>
          <w:vertAlign w:val="superscript"/>
          <w:lang w:eastAsia="zh-CN"/>
          <w14:textFill>
            <w14:solidFill>
              <w14:schemeClr w14:val="tx1"/>
            </w14:solidFill>
          </w14:textFill>
        </w:rPr>
        <w:t>a,</w:t>
      </w:r>
      <w:r>
        <w:rPr>
          <w:rStyle w:val="11"/>
          <w:rFonts w:hint="eastAsia" w:ascii="Times New Roman" w:hAnsi="Times New Roman" w:cs="Times New Roman"/>
          <w:b w:val="0"/>
          <w:bCs/>
          <w:color w:val="000000" w:themeColor="text1"/>
          <w:sz w:val="21"/>
          <w:szCs w:val="21"/>
          <w:vertAlign w:val="superscript"/>
          <w:lang w:val="en-US" w:eastAsia="zh-CN"/>
          <w14:textFill>
            <w14:solidFill>
              <w14:schemeClr w14:val="tx1"/>
            </w14:solidFill>
          </w14:textFill>
        </w:rPr>
        <w:t>c,1</w:t>
      </w:r>
      <w:r>
        <w:rPr>
          <w:rStyle w:val="11"/>
          <w:rFonts w:ascii="Times New Roman" w:hAnsi="Times New Roman" w:cs="Times New Roman"/>
          <w:b w:val="0"/>
          <w:bCs/>
          <w:color w:val="000000" w:themeColor="text1"/>
          <w:sz w:val="21"/>
          <w:szCs w:val="21"/>
          <w:lang w:val="en-US" w:eastAsia="zh-CN"/>
          <w14:textFill>
            <w14:solidFill>
              <w14:schemeClr w14:val="tx1"/>
            </w14:solidFill>
          </w14:textFill>
        </w:rPr>
        <w:t>, Yingying Wu</w:t>
      </w:r>
      <w:r>
        <w:rPr>
          <w:rStyle w:val="11"/>
          <w:rFonts w:ascii="Times New Roman" w:hAnsi="Times New Roman" w:cs="Times New Roman"/>
          <w:b w:val="0"/>
          <w:bCs/>
          <w:color w:val="000000" w:themeColor="text1"/>
          <w:sz w:val="21"/>
          <w:szCs w:val="21"/>
          <w:vertAlign w:val="superscript"/>
          <w:lang w:eastAsia="zh-CN"/>
          <w14:textFill>
            <w14:solidFill>
              <w14:schemeClr w14:val="tx1"/>
            </w14:solidFill>
          </w14:textFill>
        </w:rPr>
        <w:t>a,</w:t>
      </w:r>
      <w:r>
        <w:rPr>
          <w:rStyle w:val="11"/>
          <w:rFonts w:hint="eastAsia" w:ascii="Times New Roman" w:hAnsi="Times New Roman" w:cs="Times New Roman"/>
          <w:b w:val="0"/>
          <w:bCs/>
          <w:color w:val="000000" w:themeColor="text1"/>
          <w:sz w:val="21"/>
          <w:szCs w:val="21"/>
          <w:vertAlign w:val="superscript"/>
          <w:lang w:val="en-US" w:eastAsia="zh-CN"/>
          <w14:textFill>
            <w14:solidFill>
              <w14:schemeClr w14:val="tx1"/>
            </w14:solidFill>
          </w14:textFill>
        </w:rPr>
        <w:t>d,1</w:t>
      </w:r>
      <w:r>
        <w:rPr>
          <w:rStyle w:val="11"/>
          <w:rFonts w:ascii="Times New Roman" w:hAnsi="Times New Roman" w:cs="Times New Roman"/>
          <w:b w:val="0"/>
          <w:bCs/>
          <w:color w:val="000000" w:themeColor="text1"/>
          <w:sz w:val="21"/>
          <w:szCs w:val="21"/>
          <w:lang w:val="en-US" w:eastAsia="zh-CN"/>
          <w14:textFill>
            <w14:solidFill>
              <w14:schemeClr w14:val="tx1"/>
            </w14:solidFill>
          </w14:textFill>
        </w:rPr>
        <w:t>, Huanjia Chen</w:t>
      </w:r>
      <w:r>
        <w:rPr>
          <w:rStyle w:val="11"/>
          <w:rFonts w:ascii="Times New Roman" w:hAnsi="Times New Roman" w:cs="Times New Roman"/>
          <w:b w:val="0"/>
          <w:bCs/>
          <w:color w:val="000000" w:themeColor="text1"/>
          <w:sz w:val="21"/>
          <w:szCs w:val="21"/>
          <w:vertAlign w:val="superscript"/>
          <w:lang w:eastAsia="zh-CN"/>
          <w14:textFill>
            <w14:solidFill>
              <w14:schemeClr w14:val="tx1"/>
            </w14:solidFill>
          </w14:textFill>
        </w:rPr>
        <w:t>a</w:t>
      </w:r>
      <w:r>
        <w:rPr>
          <w:rStyle w:val="11"/>
          <w:rFonts w:ascii="Times New Roman" w:hAnsi="Times New Roman" w:cs="Times New Roman"/>
          <w:b w:val="0"/>
          <w:bCs/>
          <w:color w:val="000000" w:themeColor="text1"/>
          <w:sz w:val="21"/>
          <w:szCs w:val="21"/>
          <w:lang w:val="en-US" w:eastAsia="zh-CN"/>
          <w14:textFill>
            <w14:solidFill>
              <w14:schemeClr w14:val="tx1"/>
            </w14:solidFill>
          </w14:textFill>
        </w:rPr>
        <w:t>, Guanya Zhu</w:t>
      </w:r>
      <w:r>
        <w:rPr>
          <w:rStyle w:val="11"/>
          <w:rFonts w:ascii="Times New Roman" w:hAnsi="Times New Roman" w:cs="Times New Roman"/>
          <w:b w:val="0"/>
          <w:bCs/>
          <w:color w:val="000000" w:themeColor="text1"/>
          <w:sz w:val="21"/>
          <w:szCs w:val="21"/>
          <w:vertAlign w:val="superscript"/>
          <w:lang w:eastAsia="zh-CN"/>
          <w14:textFill>
            <w14:solidFill>
              <w14:schemeClr w14:val="tx1"/>
            </w14:solidFill>
          </w14:textFill>
        </w:rPr>
        <w:t>a</w:t>
      </w:r>
      <w:r>
        <w:rPr>
          <w:rStyle w:val="11"/>
          <w:rFonts w:ascii="Times New Roman" w:hAnsi="Times New Roman" w:cs="Times New Roman"/>
          <w:b w:val="0"/>
          <w:bCs/>
          <w:color w:val="000000" w:themeColor="text1"/>
          <w:sz w:val="21"/>
          <w:szCs w:val="21"/>
          <w:lang w:val="en-US" w:eastAsia="zh-CN"/>
          <w14:textFill>
            <w14:solidFill>
              <w14:schemeClr w14:val="tx1"/>
            </w14:solidFill>
          </w14:textFill>
        </w:rPr>
        <w:t>, Yupeng Zhang</w:t>
      </w:r>
      <w:r>
        <w:rPr>
          <w:rStyle w:val="11"/>
          <w:rFonts w:ascii="Times New Roman" w:hAnsi="Times New Roman" w:cs="Times New Roman"/>
          <w:b w:val="0"/>
          <w:bCs/>
          <w:color w:val="000000" w:themeColor="text1"/>
          <w:sz w:val="21"/>
          <w:szCs w:val="21"/>
          <w:vertAlign w:val="superscript"/>
          <w:lang w:eastAsia="zh-CN"/>
          <w14:textFill>
            <w14:solidFill>
              <w14:schemeClr w14:val="tx1"/>
            </w14:solidFill>
          </w14:textFill>
        </w:rPr>
        <w:t>a</w:t>
      </w:r>
      <w:r>
        <w:rPr>
          <w:rStyle w:val="11"/>
          <w:rFonts w:ascii="Times New Roman" w:hAnsi="Times New Roman" w:cs="Times New Roman"/>
          <w:b w:val="0"/>
          <w:bCs/>
          <w:color w:val="000000" w:themeColor="text1"/>
          <w:sz w:val="21"/>
          <w:szCs w:val="21"/>
          <w:lang w:val="en-US" w:eastAsia="zh-CN"/>
          <w14:textFill>
            <w14:solidFill>
              <w14:schemeClr w14:val="tx1"/>
            </w14:solidFill>
          </w14:textFill>
        </w:rPr>
        <w:t xml:space="preserve">, </w:t>
      </w:r>
      <w:r>
        <w:rPr>
          <w:rStyle w:val="11"/>
          <w:rFonts w:ascii="Times New Roman" w:hAnsi="Times New Roman" w:cs="Times New Roman"/>
          <w:b w:val="0"/>
          <w:bCs/>
          <w:color w:val="000000" w:themeColor="text1"/>
          <w:sz w:val="21"/>
          <w:szCs w:val="21"/>
          <w:lang w:eastAsia="zh-CN"/>
          <w14:textFill>
            <w14:solidFill>
              <w14:schemeClr w14:val="tx1"/>
            </w14:solidFill>
          </w14:textFill>
        </w:rPr>
        <w:t>Dadong Liang</w:t>
      </w:r>
      <w:r>
        <w:rPr>
          <w:rStyle w:val="11"/>
          <w:rFonts w:ascii="Times New Roman" w:hAnsi="Times New Roman" w:cs="Times New Roman"/>
          <w:b w:val="0"/>
          <w:bCs/>
          <w:color w:val="000000" w:themeColor="text1"/>
          <w:sz w:val="21"/>
          <w:szCs w:val="21"/>
          <w:vertAlign w:val="superscript"/>
          <w:lang w:eastAsia="zh-CN"/>
          <w14:textFill>
            <w14:solidFill>
              <w14:schemeClr w14:val="tx1"/>
            </w14:solidFill>
          </w14:textFill>
        </w:rPr>
        <w:t>a,b</w:t>
      </w:r>
      <w:r>
        <w:rPr>
          <w:rStyle w:val="11"/>
          <w:rFonts w:ascii="Times New Roman" w:hAnsi="Times New Roman" w:cs="Times New Roman"/>
          <w:b w:val="0"/>
          <w:bCs/>
          <w:color w:val="000000" w:themeColor="text1"/>
          <w:sz w:val="21"/>
          <w:szCs w:val="21"/>
          <w:vertAlign w:val="superscript"/>
          <w:lang w:val="en-US" w:eastAsia="zh-CN"/>
          <w14:textFill>
            <w14:solidFill>
              <w14:schemeClr w14:val="tx1"/>
            </w14:solidFill>
          </w14:textFill>
        </w:rPr>
        <w:t>,</w:t>
      </w:r>
      <w:r>
        <w:rPr>
          <w:rStyle w:val="11"/>
          <w:rFonts w:ascii="Times New Roman" w:hAnsi="Times New Roman" w:cs="Times New Roman"/>
          <w:b w:val="0"/>
          <w:bCs/>
          <w:color w:val="000000" w:themeColor="text1"/>
          <w:sz w:val="21"/>
          <w:szCs w:val="21"/>
          <w:vertAlign w:val="superscript"/>
          <w:lang w:eastAsia="zh-CN"/>
          <w14:textFill>
            <w14:solidFill>
              <w14:schemeClr w14:val="tx1"/>
            </w14:solidFill>
          </w14:textFill>
        </w:rPr>
        <w:t>*</w:t>
      </w:r>
      <w:r>
        <w:rPr>
          <w:rStyle w:val="11"/>
          <w:rFonts w:ascii="Times New Roman" w:hAnsi="Times New Roman" w:cs="Times New Roman"/>
          <w:b w:val="0"/>
          <w:bCs/>
          <w:color w:val="000000" w:themeColor="text1"/>
          <w:sz w:val="21"/>
          <w:szCs w:val="21"/>
          <w:lang w:eastAsia="zh-CN"/>
          <w14:textFill>
            <w14:solidFill>
              <w14:schemeClr w14:val="tx1"/>
            </w14:solidFill>
          </w14:textFill>
        </w:rPr>
        <w:t>,</w:t>
      </w:r>
      <w:r>
        <w:rPr>
          <w:rStyle w:val="11"/>
          <w:rFonts w:ascii="Times New Roman" w:hAnsi="Times New Roman" w:cs="Times New Roman"/>
          <w:b w:val="0"/>
          <w:bCs/>
          <w:color w:val="000000" w:themeColor="text1"/>
          <w:sz w:val="21"/>
          <w:szCs w:val="21"/>
          <w:lang w:val="en-US" w:eastAsia="zh-CN"/>
          <w14:textFill>
            <w14:solidFill>
              <w14:schemeClr w14:val="tx1"/>
            </w14:solidFill>
          </w14:textFill>
        </w:rPr>
        <w:t xml:space="preserve"> </w:t>
      </w:r>
      <w:r>
        <w:rPr>
          <w:rStyle w:val="11"/>
          <w:rFonts w:ascii="Times New Roman" w:hAnsi="Times New Roman" w:cs="Times New Roman"/>
          <w:b w:val="0"/>
          <w:bCs/>
          <w:color w:val="000000" w:themeColor="text1"/>
          <w:sz w:val="21"/>
          <w:szCs w:val="21"/>
          <w:lang w:eastAsia="zh-CN"/>
          <w14:textFill>
            <w14:solidFill>
              <w14:schemeClr w14:val="tx1"/>
            </w14:solidFill>
          </w14:textFill>
        </w:rPr>
        <w:t>Guang Chen</w:t>
      </w:r>
      <w:r>
        <w:rPr>
          <w:rStyle w:val="11"/>
          <w:rFonts w:ascii="Times New Roman" w:hAnsi="Times New Roman" w:cs="Times New Roman"/>
          <w:b w:val="0"/>
          <w:bCs/>
          <w:color w:val="000000" w:themeColor="text1"/>
          <w:sz w:val="21"/>
          <w:szCs w:val="21"/>
          <w:vertAlign w:val="superscript"/>
          <w:lang w:val="en-US" w:eastAsia="zh-CN"/>
          <w14:textFill>
            <w14:solidFill>
              <w14:schemeClr w14:val="tx1"/>
            </w14:solidFill>
          </w14:textFill>
        </w:rPr>
        <w:t>b</w:t>
      </w:r>
      <w:r>
        <w:rPr>
          <w:rStyle w:val="11"/>
          <w:rFonts w:ascii="Times New Roman" w:hAnsi="Times New Roman" w:cs="Times New Roman"/>
          <w:b w:val="0"/>
          <w:bCs/>
          <w:color w:val="000000" w:themeColor="text1"/>
          <w:sz w:val="21"/>
          <w:szCs w:val="21"/>
          <w:lang w:val="en-US" w:eastAsia="zh-CN"/>
          <w14:textFill>
            <w14:solidFill>
              <w14:schemeClr w14:val="tx1"/>
            </w14:solidFill>
          </w14:textFill>
        </w:rPr>
        <w:t>, Shanshan Tang</w:t>
      </w:r>
      <w:r>
        <w:rPr>
          <w:rStyle w:val="11"/>
          <w:rFonts w:ascii="Times New Roman" w:hAnsi="Times New Roman" w:cs="Times New Roman"/>
          <w:b w:val="0"/>
          <w:bCs/>
          <w:color w:val="000000" w:themeColor="text1"/>
          <w:sz w:val="21"/>
          <w:szCs w:val="21"/>
          <w:vertAlign w:val="superscript"/>
          <w:lang w:val="en-US" w:eastAsia="zh-CN"/>
          <w14:textFill>
            <w14:solidFill>
              <w14:schemeClr w14:val="tx1"/>
            </w14:solidFill>
          </w14:textFill>
        </w:rPr>
        <w:t>b,</w:t>
      </w:r>
      <w:r>
        <w:rPr>
          <w:rStyle w:val="11"/>
          <w:rFonts w:ascii="Times New Roman" w:hAnsi="Times New Roman" w:cs="Times New Roman"/>
          <w:b w:val="0"/>
          <w:bCs/>
          <w:color w:val="000000" w:themeColor="text1"/>
          <w:sz w:val="21"/>
          <w:szCs w:val="21"/>
          <w:vertAlign w:val="superscript"/>
          <w:lang w:eastAsia="zh-CN"/>
          <w14:textFill>
            <w14:solidFill>
              <w14:schemeClr w14:val="tx1"/>
            </w14:solidFill>
          </w14:textFill>
        </w:rPr>
        <w:t>*</w:t>
      </w:r>
    </w:p>
    <w:bookmarkEnd w:id="1"/>
    <w:p>
      <w:pPr>
        <w:pStyle w:val="14"/>
        <w:spacing w:line="360" w:lineRule="auto"/>
        <w:ind w:left="126" w:right="0" w:hanging="126"/>
        <w:jc w:val="both"/>
        <w:rPr>
          <w:i/>
          <w:iCs/>
          <w:color w:val="000000" w:themeColor="text1"/>
          <w:sz w:val="21"/>
          <w:szCs w:val="21"/>
          <w14:textFill>
            <w14:solidFill>
              <w14:schemeClr w14:val="tx1"/>
            </w14:solidFill>
          </w14:textFill>
        </w:rPr>
      </w:pPr>
      <w:r>
        <w:rPr>
          <w:i/>
          <w:iCs/>
          <w:color w:val="000000" w:themeColor="text1"/>
          <w:sz w:val="21"/>
          <w:szCs w:val="21"/>
          <w:vertAlign w:val="superscript"/>
          <w:lang w:val="en-US" w:eastAsia="zh-CN"/>
          <w14:textFill>
            <w14:solidFill>
              <w14:schemeClr w14:val="tx1"/>
            </w14:solidFill>
          </w14:textFill>
        </w:rPr>
        <w:t>a</w:t>
      </w:r>
      <w:r>
        <w:rPr>
          <w:i/>
          <w:iCs/>
          <w:color w:val="000000" w:themeColor="text1"/>
          <w:sz w:val="21"/>
          <w:szCs w:val="21"/>
          <w14:textFill>
            <w14:solidFill>
              <w14:schemeClr w14:val="tx1"/>
            </w14:solidFill>
          </w14:textFill>
        </w:rPr>
        <w:t>College of Resource and Environment, Jilin Agricultural University, Changchun 130118, China</w:t>
      </w:r>
    </w:p>
    <w:p>
      <w:pPr>
        <w:pStyle w:val="14"/>
        <w:spacing w:line="360" w:lineRule="auto"/>
        <w:ind w:left="126" w:right="0" w:hanging="126"/>
        <w:jc w:val="both"/>
        <w:rPr>
          <w:i/>
          <w:iCs/>
          <w:color w:val="000000" w:themeColor="text1"/>
          <w:sz w:val="21"/>
          <w:szCs w:val="21"/>
          <w14:textFill>
            <w14:solidFill>
              <w14:schemeClr w14:val="tx1"/>
            </w14:solidFill>
          </w14:textFill>
        </w:rPr>
      </w:pPr>
      <w:r>
        <w:rPr>
          <w:i/>
          <w:iCs/>
          <w:color w:val="000000" w:themeColor="text1"/>
          <w:sz w:val="21"/>
          <w:szCs w:val="21"/>
          <w:vertAlign w:val="superscript"/>
          <w:lang w:val="en-US" w:eastAsia="zh-CN"/>
          <w14:textFill>
            <w14:solidFill>
              <w14:schemeClr w14:val="tx1"/>
            </w14:solidFill>
          </w14:textFill>
        </w:rPr>
        <w:t>b</w:t>
      </w:r>
      <w:r>
        <w:rPr>
          <w:i/>
          <w:iCs/>
          <w:color w:val="000000" w:themeColor="text1"/>
          <w:sz w:val="21"/>
          <w:szCs w:val="21"/>
          <w14:textFill>
            <w14:solidFill>
              <w14:schemeClr w14:val="tx1"/>
            </w14:solidFill>
          </w14:textFill>
        </w:rPr>
        <w:t>Key Laboratory of Straw Comprehensive Utilization and Black Soil Conservation, The Ministry of Education, College of Life, Jilin Agricultural University, Changchun, Jilin 130118, China</w:t>
      </w:r>
    </w:p>
    <w:p>
      <w:pPr>
        <w:pStyle w:val="14"/>
        <w:spacing w:line="360" w:lineRule="auto"/>
        <w:ind w:left="126" w:right="0" w:hanging="126"/>
        <w:jc w:val="both"/>
        <w:rPr>
          <w:i/>
          <w:iCs/>
          <w:color w:val="000000" w:themeColor="text1"/>
          <w:sz w:val="21"/>
          <w:szCs w:val="21"/>
          <w14:textFill>
            <w14:solidFill>
              <w14:schemeClr w14:val="tx1"/>
            </w14:solidFill>
          </w14:textFill>
        </w:rPr>
      </w:pPr>
      <w:r>
        <w:rPr>
          <w:rFonts w:hint="eastAsia"/>
          <w:i/>
          <w:iCs/>
          <w:color w:val="000000" w:themeColor="text1"/>
          <w:sz w:val="21"/>
          <w:szCs w:val="21"/>
          <w:vertAlign w:val="superscript"/>
          <w:lang w:val="en-US" w:eastAsia="zh-CN"/>
          <w14:textFill>
            <w14:solidFill>
              <w14:schemeClr w14:val="tx1"/>
            </w14:solidFill>
          </w14:textFill>
        </w:rPr>
        <w:t>c</w:t>
      </w:r>
      <w:r>
        <w:rPr>
          <w:rFonts w:hint="eastAsia"/>
          <w:i/>
          <w:iCs/>
          <w:color w:val="000000" w:themeColor="text1"/>
          <w:sz w:val="21"/>
          <w:szCs w:val="21"/>
          <w:lang w:val="en-US" w:eastAsia="zh-CN"/>
          <w14:textFill>
            <w14:solidFill>
              <w14:schemeClr w14:val="tx1"/>
            </w14:solidFill>
          </w14:textFill>
        </w:rPr>
        <w:t>College of Resources, Sichuan Agricultural University, Chengdu 611130</w:t>
      </w:r>
      <w:r>
        <w:rPr>
          <w:i/>
          <w:iCs/>
          <w:color w:val="000000" w:themeColor="text1"/>
          <w:sz w:val="21"/>
          <w:szCs w:val="21"/>
          <w14:textFill>
            <w14:solidFill>
              <w14:schemeClr w14:val="tx1"/>
            </w14:solidFill>
          </w14:textFill>
        </w:rPr>
        <w:t>, China</w:t>
      </w:r>
    </w:p>
    <w:p>
      <w:pPr>
        <w:pStyle w:val="14"/>
        <w:spacing w:line="360" w:lineRule="auto"/>
        <w:ind w:left="126" w:right="0" w:hanging="126"/>
        <w:jc w:val="both"/>
        <w:rPr>
          <w:i/>
          <w:iCs/>
          <w:color w:val="000000" w:themeColor="text1"/>
          <w:sz w:val="21"/>
          <w:szCs w:val="21"/>
          <w14:textFill>
            <w14:solidFill>
              <w14:schemeClr w14:val="tx1"/>
            </w14:solidFill>
          </w14:textFill>
        </w:rPr>
      </w:pPr>
      <w:r>
        <w:rPr>
          <w:rFonts w:hint="eastAsia"/>
          <w:i/>
          <w:iCs/>
          <w:color w:val="000000" w:themeColor="text1"/>
          <w:sz w:val="21"/>
          <w:szCs w:val="21"/>
          <w:vertAlign w:val="superscript"/>
          <w:lang w:val="en-US" w:eastAsia="zh-CN"/>
          <w14:textFill>
            <w14:solidFill>
              <w14:schemeClr w14:val="tx1"/>
            </w14:solidFill>
          </w14:textFill>
        </w:rPr>
        <w:t>d</w:t>
      </w:r>
      <w:r>
        <w:rPr>
          <w:rFonts w:hint="eastAsia"/>
          <w:i/>
          <w:iCs/>
          <w:color w:val="000000" w:themeColor="text1"/>
          <w:sz w:val="21"/>
          <w:szCs w:val="21"/>
          <w14:textFill>
            <w14:solidFill>
              <w14:schemeClr w14:val="tx1"/>
            </w14:solidFill>
          </w14:textFill>
        </w:rPr>
        <w:t>College of Plant Protection, Nanjing Agricultural University, Nanjing 210095, China</w:t>
      </w:r>
    </w:p>
    <w:p>
      <w:pPr>
        <w:spacing w:line="360" w:lineRule="auto"/>
        <w:rPr>
          <w:rFonts w:ascii="Times New Roman" w:hAnsi="Times New Roman" w:cs="Times New Roman"/>
          <w:i/>
          <w:iCs/>
          <w:color w:val="000000" w:themeColor="text1"/>
          <w:szCs w:val="21"/>
          <w14:textFill>
            <w14:solidFill>
              <w14:schemeClr w14:val="tx1"/>
            </w14:solidFill>
          </w14:textFill>
        </w:rPr>
      </w:pPr>
      <w:r>
        <w:rPr>
          <w:rFonts w:ascii="Times New Roman" w:hAnsi="Times New Roman" w:cs="Times New Roman"/>
          <w:i/>
          <w:iCs/>
          <w:color w:val="000000" w:themeColor="text1"/>
          <w:szCs w:val="21"/>
          <w14:textFill>
            <w14:solidFill>
              <w14:schemeClr w14:val="tx1"/>
            </w14:solidFill>
          </w14:textFill>
        </w:rPr>
        <w:t>*Corresponding authors E-mail address:</w:t>
      </w:r>
      <w:bookmarkStart w:id="2" w:name="_Hlk92627791"/>
      <w:r>
        <w:rPr>
          <w:rFonts w:ascii="Times New Roman" w:hAnsi="Times New Roman" w:cs="Times New Roman"/>
          <w:i/>
          <w:iCs/>
          <w:color w:val="000000" w:themeColor="text1"/>
          <w:szCs w:val="21"/>
          <w14:textFill>
            <w14:solidFill>
              <w14:schemeClr w14:val="tx1"/>
            </w14:solidFill>
          </w14:textFill>
        </w:rPr>
        <w:t xml:space="preserve"> </w:t>
      </w:r>
      <w:r>
        <w:rPr>
          <w:rFonts w:ascii="Times New Roman" w:hAnsi="Times New Roman" w:cs="Times New Roman"/>
          <w:i/>
          <w:iCs/>
        </w:rPr>
        <w:t>liangdadong@jlau.edu.cn</w:t>
      </w:r>
      <w:r>
        <w:rPr>
          <w:rFonts w:ascii="Times New Roman" w:hAnsi="Times New Roman" w:cs="Times New Roman"/>
          <w:i/>
          <w:iCs/>
          <w:color w:val="000000" w:themeColor="text1"/>
          <w:szCs w:val="21"/>
          <w14:textFill>
            <w14:solidFill>
              <w14:schemeClr w14:val="tx1"/>
            </w14:solidFill>
          </w14:textFill>
        </w:rPr>
        <w:t xml:space="preserve"> (D.D. Liang), tangshanshan81@163.com (S.S. Tang). Tel: +086-0431-84532995</w:t>
      </w:r>
      <w:bookmarkEnd w:id="2"/>
      <w:r>
        <w:rPr>
          <w:rFonts w:ascii="Times New Roman" w:hAnsi="Times New Roman" w:cs="Times New Roman"/>
          <w:i/>
          <w:iCs/>
          <w:color w:val="000000" w:themeColor="text1"/>
          <w:szCs w:val="21"/>
          <w14:textFill>
            <w14:solidFill>
              <w14:schemeClr w14:val="tx1"/>
            </w14:solidFill>
          </w14:textFill>
        </w:rPr>
        <w:t>.</w:t>
      </w:r>
    </w:p>
    <w:p>
      <w:pPr>
        <w:spacing w:line="360" w:lineRule="auto"/>
        <w:rPr>
          <w:rFonts w:ascii="Times New Roman" w:hAnsi="Times New Roman" w:cs="Times New Roman"/>
          <w:b/>
          <w:i/>
          <w:iCs/>
          <w:color w:val="000000" w:themeColor="text1"/>
          <w:szCs w:val="21"/>
          <w:vertAlign w:val="subscript"/>
          <w14:textFill>
            <w14:solidFill>
              <w14:schemeClr w14:val="tx1"/>
            </w14:solidFill>
          </w14:textFill>
        </w:rPr>
      </w:pPr>
      <w:r>
        <w:rPr>
          <w:rStyle w:val="11"/>
          <w:rFonts w:hint="eastAsia" w:ascii="Times New Roman" w:hAnsi="Times New Roman" w:cs="Times New Roman"/>
          <w:bCs/>
          <w:i/>
          <w:iCs/>
          <w:color w:val="000000" w:themeColor="text1"/>
          <w:sz w:val="21"/>
          <w:szCs w:val="21"/>
          <w:vertAlign w:val="superscript"/>
          <w:lang w:val="en-US" w:eastAsia="zh-CN"/>
          <w14:textFill>
            <w14:solidFill>
              <w14:schemeClr w14:val="tx1"/>
            </w14:solidFill>
          </w14:textFill>
        </w:rPr>
        <w:t>1</w:t>
      </w:r>
      <w:r>
        <w:rPr>
          <w:rStyle w:val="11"/>
          <w:rFonts w:ascii="Times New Roman" w:hAnsi="Times New Roman" w:cs="Times New Roman"/>
          <w:b w:val="0"/>
          <w:bCs/>
          <w:i/>
          <w:iCs/>
          <w:color w:val="000000" w:themeColor="text1"/>
          <w:sz w:val="21"/>
          <w:szCs w:val="21"/>
          <w14:textFill>
            <w14:solidFill>
              <w14:schemeClr w14:val="tx1"/>
            </w14:solidFill>
          </w14:textFill>
        </w:rPr>
        <w:t>These authors contributed equally to this work.</w:t>
      </w:r>
      <w:r>
        <w:rPr>
          <w:rStyle w:val="11"/>
          <w:rFonts w:ascii="Times New Roman" w:hAnsi="Times New Roman" w:cs="Times New Roman"/>
          <w:i/>
          <w:iCs/>
          <w:color w:val="000000" w:themeColor="text1"/>
          <w:sz w:val="21"/>
          <w:szCs w:val="21"/>
          <w14:textFill>
            <w14:solidFill>
              <w14:schemeClr w14:val="tx1"/>
            </w14:solidFill>
          </w14:textFill>
        </w:rPr>
        <w:t xml:space="preserve"> </w:t>
      </w:r>
    </w:p>
    <w:bookmarkEnd w:id="0"/>
    <w:p>
      <w:pPr>
        <w:widowControl/>
        <w:spacing w:line="360" w:lineRule="auto"/>
        <w:rPr>
          <w:rFonts w:ascii="Times New Roman" w:hAnsi="Times New Roman" w:cs="Times New Roman"/>
        </w:rPr>
      </w:pPr>
    </w:p>
    <w:p>
      <w:pPr>
        <w:widowControl/>
        <w:spacing w:line="360" w:lineRule="auto"/>
        <w:rPr>
          <w:rFonts w:ascii="Times New Roman" w:hAnsi="Times New Roman" w:cs="Times New Roman"/>
          <w:b/>
          <w:bCs/>
        </w:rPr>
      </w:pPr>
      <w:r>
        <w:rPr>
          <w:rFonts w:hint="eastAsia" w:ascii="Times New Roman" w:hAnsi="Times New Roman" w:cs="Times New Roman"/>
          <w:b/>
          <w:bCs/>
        </w:rPr>
        <w:t>C</w:t>
      </w:r>
      <w:r>
        <w:rPr>
          <w:rFonts w:ascii="Times New Roman" w:hAnsi="Times New Roman" w:cs="Times New Roman"/>
          <w:b/>
          <w:bCs/>
        </w:rPr>
        <w:t>ontents</w:t>
      </w:r>
    </w:p>
    <w:p>
      <w:pPr>
        <w:widowControl/>
        <w:spacing w:line="360" w:lineRule="auto"/>
        <w:rPr>
          <w:rFonts w:ascii="Times New Roman" w:hAnsi="Times New Roman" w:cs="Times New Roman"/>
          <w:b/>
          <w:bCs/>
        </w:rPr>
      </w:pPr>
      <w:r>
        <w:rPr>
          <w:rFonts w:ascii="Times New Roman" w:hAnsi="Times New Roman" w:cs="Times New Roman"/>
          <w:b/>
          <w:bCs/>
          <w:lang w:val="en-GB"/>
        </w:rPr>
        <w:t>1. Mechanism of chemical activation</w:t>
      </w:r>
    </w:p>
    <w:p>
      <w:pPr>
        <w:widowControl/>
        <w:spacing w:line="360" w:lineRule="auto"/>
        <w:rPr>
          <w:rFonts w:ascii="Times New Roman" w:hAnsi="Times New Roman" w:cs="Times New Roman"/>
          <w:b/>
          <w:bCs/>
          <w:color w:val="000000" w:themeColor="text1"/>
          <w:kern w:val="0"/>
          <w:szCs w:val="21"/>
          <w14:textFill>
            <w14:solidFill>
              <w14:schemeClr w14:val="tx1"/>
            </w14:solidFill>
          </w14:textFill>
        </w:rPr>
      </w:pPr>
      <w:r>
        <w:rPr>
          <w:rFonts w:hint="eastAsia" w:ascii="Times New Roman" w:hAnsi="Times New Roman" w:cs="Times New Roman"/>
          <w:b/>
          <w:bCs/>
        </w:rPr>
        <w:t>2</w:t>
      </w:r>
      <w:r>
        <w:rPr>
          <w:rFonts w:ascii="Times New Roman" w:hAnsi="Times New Roman" w:cs="Times New Roman"/>
          <w:b/>
          <w:bCs/>
        </w:rPr>
        <w:t xml:space="preserve">. </w:t>
      </w:r>
      <w:r>
        <w:rPr>
          <w:rFonts w:ascii="Times New Roman" w:hAnsi="Times New Roman" w:cs="Times New Roman"/>
          <w:b/>
          <w:bCs/>
          <w:color w:val="000000" w:themeColor="text1"/>
          <w:szCs w:val="21"/>
          <w14:textFill>
            <w14:solidFill>
              <w14:schemeClr w14:val="tx1"/>
            </w14:solidFill>
          </w14:textFill>
        </w:rPr>
        <w:t xml:space="preserve">Fig. S1 </w:t>
      </w:r>
      <w:r>
        <w:rPr>
          <w:rFonts w:ascii="Times New Roman" w:hAnsi="Times New Roman" w:cs="Times New Roman"/>
          <w:szCs w:val="21"/>
        </w:rPr>
        <w:t xml:space="preserve">The relationship between the RhB adsorption capacities of porous carbon products and the activation conditions including (a) temperature, (b) the ratio of NaOH to carbon, and (c) activation time using NaOH as the activator. </w:t>
      </w:r>
    </w:p>
    <w:p>
      <w:pPr>
        <w:spacing w:line="360" w:lineRule="auto"/>
        <w:rPr>
          <w:rStyle w:val="13"/>
          <w:rFonts w:ascii="Times New Roman" w:hAnsi="Times New Roman" w:cs="Times New Roman"/>
          <w:color w:val="auto"/>
          <w:sz w:val="21"/>
          <w:szCs w:val="22"/>
          <w:lang w:val="en-GB"/>
        </w:rPr>
      </w:pPr>
      <w:r>
        <w:rPr>
          <w:rFonts w:hint="eastAsia" w:ascii="Times New Roman" w:hAnsi="Times New Roman" w:cs="Times New Roman"/>
          <w:b/>
          <w:bCs/>
        </w:rPr>
        <w:t>3</w:t>
      </w:r>
      <w:r>
        <w:rPr>
          <w:rFonts w:ascii="Times New Roman" w:hAnsi="Times New Roman" w:cs="Times New Roman"/>
          <w:b/>
          <w:bCs/>
        </w:rPr>
        <w:t xml:space="preserve">. </w:t>
      </w:r>
      <w:r>
        <w:rPr>
          <w:rFonts w:ascii="Times New Roman" w:hAnsi="Times New Roman" w:cs="Times New Roman"/>
          <w:b/>
          <w:bCs/>
          <w:lang w:val="en-GB"/>
        </w:rPr>
        <w:t>Fig. S</w:t>
      </w:r>
      <w:r>
        <w:rPr>
          <w:rFonts w:ascii="Times New Roman" w:hAnsi="Times New Roman" w:cs="Times New Roman"/>
          <w:b/>
          <w:bCs/>
        </w:rPr>
        <w:t>2</w:t>
      </w:r>
      <w:r>
        <w:rPr>
          <w:rFonts w:ascii="Times New Roman" w:hAnsi="Times New Roman" w:cs="Times New Roman"/>
          <w:b/>
          <w:bCs/>
          <w:lang w:val="en-GB"/>
        </w:rPr>
        <w:t xml:space="preserve"> </w:t>
      </w:r>
      <w:r>
        <w:rPr>
          <w:rFonts w:ascii="Times New Roman" w:hAnsi="Times New Roman" w:cs="Times New Roman"/>
          <w:lang w:val="en-GB"/>
        </w:rPr>
        <w:t xml:space="preserve">The (a) C1s and (b) O1s </w:t>
      </w:r>
      <w:r>
        <w:rPr>
          <w:rFonts w:hint="eastAsia" w:ascii="Times New Roman" w:hAnsi="Times New Roman" w:cs="Times New Roman"/>
        </w:rPr>
        <w:t xml:space="preserve">XPS </w:t>
      </w:r>
      <w:r>
        <w:rPr>
          <w:rFonts w:ascii="Times New Roman" w:hAnsi="Times New Roman" w:cs="Times New Roman"/>
          <w:lang w:val="en-GB"/>
        </w:rPr>
        <w:t>spectra of PCQL.</w:t>
      </w:r>
    </w:p>
    <w:p>
      <w:pPr>
        <w:widowControl/>
        <w:spacing w:line="360" w:lineRule="auto"/>
        <w:rPr>
          <w:rFonts w:ascii="Times New Roman" w:hAnsi="Times New Roman" w:cs="Times New Roman"/>
          <w:b/>
          <w:bCs/>
          <w:szCs w:val="21"/>
        </w:rPr>
      </w:pPr>
      <w:r>
        <w:rPr>
          <w:rStyle w:val="13"/>
          <w:rFonts w:ascii="Times New Roman" w:hAnsi="Times New Roman"/>
          <w:b/>
          <w:bCs/>
          <w:sz w:val="21"/>
          <w:szCs w:val="21"/>
        </w:rPr>
        <w:t xml:space="preserve">4. </w:t>
      </w:r>
      <w:r>
        <w:rPr>
          <w:rStyle w:val="13"/>
          <w:rFonts w:hint="eastAsia" w:ascii="Times New Roman" w:hAnsi="Times New Roman"/>
          <w:b/>
          <w:bCs/>
          <w:sz w:val="21"/>
          <w:szCs w:val="21"/>
        </w:rPr>
        <w:t>Fig. S</w:t>
      </w:r>
      <w:r>
        <w:rPr>
          <w:rStyle w:val="13"/>
          <w:rFonts w:ascii="Times New Roman" w:hAnsi="Times New Roman"/>
          <w:b/>
          <w:bCs/>
          <w:sz w:val="21"/>
          <w:szCs w:val="21"/>
        </w:rPr>
        <w:t>3</w:t>
      </w:r>
      <w:r>
        <w:rPr>
          <w:rStyle w:val="13"/>
          <w:rFonts w:hint="eastAsia" w:ascii="Times New Roman" w:hAnsi="Times New Roman"/>
          <w:b/>
          <w:bCs/>
          <w:sz w:val="21"/>
          <w:szCs w:val="21"/>
        </w:rPr>
        <w:t xml:space="preserve"> </w:t>
      </w:r>
      <w:r>
        <w:rPr>
          <w:rFonts w:ascii="Times New Roman" w:hAnsi="Times New Roman" w:cs="Times New Roman"/>
          <w:szCs w:val="21"/>
        </w:rPr>
        <w:t xml:space="preserve">(a) </w:t>
      </w:r>
      <w:r>
        <w:rPr>
          <w:rFonts w:hint="eastAsia" w:ascii="Times New Roman" w:hAnsi="Times New Roman" w:cs="Times New Roman"/>
          <w:szCs w:val="21"/>
        </w:rPr>
        <w:t>the initial pH and finial pH of NaCl aqueous solutions after PC</w:t>
      </w:r>
      <w:r>
        <w:rPr>
          <w:rFonts w:ascii="Times New Roman" w:hAnsi="Times New Roman" w:cs="Times New Roman"/>
          <w:szCs w:val="21"/>
        </w:rPr>
        <w:t>QL</w:t>
      </w:r>
      <w:r>
        <w:rPr>
          <w:rFonts w:hint="eastAsia" w:ascii="Times New Roman" w:hAnsi="Times New Roman" w:cs="Times New Roman"/>
          <w:szCs w:val="21"/>
        </w:rPr>
        <w:t xml:space="preserve"> samples were added</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eastAsia="微软雅黑" w:cs="Times New Roman"/>
          <w:color w:val="000000" w:themeColor="text1"/>
          <w:szCs w:val="21"/>
          <w:shd w:val="clear" w:color="auto" w:fill="FFFFFF"/>
          <w14:textFill>
            <w14:solidFill>
              <w14:schemeClr w14:val="tx1"/>
            </w14:solidFill>
          </w14:textFill>
        </w:rPr>
        <w:t xml:space="preserve">(b) </w:t>
      </w:r>
      <w:r>
        <w:rPr>
          <w:rFonts w:ascii="Times New Roman" w:hAnsi="Times New Roman" w:cs="Times New Roman"/>
          <w:szCs w:val="21"/>
        </w:rPr>
        <w:t>Effect of pH on the adsorption capacit</w:t>
      </w:r>
      <w:r>
        <w:rPr>
          <w:rFonts w:hint="eastAsia" w:ascii="Times New Roman" w:hAnsi="Times New Roman" w:cs="Times New Roman"/>
          <w:szCs w:val="21"/>
        </w:rPr>
        <w:t>ies</w:t>
      </w:r>
      <w:r>
        <w:rPr>
          <w:rFonts w:ascii="Times New Roman" w:hAnsi="Times New Roman" w:cs="Times New Roman"/>
          <w:szCs w:val="21"/>
        </w:rPr>
        <w:t xml:space="preserve"> of PCQL toward RhB</w:t>
      </w:r>
      <w:r>
        <w:rPr>
          <w:rFonts w:hint="eastAsia" w:ascii="Times New Roman" w:hAnsi="Times New Roman" w:cs="Times New Roman"/>
          <w:szCs w:val="21"/>
        </w:rPr>
        <w:t xml:space="preserve">. </w:t>
      </w:r>
    </w:p>
    <w:p>
      <w:pPr>
        <w:widowControl/>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szCs w:val="21"/>
        </w:rPr>
        <w:t>5</w:t>
      </w:r>
      <w:r>
        <w:rPr>
          <w:rFonts w:ascii="Times New Roman" w:hAnsi="Times New Roman" w:cs="Times New Roman"/>
          <w:b/>
          <w:bCs/>
          <w:szCs w:val="21"/>
        </w:rPr>
        <w:t xml:space="preserve">. </w:t>
      </w:r>
      <w:r>
        <w:rPr>
          <w:rFonts w:ascii="Times New Roman" w:hAnsi="Times New Roman" w:cs="Times New Roman"/>
          <w:b/>
          <w:bCs/>
          <w:color w:val="000000" w:themeColor="text1"/>
          <w:szCs w:val="21"/>
          <w14:textFill>
            <w14:solidFill>
              <w14:schemeClr w14:val="tx1"/>
            </w14:solidFill>
          </w14:textFill>
        </w:rPr>
        <w:t>Table S</w:t>
      </w:r>
      <w:r>
        <w:rPr>
          <w:rFonts w:hint="eastAsia" w:ascii="Times New Roman" w:hAnsi="Times New Roman" w:cs="Times New Roman"/>
          <w:b/>
          <w:bCs/>
          <w:color w:val="000000" w:themeColor="text1"/>
          <w:szCs w:val="21"/>
          <w14:textFill>
            <w14:solidFill>
              <w14:schemeClr w14:val="tx1"/>
            </w14:solidFill>
          </w14:textFill>
        </w:rPr>
        <w:t>1</w:t>
      </w:r>
      <w:r>
        <w:rPr>
          <w:rFonts w:ascii="Times New Roman" w:hAnsi="Times New Roman" w:cs="Times New Roman"/>
          <w:b/>
          <w:bCs/>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Parameters of adsorption kinetic models for RhB adsorption</w:t>
      </w:r>
      <w:r>
        <w:rPr>
          <w:rFonts w:hint="eastAsia" w:ascii="Times New Roman" w:hAnsi="Times New Roman" w:cs="Times New Roman"/>
          <w:color w:val="000000" w:themeColor="text1"/>
          <w:szCs w:val="21"/>
          <w14:textFill>
            <w14:solidFill>
              <w14:schemeClr w14:val="tx1"/>
            </w14:solidFill>
          </w14:textFill>
        </w:rPr>
        <w:t xml:space="preserve"> on PC</w:t>
      </w:r>
      <w:r>
        <w:rPr>
          <w:rFonts w:ascii="Times New Roman" w:hAnsi="Times New Roman" w:cs="Times New Roman"/>
          <w:color w:val="000000" w:themeColor="text1"/>
          <w:szCs w:val="21"/>
          <w14:textFill>
            <w14:solidFill>
              <w14:schemeClr w14:val="tx1"/>
            </w14:solidFill>
          </w14:textFill>
        </w:rPr>
        <w:t>QL.</w:t>
      </w:r>
    </w:p>
    <w:p>
      <w:pPr>
        <w:widowControl/>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szCs w:val="21"/>
        </w:rPr>
        <w:t xml:space="preserve">6. </w:t>
      </w:r>
      <w:r>
        <w:rPr>
          <w:rFonts w:ascii="Times New Roman" w:hAnsi="Times New Roman" w:cs="Times New Roman"/>
          <w:b/>
          <w:bCs/>
          <w:color w:val="000000" w:themeColor="text1"/>
          <w:szCs w:val="21"/>
          <w14:textFill>
            <w14:solidFill>
              <w14:schemeClr w14:val="tx1"/>
            </w14:solidFill>
          </w14:textFill>
        </w:rPr>
        <w:t>Table S</w:t>
      </w:r>
      <w:r>
        <w:rPr>
          <w:rFonts w:hint="eastAsia" w:ascii="Times New Roman" w:hAnsi="Times New Roman" w:cs="Times New Roman"/>
          <w:b/>
          <w:bCs/>
          <w:color w:val="000000" w:themeColor="text1"/>
          <w:szCs w:val="21"/>
          <w14:textFill>
            <w14:solidFill>
              <w14:schemeClr w14:val="tx1"/>
            </w14:solidFill>
          </w14:textFill>
        </w:rPr>
        <w:t>2</w:t>
      </w:r>
      <w:r>
        <w:rPr>
          <w:rFonts w:ascii="Times New Roman" w:hAnsi="Times New Roman" w:cs="Times New Roman"/>
          <w:b/>
          <w:bCs/>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Parameters of adsorption kinetic models for TC adsorption on PCQL.</w:t>
      </w:r>
    </w:p>
    <w:p>
      <w:pPr>
        <w:widowControl/>
        <w:spacing w:line="360" w:lineRule="auto"/>
        <w:rPr>
          <w:rFonts w:ascii="Times New Roman" w:hAnsi="Times New Roman" w:cs="Times New Roman"/>
          <w:szCs w:val="21"/>
        </w:rPr>
      </w:pPr>
    </w:p>
    <w:p>
      <w:pPr>
        <w:widowControl/>
        <w:spacing w:line="360" w:lineRule="auto"/>
        <w:rPr>
          <w:rFonts w:ascii="Times New Roman" w:hAnsi="Times New Roman" w:cs="Times New Roman"/>
        </w:rPr>
      </w:pPr>
    </w:p>
    <w:p>
      <w:pPr>
        <w:widowControl/>
        <w:spacing w:line="360" w:lineRule="auto"/>
        <w:rPr>
          <w:rFonts w:ascii="Times New Roman" w:hAnsi="Times New Roman" w:cs="Times New Roman"/>
        </w:rPr>
      </w:pPr>
    </w:p>
    <w:p>
      <w:pPr>
        <w:widowControl/>
        <w:spacing w:line="360" w:lineRule="auto"/>
        <w:rPr>
          <w:rFonts w:ascii="Times New Roman" w:hAnsi="Times New Roman" w:cs="Times New Roman"/>
        </w:rPr>
      </w:pPr>
    </w:p>
    <w:p>
      <w:pPr>
        <w:widowControl/>
        <w:spacing w:line="360" w:lineRule="auto"/>
        <w:rPr>
          <w:rFonts w:ascii="Times New Roman" w:hAnsi="Times New Roman" w:cs="Times New Roman"/>
        </w:rPr>
      </w:pPr>
    </w:p>
    <w:p>
      <w:pPr>
        <w:widowControl/>
        <w:spacing w:line="360" w:lineRule="auto"/>
        <w:rPr>
          <w:rFonts w:ascii="Times New Roman" w:hAnsi="Times New Roman" w:cs="Times New Roman"/>
          <w:b/>
          <w:bCs/>
          <w:lang w:val="en-GB"/>
        </w:rPr>
      </w:pPr>
      <w:r>
        <w:rPr>
          <w:rFonts w:ascii="Times New Roman" w:hAnsi="Times New Roman" w:cs="Times New Roman"/>
          <w:b/>
          <w:bCs/>
        </w:rPr>
        <w:t>S1.</w:t>
      </w:r>
      <w:r>
        <w:rPr>
          <w:rFonts w:ascii="Times New Roman" w:hAnsi="Times New Roman" w:cs="Times New Roman"/>
          <w:b/>
          <w:bCs/>
          <w:lang w:val="en-GB"/>
        </w:rPr>
        <w:t xml:space="preserve"> Mechanism of chemical activation</w:t>
      </w:r>
    </w:p>
    <w:p>
      <w:pPr>
        <w:spacing w:line="360" w:lineRule="auto"/>
        <w:ind w:firstLine="210" w:firstLineChars="100"/>
        <w:rPr>
          <w:rFonts w:ascii="Times New Roman" w:hAnsi="Times New Roman" w:cs="Times New Roman"/>
          <w:lang w:val="en-GB"/>
        </w:rPr>
      </w:pPr>
      <w:r>
        <w:rPr>
          <w:rFonts w:ascii="Times New Roman" w:hAnsi="Times New Roman" w:cs="Times New Roman"/>
          <w:lang w:val="en-GB"/>
        </w:rPr>
        <w:t>When the biochar is heated under N</w:t>
      </w:r>
      <w:r>
        <w:rPr>
          <w:rFonts w:ascii="Times New Roman" w:hAnsi="Times New Roman" w:cs="Times New Roman"/>
          <w:vertAlign w:val="subscript"/>
          <w:lang w:val="en-GB"/>
        </w:rPr>
        <w:t>2</w:t>
      </w:r>
      <w:r>
        <w:rPr>
          <w:rFonts w:ascii="Times New Roman" w:hAnsi="Times New Roman" w:cs="Times New Roman"/>
          <w:lang w:val="en-GB"/>
        </w:rPr>
        <w:t xml:space="preserve"> atmosphere with the presence of NaOH, the possible chemical reaction steps are listed as following: </w:t>
      </w:r>
    </w:p>
    <w:p>
      <w:pPr>
        <w:spacing w:line="360" w:lineRule="auto"/>
        <w:ind w:firstLine="2100" w:firstLineChars="1000"/>
        <w:rPr>
          <w:rFonts w:ascii="Times New Roman" w:hAnsi="Times New Roman" w:eastAsia="微软雅黑" w:cs="Times New Roman"/>
          <w:color w:val="000000" w:themeColor="text1"/>
          <w:szCs w:val="21"/>
          <w:shd w:val="clear" w:color="auto" w:fill="FFFFFF"/>
          <w14:textFill>
            <w14:solidFill>
              <w14:schemeClr w14:val="tx1"/>
            </w14:solidFill>
          </w14:textFill>
        </w:rPr>
      </w:pPr>
      <m:oMath>
        <m:r>
          <m:rPr/>
          <w:rPr>
            <w:rFonts w:ascii="Cambria Math" w:hAnsi="Cambria Math" w:eastAsia="微软雅黑" w:cs="Times New Roman"/>
            <w:color w:val="000000" w:themeColor="text1"/>
            <w:szCs w:val="21"/>
            <w:shd w:val="clear" w:color="auto" w:fill="FFFFFF"/>
            <w14:textFill>
              <w14:solidFill>
                <w14:schemeClr w14:val="tx1"/>
              </w14:solidFill>
            </w14:textFill>
          </w:rPr>
          <m:t>6NaOH+2C→2Na+2N</m:t>
        </m:r>
        <m:sSub>
          <m:sSubPr>
            <m:ctrlPr>
              <w:rPr>
                <w:rFonts w:ascii="Cambria Math" w:hAnsi="Cambria Math" w:eastAsia="微软雅黑" w:cs="Times New Roman"/>
                <w:i/>
                <w:color w:val="000000" w:themeColor="text1"/>
                <w:szCs w:val="21"/>
                <w:shd w:val="clear" w:color="auto" w:fill="FFFFFF"/>
                <w14:textFill>
                  <w14:solidFill>
                    <w14:schemeClr w14:val="tx1"/>
                  </w14:solidFill>
                </w14:textFill>
              </w:rPr>
            </m:ctrlPr>
          </m:sSubPr>
          <m:e>
            <m:r>
              <m:rPr/>
              <w:rPr>
                <w:rFonts w:ascii="Cambria Math" w:hAnsi="Cambria Math" w:eastAsia="微软雅黑" w:cs="Times New Roman"/>
                <w:color w:val="000000" w:themeColor="text1"/>
                <w:szCs w:val="21"/>
                <w:shd w:val="clear" w:color="auto" w:fill="FFFFFF"/>
                <w14:textFill>
                  <w14:solidFill>
                    <w14:schemeClr w14:val="tx1"/>
                  </w14:solidFill>
                </w14:textFill>
              </w:rPr>
              <m:t>a</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e>
          <m:sub>
            <m:r>
              <m:rPr/>
              <w:rPr>
                <w:rFonts w:ascii="Cambria Math" w:hAnsi="Cambria Math" w:eastAsia="微软雅黑" w:cs="Times New Roman"/>
                <w:color w:val="000000" w:themeColor="text1"/>
                <w:szCs w:val="21"/>
                <w:shd w:val="clear" w:color="auto" w:fill="FFFFFF"/>
                <w14:textFill>
                  <w14:solidFill>
                    <w14:schemeClr w14:val="tx1"/>
                  </w14:solidFill>
                </w14:textFill>
              </w:rPr>
              <m:t>2</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sub>
        </m:sSub>
        <m:r>
          <m:rPr/>
          <w:rPr>
            <w:rFonts w:ascii="Cambria Math" w:hAnsi="Cambria Math" w:eastAsia="微软雅黑" w:cs="Times New Roman"/>
            <w:color w:val="000000" w:themeColor="text1"/>
            <w:szCs w:val="21"/>
            <w:shd w:val="clear" w:color="auto" w:fill="FFFFFF"/>
            <w14:textFill>
              <w14:solidFill>
                <w14:schemeClr w14:val="tx1"/>
              </w14:solidFill>
            </w14:textFill>
          </w:rPr>
          <m:t>C</m:t>
        </m:r>
        <m:sSub>
          <m:sSubPr>
            <m:ctrlPr>
              <w:rPr>
                <w:rFonts w:ascii="Cambria Math" w:hAnsi="Cambria Math" w:eastAsia="微软雅黑" w:cs="Times New Roman"/>
                <w:i/>
                <w:color w:val="000000" w:themeColor="text1"/>
                <w:szCs w:val="21"/>
                <w:shd w:val="clear" w:color="auto" w:fill="FFFFFF"/>
                <w14:textFill>
                  <w14:solidFill>
                    <w14:schemeClr w14:val="tx1"/>
                  </w14:solidFill>
                </w14:textFill>
              </w:rPr>
            </m:ctrlPr>
          </m:sSubPr>
          <m:e>
            <m:r>
              <m:rPr/>
              <w:rPr>
                <w:rFonts w:ascii="Cambria Math" w:hAnsi="Cambria Math" w:eastAsia="微软雅黑" w:cs="Times New Roman"/>
                <w:color w:val="000000" w:themeColor="text1"/>
                <w:szCs w:val="21"/>
                <w:shd w:val="clear" w:color="auto" w:fill="FFFFFF"/>
                <w14:textFill>
                  <w14:solidFill>
                    <w14:schemeClr w14:val="tx1"/>
                  </w14:solidFill>
                </w14:textFill>
              </w:rPr>
              <m:t>O</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e>
          <m:sub>
            <m:r>
              <m:rPr/>
              <w:rPr>
                <w:rFonts w:ascii="Cambria Math" w:hAnsi="Cambria Math" w:eastAsia="微软雅黑" w:cs="Times New Roman"/>
                <w:color w:val="000000" w:themeColor="text1"/>
                <w:szCs w:val="21"/>
                <w:shd w:val="clear" w:color="auto" w:fill="FFFFFF"/>
                <w14:textFill>
                  <w14:solidFill>
                    <w14:schemeClr w14:val="tx1"/>
                  </w14:solidFill>
                </w14:textFill>
              </w:rPr>
              <m:t>3</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sub>
        </m:sSub>
        <m:r>
          <m:rPr/>
          <w:rPr>
            <w:rFonts w:ascii="Cambria Math" w:hAnsi="Cambria Math" w:eastAsia="微软雅黑" w:cs="Times New Roman"/>
            <w:color w:val="000000" w:themeColor="text1"/>
            <w:szCs w:val="21"/>
            <w:shd w:val="clear" w:color="auto" w:fill="FFFFFF"/>
            <w14:textFill>
              <w14:solidFill>
                <w14:schemeClr w14:val="tx1"/>
              </w14:solidFill>
            </w14:textFill>
          </w:rPr>
          <m:t>+3</m:t>
        </m:r>
        <m:sSub>
          <m:sSubPr>
            <m:ctrlPr>
              <w:rPr>
                <w:rFonts w:ascii="Cambria Math" w:hAnsi="Cambria Math" w:eastAsia="微软雅黑" w:cs="Times New Roman"/>
                <w:i/>
                <w:color w:val="000000" w:themeColor="text1"/>
                <w:szCs w:val="21"/>
                <w:shd w:val="clear" w:color="auto" w:fill="FFFFFF"/>
                <w14:textFill>
                  <w14:solidFill>
                    <w14:schemeClr w14:val="tx1"/>
                  </w14:solidFill>
                </w14:textFill>
              </w:rPr>
            </m:ctrlPr>
          </m:sSubPr>
          <m:e>
            <m:r>
              <m:rPr/>
              <w:rPr>
                <w:rFonts w:ascii="Cambria Math" w:hAnsi="Cambria Math" w:eastAsia="微软雅黑" w:cs="Times New Roman"/>
                <w:color w:val="000000" w:themeColor="text1"/>
                <w:szCs w:val="21"/>
                <w:shd w:val="clear" w:color="auto" w:fill="FFFFFF"/>
                <w14:textFill>
                  <w14:solidFill>
                    <w14:schemeClr w14:val="tx1"/>
                  </w14:solidFill>
                </w14:textFill>
              </w:rPr>
              <m:t>H</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e>
          <m:sub>
            <m:r>
              <m:rPr/>
              <w:rPr>
                <w:rFonts w:ascii="Cambria Math" w:hAnsi="Cambria Math" w:eastAsia="微软雅黑" w:cs="Times New Roman"/>
                <w:color w:val="000000" w:themeColor="text1"/>
                <w:szCs w:val="21"/>
                <w:shd w:val="clear" w:color="auto" w:fill="FFFFFF"/>
                <w14:textFill>
                  <w14:solidFill>
                    <w14:schemeClr w14:val="tx1"/>
                  </w14:solidFill>
                </w14:textFill>
              </w:rPr>
              <m:t>2</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sub>
        </m:sSub>
        <m:r>
          <m:rPr/>
          <w:rPr>
            <w:rFonts w:ascii="Cambria Math" w:hAnsi="Cambria Math" w:cs="Times New Roman"/>
            <w:color w:val="000000" w:themeColor="text1"/>
            <w:szCs w:val="21"/>
            <w:shd w:val="clear" w:color="auto" w:fill="FFFFFF"/>
            <w14:textFill>
              <w14:solidFill>
                <w14:schemeClr w14:val="tx1"/>
              </w14:solidFill>
            </w14:textFill>
          </w:rPr>
          <m:t>↑</m:t>
        </m:r>
      </m:oMath>
      <w:r>
        <w:rPr>
          <w:rFonts w:ascii="Times New Roman" w:hAnsi="Times New Roman" w:eastAsia="微软雅黑" w:cs="Times New Roman"/>
          <w:color w:val="000000" w:themeColor="text1"/>
          <w:szCs w:val="21"/>
          <w:shd w:val="clear" w:color="auto" w:fill="FFFFFF"/>
          <w14:textFill>
            <w14:solidFill>
              <w14:schemeClr w14:val="tx1"/>
            </w14:solidFill>
          </w14:textFill>
        </w:rPr>
        <w:t xml:space="preserve">            (S</w:t>
      </w:r>
      <w:r>
        <w:rPr>
          <w:rFonts w:hint="eastAsia" w:ascii="Times New Roman" w:hAnsi="Times New Roman" w:eastAsia="微软雅黑" w:cs="Times New Roman"/>
          <w:color w:val="000000" w:themeColor="text1"/>
          <w:szCs w:val="21"/>
          <w:shd w:val="clear" w:color="auto" w:fill="FFFFFF"/>
          <w14:textFill>
            <w14:solidFill>
              <w14:schemeClr w14:val="tx1"/>
            </w14:solidFill>
          </w14:textFill>
        </w:rPr>
        <w:t>1</w:t>
      </w:r>
      <w:r>
        <w:rPr>
          <w:rFonts w:ascii="Times New Roman" w:hAnsi="Times New Roman" w:eastAsia="微软雅黑" w:cs="Times New Roman"/>
          <w:color w:val="000000" w:themeColor="text1"/>
          <w:szCs w:val="21"/>
          <w:shd w:val="clear" w:color="auto" w:fill="FFFFFF"/>
          <w14:textFill>
            <w14:solidFill>
              <w14:schemeClr w14:val="tx1"/>
            </w14:solidFill>
          </w14:textFill>
        </w:rPr>
        <w:t>)</w:t>
      </w:r>
    </w:p>
    <w:p>
      <w:pPr>
        <w:spacing w:line="360" w:lineRule="auto"/>
        <w:ind w:firstLine="2730" w:firstLineChars="1300"/>
        <w:rPr>
          <w:rFonts w:ascii="Times New Roman" w:hAnsi="Times New Roman" w:eastAsia="微软雅黑" w:cs="Times New Roman"/>
          <w:color w:val="000000" w:themeColor="text1"/>
          <w:szCs w:val="21"/>
          <w:shd w:val="clear" w:color="auto" w:fill="FFFFFF"/>
          <w14:textFill>
            <w14:solidFill>
              <w14:schemeClr w14:val="tx1"/>
            </w14:solidFill>
          </w14:textFill>
        </w:rPr>
      </w:pPr>
      <m:oMath>
        <m:r>
          <m:rPr/>
          <w:rPr>
            <w:rFonts w:ascii="Cambria Math" w:hAnsi="Cambria Math" w:eastAsia="微软雅黑" w:cs="Times New Roman"/>
            <w:color w:val="000000" w:themeColor="text1"/>
            <w:szCs w:val="21"/>
            <w:shd w:val="clear" w:color="auto" w:fill="FFFFFF"/>
            <w14:textFill>
              <w14:solidFill>
                <w14:schemeClr w14:val="tx1"/>
              </w14:solidFill>
            </w14:textFill>
          </w:rPr>
          <m:t>N</m:t>
        </m:r>
        <m:sSub>
          <m:sSubPr>
            <m:ctrlPr>
              <w:rPr>
                <w:rFonts w:ascii="Cambria Math" w:hAnsi="Cambria Math" w:eastAsia="微软雅黑" w:cs="Times New Roman"/>
                <w:i/>
                <w:color w:val="000000" w:themeColor="text1"/>
                <w:szCs w:val="21"/>
                <w:shd w:val="clear" w:color="auto" w:fill="FFFFFF"/>
                <w14:textFill>
                  <w14:solidFill>
                    <w14:schemeClr w14:val="tx1"/>
                  </w14:solidFill>
                </w14:textFill>
              </w:rPr>
            </m:ctrlPr>
          </m:sSubPr>
          <m:e>
            <m:r>
              <m:rPr/>
              <w:rPr>
                <w:rFonts w:ascii="Cambria Math" w:hAnsi="Cambria Math" w:eastAsia="微软雅黑" w:cs="Times New Roman"/>
                <w:color w:val="000000" w:themeColor="text1"/>
                <w:szCs w:val="21"/>
                <w:shd w:val="clear" w:color="auto" w:fill="FFFFFF"/>
                <w14:textFill>
                  <w14:solidFill>
                    <w14:schemeClr w14:val="tx1"/>
                  </w14:solidFill>
                </w14:textFill>
              </w:rPr>
              <m:t>a</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e>
          <m:sub>
            <m:r>
              <m:rPr/>
              <w:rPr>
                <w:rFonts w:ascii="Cambria Math" w:hAnsi="Cambria Math" w:eastAsia="微软雅黑" w:cs="Times New Roman"/>
                <w:color w:val="000000" w:themeColor="text1"/>
                <w:szCs w:val="21"/>
                <w:shd w:val="clear" w:color="auto" w:fill="FFFFFF"/>
                <w14:textFill>
                  <w14:solidFill>
                    <w14:schemeClr w14:val="tx1"/>
                  </w14:solidFill>
                </w14:textFill>
              </w:rPr>
              <m:t>2</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sub>
        </m:sSub>
        <m:r>
          <m:rPr/>
          <w:rPr>
            <w:rFonts w:ascii="Cambria Math" w:hAnsi="Cambria Math" w:eastAsia="微软雅黑" w:cs="Times New Roman"/>
            <w:color w:val="000000" w:themeColor="text1"/>
            <w:szCs w:val="21"/>
            <w:shd w:val="clear" w:color="auto" w:fill="FFFFFF"/>
            <w14:textFill>
              <w14:solidFill>
                <w14:schemeClr w14:val="tx1"/>
              </w14:solidFill>
            </w14:textFill>
          </w:rPr>
          <m:t>C</m:t>
        </m:r>
        <m:sSub>
          <m:sSubPr>
            <m:ctrlPr>
              <w:rPr>
                <w:rFonts w:ascii="Cambria Math" w:hAnsi="Cambria Math" w:eastAsia="微软雅黑" w:cs="Times New Roman"/>
                <w:i/>
                <w:color w:val="000000" w:themeColor="text1"/>
                <w:szCs w:val="21"/>
                <w:shd w:val="clear" w:color="auto" w:fill="FFFFFF"/>
                <w14:textFill>
                  <w14:solidFill>
                    <w14:schemeClr w14:val="tx1"/>
                  </w14:solidFill>
                </w14:textFill>
              </w:rPr>
            </m:ctrlPr>
          </m:sSubPr>
          <m:e>
            <m:r>
              <m:rPr/>
              <w:rPr>
                <w:rFonts w:ascii="Cambria Math" w:hAnsi="Cambria Math" w:eastAsia="微软雅黑" w:cs="Times New Roman"/>
                <w:color w:val="000000" w:themeColor="text1"/>
                <w:szCs w:val="21"/>
                <w:shd w:val="clear" w:color="auto" w:fill="FFFFFF"/>
                <w14:textFill>
                  <w14:solidFill>
                    <w14:schemeClr w14:val="tx1"/>
                  </w14:solidFill>
                </w14:textFill>
              </w:rPr>
              <m:t>O</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e>
          <m:sub>
            <m:r>
              <m:rPr/>
              <w:rPr>
                <w:rFonts w:ascii="Cambria Math" w:hAnsi="Cambria Math" w:eastAsia="微软雅黑" w:cs="Times New Roman"/>
                <w:color w:val="000000" w:themeColor="text1"/>
                <w:szCs w:val="21"/>
                <w:shd w:val="clear" w:color="auto" w:fill="FFFFFF"/>
                <w14:textFill>
                  <w14:solidFill>
                    <w14:schemeClr w14:val="tx1"/>
                  </w14:solidFill>
                </w14:textFill>
              </w:rPr>
              <m:t>3</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sub>
        </m:sSub>
        <m:r>
          <m:rPr/>
          <w:rPr>
            <w:rFonts w:ascii="Cambria Math" w:hAnsi="Cambria Math" w:eastAsia="微软雅黑" w:cs="Times New Roman"/>
            <w:color w:val="000000" w:themeColor="text1"/>
            <w:szCs w:val="21"/>
            <w:shd w:val="clear" w:color="auto" w:fill="FFFFFF"/>
            <w14:textFill>
              <w14:solidFill>
                <w14:schemeClr w14:val="tx1"/>
              </w14:solidFill>
            </w14:textFill>
          </w:rPr>
          <m:t>→</m:t>
        </m:r>
        <m:sSub>
          <m:sSubPr>
            <m:ctrlPr>
              <w:rPr>
                <w:rFonts w:ascii="Cambria Math" w:hAnsi="Cambria Math" w:eastAsia="微软雅黑" w:cs="Times New Roman"/>
                <w:i/>
                <w:color w:val="000000" w:themeColor="text1"/>
                <w:szCs w:val="21"/>
                <w:shd w:val="clear" w:color="auto" w:fill="FFFFFF"/>
                <w14:textFill>
                  <w14:solidFill>
                    <w14:schemeClr w14:val="tx1"/>
                  </w14:solidFill>
                </w14:textFill>
              </w:rPr>
            </m:ctrlPr>
          </m:sSubPr>
          <m:e>
            <m:r>
              <m:rPr/>
              <w:rPr>
                <w:rFonts w:ascii="Cambria Math" w:hAnsi="Cambria Math" w:eastAsia="微软雅黑" w:cs="Times New Roman"/>
                <w:color w:val="000000" w:themeColor="text1"/>
                <w:szCs w:val="21"/>
                <w:shd w:val="clear" w:color="auto" w:fill="FFFFFF"/>
                <w14:textFill>
                  <w14:solidFill>
                    <w14:schemeClr w14:val="tx1"/>
                  </w14:solidFill>
                </w14:textFill>
              </w:rPr>
              <m:t>Na</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e>
          <m:sub>
            <m:r>
              <m:rPr/>
              <w:rPr>
                <w:rFonts w:ascii="Cambria Math" w:hAnsi="Cambria Math" w:eastAsia="微软雅黑" w:cs="Times New Roman"/>
                <w:color w:val="000000" w:themeColor="text1"/>
                <w:szCs w:val="21"/>
                <w:shd w:val="clear" w:color="auto" w:fill="FFFFFF"/>
                <w14:textFill>
                  <w14:solidFill>
                    <w14:schemeClr w14:val="tx1"/>
                  </w14:solidFill>
                </w14:textFill>
              </w:rPr>
              <m:t>2</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sub>
        </m:sSub>
        <m:r>
          <m:rPr/>
          <w:rPr>
            <w:rFonts w:ascii="Cambria Math" w:hAnsi="Cambria Math" w:eastAsia="微软雅黑" w:cs="Times New Roman"/>
            <w:color w:val="000000" w:themeColor="text1"/>
            <w:szCs w:val="21"/>
            <w:shd w:val="clear" w:color="auto" w:fill="FFFFFF"/>
            <w14:textFill>
              <w14:solidFill>
                <w14:schemeClr w14:val="tx1"/>
              </w14:solidFill>
            </w14:textFill>
          </w:rPr>
          <m:t>O+</m:t>
        </m:r>
        <m:sSub>
          <m:sSubPr>
            <m:ctrlPr>
              <w:rPr>
                <w:rFonts w:ascii="Cambria Math" w:hAnsi="Cambria Math" w:eastAsia="微软雅黑" w:cs="Times New Roman"/>
                <w:i/>
                <w:color w:val="000000" w:themeColor="text1"/>
                <w:szCs w:val="21"/>
                <w:shd w:val="clear" w:color="auto" w:fill="FFFFFF"/>
                <w14:textFill>
                  <w14:solidFill>
                    <w14:schemeClr w14:val="tx1"/>
                  </w14:solidFill>
                </w14:textFill>
              </w:rPr>
            </m:ctrlPr>
          </m:sSubPr>
          <m:e>
            <m:r>
              <m:rPr/>
              <w:rPr>
                <w:rFonts w:ascii="Cambria Math" w:hAnsi="Cambria Math" w:eastAsia="微软雅黑" w:cs="Times New Roman"/>
                <w:color w:val="000000" w:themeColor="text1"/>
                <w:szCs w:val="21"/>
                <w:shd w:val="clear" w:color="auto" w:fill="FFFFFF"/>
                <w14:textFill>
                  <w14:solidFill>
                    <w14:schemeClr w14:val="tx1"/>
                  </w14:solidFill>
                </w14:textFill>
              </w:rPr>
              <m:t>CO</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e>
          <m:sub>
            <m:r>
              <m:rPr/>
              <w:rPr>
                <w:rFonts w:ascii="Cambria Math" w:hAnsi="Cambria Math" w:eastAsia="微软雅黑" w:cs="Times New Roman"/>
                <w:color w:val="000000" w:themeColor="text1"/>
                <w:szCs w:val="21"/>
                <w:shd w:val="clear" w:color="auto" w:fill="FFFFFF"/>
                <w14:textFill>
                  <w14:solidFill>
                    <w14:schemeClr w14:val="tx1"/>
                  </w14:solidFill>
                </w14:textFill>
              </w:rPr>
              <m:t>2</m:t>
            </m:r>
            <m:ctrlPr>
              <w:rPr>
                <w:rFonts w:ascii="Cambria Math" w:hAnsi="Cambria Math" w:eastAsia="微软雅黑" w:cs="Times New Roman"/>
                <w:i/>
                <w:color w:val="000000" w:themeColor="text1"/>
                <w:szCs w:val="21"/>
                <w:shd w:val="clear" w:color="auto" w:fill="FFFFFF"/>
                <w14:textFill>
                  <w14:solidFill>
                    <w14:schemeClr w14:val="tx1"/>
                  </w14:solidFill>
                </w14:textFill>
              </w:rPr>
            </m:ctrlPr>
          </m:sub>
        </m:sSub>
        <m:r>
          <m:rPr/>
          <w:rPr>
            <w:rFonts w:ascii="Cambria Math" w:hAnsi="Cambria Math" w:cs="Times New Roman"/>
            <w:color w:val="000000" w:themeColor="text1"/>
            <w:szCs w:val="21"/>
            <w:shd w:val="clear" w:color="auto" w:fill="FFFFFF"/>
            <w14:textFill>
              <w14:solidFill>
                <w14:schemeClr w14:val="tx1"/>
              </w14:solidFill>
            </w14:textFill>
          </w:rPr>
          <m:t>↑</m:t>
        </m:r>
      </m:oMath>
      <w:r>
        <w:rPr>
          <w:rFonts w:ascii="Times New Roman" w:hAnsi="Times New Roman" w:eastAsia="微软雅黑" w:cs="Times New Roman"/>
          <w:color w:val="000000" w:themeColor="text1"/>
          <w:szCs w:val="21"/>
          <w:shd w:val="clear" w:color="auto" w:fill="FFFFFF"/>
          <w14:textFill>
            <w14:solidFill>
              <w14:schemeClr w14:val="tx1"/>
            </w14:solidFill>
          </w14:textFill>
        </w:rPr>
        <w:t xml:space="preserve">    </w:t>
      </w:r>
      <w:r>
        <w:rPr>
          <w:rFonts w:hint="eastAsia" w:ascii="Times New Roman" w:hAnsi="Times New Roman" w:eastAsia="微软雅黑" w:cs="Times New Roman"/>
          <w:color w:val="000000" w:themeColor="text1"/>
          <w:szCs w:val="21"/>
          <w:shd w:val="clear" w:color="auto" w:fill="FFFFFF"/>
          <w14:textFill>
            <w14:solidFill>
              <w14:schemeClr w14:val="tx1"/>
            </w14:solidFill>
          </w14:textFill>
        </w:rPr>
        <w:t xml:space="preserve">       </w:t>
      </w:r>
      <w:r>
        <w:rPr>
          <w:rFonts w:ascii="Times New Roman" w:hAnsi="Times New Roman" w:eastAsia="微软雅黑" w:cs="Times New Roman"/>
          <w:color w:val="000000" w:themeColor="text1"/>
          <w:szCs w:val="21"/>
          <w:shd w:val="clear" w:color="auto" w:fill="FFFFFF"/>
          <w14:textFill>
            <w14:solidFill>
              <w14:schemeClr w14:val="tx1"/>
            </w14:solidFill>
          </w14:textFill>
        </w:rPr>
        <w:t xml:space="preserve"> </w:t>
      </w:r>
      <w:r>
        <w:rPr>
          <w:rFonts w:hint="eastAsia" w:ascii="Times New Roman" w:hAnsi="Times New Roman" w:eastAsia="微软雅黑" w:cs="Times New Roman"/>
          <w:color w:val="000000" w:themeColor="text1"/>
          <w:szCs w:val="21"/>
          <w:shd w:val="clear" w:color="auto" w:fill="FFFFFF"/>
          <w14:textFill>
            <w14:solidFill>
              <w14:schemeClr w14:val="tx1"/>
            </w14:solidFill>
          </w14:textFill>
        </w:rPr>
        <w:t xml:space="preserve"> </w:t>
      </w:r>
      <w:r>
        <w:rPr>
          <w:rFonts w:ascii="Times New Roman" w:hAnsi="Times New Roman" w:eastAsia="微软雅黑" w:cs="Times New Roman"/>
          <w:color w:val="000000" w:themeColor="text1"/>
          <w:szCs w:val="21"/>
          <w:shd w:val="clear" w:color="auto" w:fill="FFFFFF"/>
          <w14:textFill>
            <w14:solidFill>
              <w14:schemeClr w14:val="tx1"/>
            </w14:solidFill>
          </w14:textFill>
        </w:rPr>
        <w:t xml:space="preserve">       (S</w:t>
      </w:r>
      <w:r>
        <w:rPr>
          <w:rFonts w:hint="eastAsia" w:ascii="Times New Roman" w:hAnsi="Times New Roman" w:eastAsia="微软雅黑" w:cs="Times New Roman"/>
          <w:color w:val="000000" w:themeColor="text1"/>
          <w:szCs w:val="21"/>
          <w:shd w:val="clear" w:color="auto" w:fill="FFFFFF"/>
          <w14:textFill>
            <w14:solidFill>
              <w14:schemeClr w14:val="tx1"/>
            </w14:solidFill>
          </w14:textFill>
        </w:rPr>
        <w:t>2</w:t>
      </w:r>
      <w:r>
        <w:rPr>
          <w:rFonts w:ascii="Times New Roman" w:hAnsi="Times New Roman" w:eastAsia="微软雅黑" w:cs="Times New Roman"/>
          <w:color w:val="000000" w:themeColor="text1"/>
          <w:szCs w:val="21"/>
          <w:shd w:val="clear" w:color="auto" w:fill="FFFFFF"/>
          <w14:textFill>
            <w14:solidFill>
              <w14:schemeClr w14:val="tx1"/>
            </w14:solidFill>
          </w14:textFill>
        </w:rPr>
        <w:t>)</w:t>
      </w:r>
    </w:p>
    <w:p>
      <w:pPr>
        <w:spacing w:line="360" w:lineRule="auto"/>
        <w:ind w:firstLine="3255" w:firstLineChars="1550"/>
        <w:rPr>
          <w:rFonts w:ascii="Times New Roman" w:hAnsi="Times New Roman" w:cs="Times New Roman"/>
          <w:lang w:val="en-GB"/>
        </w:rPr>
      </w:pPr>
      <m:oMath>
        <m:r>
          <m:rPr/>
          <w:rPr>
            <w:rFonts w:ascii="Cambria Math" w:hAnsi="Cambria Math" w:cs="Times New Roman"/>
            <w:lang w:val="en-GB"/>
          </w:rPr>
          <m:t>C</m:t>
        </m:r>
        <m:sSub>
          <m:sSubPr>
            <m:ctrlPr>
              <w:rPr>
                <w:rFonts w:ascii="Cambria Math" w:hAnsi="Cambria Math" w:cs="Times New Roman"/>
                <w:i/>
                <w:lang w:val="en-GB"/>
              </w:rPr>
            </m:ctrlPr>
          </m:sSubPr>
          <m:e>
            <m:r>
              <m:rPr/>
              <w:rPr>
                <w:rFonts w:ascii="Cambria Math" w:hAnsi="Cambria Math" w:cs="Times New Roman"/>
                <w:lang w:val="en-GB"/>
              </w:rPr>
              <m:t>O</m:t>
            </m:r>
            <m:ctrlPr>
              <w:rPr>
                <w:rFonts w:ascii="Cambria Math" w:hAnsi="Cambria Math" w:cs="Times New Roman"/>
                <w:i/>
                <w:lang w:val="en-GB"/>
              </w:rPr>
            </m:ctrlPr>
          </m:e>
          <m:sub>
            <m:r>
              <m:rPr/>
              <w:rPr>
                <w:rFonts w:ascii="Cambria Math" w:hAnsi="Cambria Math" w:cs="Times New Roman"/>
                <w:lang w:val="en-GB"/>
              </w:rPr>
              <m:t>2</m:t>
            </m:r>
            <m:ctrlPr>
              <w:rPr>
                <w:rFonts w:ascii="Cambria Math" w:hAnsi="Cambria Math" w:cs="Times New Roman"/>
                <w:i/>
                <w:lang w:val="en-GB"/>
              </w:rPr>
            </m:ctrlPr>
          </m:sub>
        </m:sSub>
        <m:r>
          <m:rPr/>
          <w:rPr>
            <w:rFonts w:ascii="Cambria Math" w:hAnsi="Cambria Math" w:cs="Times New Roman"/>
          </w:rPr>
          <m:t>+C</m:t>
        </m:r>
        <m:r>
          <m:rPr/>
          <w:rPr>
            <w:rFonts w:ascii="Cambria Math" w:hAnsi="Cambria Math" w:cs="Times New Roman"/>
            <w:lang w:val="en-GB"/>
          </w:rPr>
          <m:t>→</m:t>
        </m:r>
        <m:r>
          <m:rPr/>
          <w:rPr>
            <w:rFonts w:ascii="Cambria Math" w:hAnsi="Cambria Math" w:cs="Times New Roman"/>
          </w:rPr>
          <m:t>2</m:t>
        </m:r>
        <m:r>
          <m:rPr/>
          <w:rPr>
            <w:rFonts w:ascii="Cambria Math" w:hAnsi="Cambria Math" w:cs="Times New Roman"/>
            <w:lang w:val="en-GB"/>
          </w:rPr>
          <m:t>CO</m:t>
        </m:r>
      </m:oMath>
      <w:r>
        <w:rPr>
          <w:rFonts w:ascii="Times New Roman" w:hAnsi="Times New Roman" w:cs="Times New Roman"/>
          <w:lang w:val="en-GB"/>
        </w:rPr>
        <w:t xml:space="preserve">                       (S3)</w:t>
      </w:r>
      <w:r>
        <w:rPr>
          <w:rFonts w:hint="eastAsia" w:ascii="Times New Roman" w:hAnsi="Times New Roman" w:cs="Times New Roman"/>
          <w:lang w:val="en-GB"/>
        </w:rPr>
        <w:t xml:space="preserve"> </w:t>
      </w:r>
    </w:p>
    <w:p>
      <w:pPr>
        <w:spacing w:line="360" w:lineRule="auto"/>
        <w:ind w:firstLine="210" w:firstLineChars="100"/>
        <w:rPr>
          <w:rFonts w:ascii="Times New Roman" w:hAnsi="Times New Roman" w:cs="Times New Roman"/>
          <w:lang w:val="en-GB"/>
        </w:rPr>
      </w:pPr>
      <w:r>
        <w:rPr>
          <w:rFonts w:ascii="Times New Roman" w:hAnsi="Times New Roman" w:cs="Times New Roman"/>
          <w:color w:val="000000" w:themeColor="text1"/>
          <w:lang w:val="en-GB"/>
          <w14:textFill>
            <w14:solidFill>
              <w14:schemeClr w14:val="tx1"/>
            </w14:solidFill>
          </w14:textFill>
        </w:rPr>
        <w:t>Through the reaction of biochar and NaOH</w:t>
      </w:r>
      <w:r>
        <w:rPr>
          <w:rFonts w:ascii="Times New Roman" w:hAnsi="Times New Roman" w:cs="Times New Roman"/>
          <w:lang w:val="en-GB"/>
        </w:rPr>
        <w:t xml:space="preserve">, a large number of micro- and mesopores occur in the surface of biochar, and the specific surface area of biochar may largely increased </w:t>
      </w:r>
      <w:r>
        <w:rPr>
          <w:rFonts w:ascii="Times New Roman" w:hAnsi="Times New Roman" w:cs="Times New Roman"/>
        </w:rPr>
        <w:t>(Norouzi et al., 2018)</w:t>
      </w:r>
      <w:r>
        <w:rPr>
          <w:rFonts w:ascii="Times New Roman" w:hAnsi="Times New Roman" w:cs="Times New Roman"/>
          <w:lang w:val="en-GB"/>
        </w:rPr>
        <w:t xml:space="preserve">. </w:t>
      </w:r>
    </w:p>
    <w:p>
      <w:pPr>
        <w:rPr>
          <w:rFonts w:ascii="Times New Roman" w:hAnsi="Times New Roman" w:cs="Times New Roman"/>
          <w:lang w:val="en-GB"/>
        </w:rPr>
      </w:pPr>
    </w:p>
    <w:p>
      <w:pPr>
        <w:rPr>
          <w:rFonts w:ascii="Times New Roman" w:hAnsi="Times New Roman" w:cs="Times New Roman"/>
          <w:lang w:val="en-GB"/>
        </w:rPr>
      </w:pPr>
      <w:r>
        <w:rPr>
          <w:rFonts w:hint="eastAsia" w:ascii="Times New Roman" w:hAnsi="Times New Roman" w:cs="Times New Roman"/>
          <w:lang w:val="en-GB"/>
        </w:rPr>
        <w:drawing>
          <wp:inline distT="0" distB="0" distL="114300" distR="114300">
            <wp:extent cx="5039995" cy="1304290"/>
            <wp:effectExtent l="0" t="0" r="8255" b="10160"/>
            <wp:docPr id="3" name="图片 3" descr="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S1"/>
                    <pic:cNvPicPr>
                      <a:picLocks noChangeAspect="1"/>
                    </pic:cNvPicPr>
                  </pic:nvPicPr>
                  <pic:blipFill>
                    <a:blip r:embed="rId5"/>
                    <a:stretch>
                      <a:fillRect/>
                    </a:stretch>
                  </pic:blipFill>
                  <pic:spPr>
                    <a:xfrm>
                      <a:off x="0" y="0"/>
                      <a:ext cx="5039995" cy="1304290"/>
                    </a:xfrm>
                    <a:prstGeom prst="rect">
                      <a:avLst/>
                    </a:prstGeom>
                  </pic:spPr>
                </pic:pic>
              </a:graphicData>
            </a:graphic>
          </wp:inline>
        </w:drawing>
      </w:r>
    </w:p>
    <w:p>
      <w:pPr>
        <w:widowControl/>
        <w:spacing w:line="360" w:lineRule="auto"/>
        <w:rPr>
          <w:rFonts w:ascii="Times New Roman" w:hAnsi="Times New Roman" w:cs="Times New Roman"/>
          <w:b/>
          <w:bCs/>
          <w:color w:val="000000" w:themeColor="text1"/>
          <w:kern w:val="0"/>
          <w:szCs w:val="21"/>
          <w14:textFill>
            <w14:solidFill>
              <w14:schemeClr w14:val="tx1"/>
            </w14:solidFill>
          </w14:textFill>
        </w:rPr>
      </w:pPr>
      <w:bookmarkStart w:id="3" w:name="OLE_LINK63"/>
      <w:r>
        <w:rPr>
          <w:rFonts w:ascii="Times New Roman" w:hAnsi="Times New Roman" w:cs="Times New Roman"/>
          <w:b/>
          <w:bCs/>
          <w:color w:val="000000" w:themeColor="text1"/>
          <w:szCs w:val="21"/>
          <w14:textFill>
            <w14:solidFill>
              <w14:schemeClr w14:val="tx1"/>
            </w14:solidFill>
          </w14:textFill>
        </w:rPr>
        <w:t xml:space="preserve">Fig. S1 </w:t>
      </w:r>
      <w:r>
        <w:rPr>
          <w:rFonts w:ascii="Times New Roman" w:hAnsi="Times New Roman" w:cs="Times New Roman"/>
          <w:szCs w:val="21"/>
        </w:rPr>
        <w:t>The relationship between the RhB adsorption capacities of porous carbon products and the activation conditions including (a) temperature, (b) the ratio of NaOH to carbon, and (c) activation time using NaOH</w:t>
      </w:r>
      <w:bookmarkEnd w:id="3"/>
      <w:r>
        <w:rPr>
          <w:rFonts w:ascii="Times New Roman" w:hAnsi="Times New Roman" w:cs="Times New Roman"/>
          <w:szCs w:val="21"/>
        </w:rPr>
        <w:t xml:space="preserve"> as the activator. </w:t>
      </w:r>
    </w:p>
    <w:p>
      <w:pPr>
        <w:rPr>
          <w:rFonts w:ascii="Times New Roman" w:hAnsi="Times New Roman" w:cs="Times New Roman"/>
        </w:rPr>
      </w:pPr>
    </w:p>
    <w:p>
      <w:pPr>
        <w:spacing w:line="360" w:lineRule="auto"/>
        <w:jc w:val="center"/>
        <w:rPr>
          <w:rFonts w:ascii="Times New Roman" w:hAnsi="Times New Roman" w:cs="Times New Roman"/>
          <w:lang w:val="en-GB"/>
        </w:rPr>
      </w:pPr>
      <w:r>
        <w:rPr>
          <w:rFonts w:hint="eastAsia" w:ascii="Times New Roman" w:hAnsi="Times New Roman" w:cs="Times New Roman"/>
          <w:lang w:val="en-GB"/>
        </w:rPr>
        <w:drawing>
          <wp:inline distT="0" distB="0" distL="114300" distR="114300">
            <wp:extent cx="5039995" cy="2113280"/>
            <wp:effectExtent l="0" t="0" r="8255" b="1270"/>
            <wp:docPr id="2" name="图片 2" descr="Fig.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S2"/>
                    <pic:cNvPicPr>
                      <a:picLocks noChangeAspect="1"/>
                    </pic:cNvPicPr>
                  </pic:nvPicPr>
                  <pic:blipFill>
                    <a:blip r:embed="rId6"/>
                    <a:stretch>
                      <a:fillRect/>
                    </a:stretch>
                  </pic:blipFill>
                  <pic:spPr>
                    <a:xfrm>
                      <a:off x="0" y="0"/>
                      <a:ext cx="5039995" cy="2113280"/>
                    </a:xfrm>
                    <a:prstGeom prst="rect">
                      <a:avLst/>
                    </a:prstGeom>
                  </pic:spPr>
                </pic:pic>
              </a:graphicData>
            </a:graphic>
          </wp:inline>
        </w:drawing>
      </w:r>
    </w:p>
    <w:p>
      <w:pPr>
        <w:spacing w:line="360" w:lineRule="auto"/>
        <w:jc w:val="center"/>
        <w:rPr>
          <w:rStyle w:val="13"/>
          <w:rFonts w:ascii="Times New Roman" w:hAnsi="Times New Roman" w:cs="Times New Roman"/>
          <w:color w:val="auto"/>
          <w:sz w:val="21"/>
          <w:szCs w:val="22"/>
          <w:lang w:val="en-GB"/>
        </w:rPr>
      </w:pPr>
      <w:r>
        <w:rPr>
          <w:rFonts w:ascii="Times New Roman" w:hAnsi="Times New Roman" w:cs="Times New Roman"/>
          <w:b/>
          <w:bCs/>
          <w:lang w:val="en-GB"/>
        </w:rPr>
        <w:t>Fig. S</w:t>
      </w:r>
      <w:r>
        <w:rPr>
          <w:rFonts w:ascii="Times New Roman" w:hAnsi="Times New Roman" w:cs="Times New Roman"/>
          <w:b/>
          <w:bCs/>
        </w:rPr>
        <w:t>2</w:t>
      </w:r>
      <w:r>
        <w:rPr>
          <w:rFonts w:ascii="Times New Roman" w:hAnsi="Times New Roman" w:cs="Times New Roman"/>
          <w:lang w:val="en-GB"/>
        </w:rPr>
        <w:t xml:space="preserve"> The (a) C1s and (b) O1s </w:t>
      </w:r>
      <w:r>
        <w:rPr>
          <w:rFonts w:hint="eastAsia" w:ascii="Times New Roman" w:hAnsi="Times New Roman" w:cs="Times New Roman"/>
        </w:rPr>
        <w:t xml:space="preserve">XPS </w:t>
      </w:r>
      <w:r>
        <w:rPr>
          <w:rFonts w:ascii="Times New Roman" w:hAnsi="Times New Roman" w:cs="Times New Roman"/>
          <w:lang w:val="en-GB"/>
        </w:rPr>
        <w:t>spectra of PCQL.</w:t>
      </w:r>
    </w:p>
    <w:p>
      <w:pPr>
        <w:widowControl/>
        <w:spacing w:line="360" w:lineRule="auto"/>
        <w:jc w:val="center"/>
        <w:rPr>
          <w:rStyle w:val="13"/>
          <w:rFonts w:ascii="Times New Roman" w:hAnsi="Times New Roman"/>
          <w:szCs w:val="21"/>
          <w:lang w:val="en-GB"/>
        </w:rPr>
      </w:pPr>
    </w:p>
    <w:p>
      <w:pPr>
        <w:widowControl/>
        <w:spacing w:line="360" w:lineRule="auto"/>
        <w:rPr>
          <w:rStyle w:val="13"/>
          <w:rFonts w:ascii="Times New Roman" w:hAnsi="Times New Roman"/>
          <w:b/>
          <w:bCs/>
          <w:sz w:val="21"/>
          <w:szCs w:val="21"/>
        </w:rPr>
      </w:pPr>
      <w:r>
        <w:rPr>
          <w:rStyle w:val="13"/>
          <w:rFonts w:hint="eastAsia" w:ascii="Times New Roman" w:hAnsi="Times New Roman"/>
          <w:b/>
          <w:bCs/>
          <w:sz w:val="21"/>
          <w:szCs w:val="21"/>
        </w:rPr>
        <w:drawing>
          <wp:inline distT="0" distB="0" distL="114300" distR="114300">
            <wp:extent cx="5039995" cy="1947545"/>
            <wp:effectExtent l="0" t="0" r="8255" b="14605"/>
            <wp:docPr id="1" name="图片 1" descr="Fig.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 S3"/>
                    <pic:cNvPicPr>
                      <a:picLocks noChangeAspect="1"/>
                    </pic:cNvPicPr>
                  </pic:nvPicPr>
                  <pic:blipFill>
                    <a:blip r:embed="rId7"/>
                    <a:stretch>
                      <a:fillRect/>
                    </a:stretch>
                  </pic:blipFill>
                  <pic:spPr>
                    <a:xfrm>
                      <a:off x="0" y="0"/>
                      <a:ext cx="5039995" cy="1947545"/>
                    </a:xfrm>
                    <a:prstGeom prst="rect">
                      <a:avLst/>
                    </a:prstGeom>
                  </pic:spPr>
                </pic:pic>
              </a:graphicData>
            </a:graphic>
          </wp:inline>
        </w:drawing>
      </w:r>
    </w:p>
    <w:p>
      <w:pPr>
        <w:widowControl/>
        <w:spacing w:line="360" w:lineRule="auto"/>
        <w:rPr>
          <w:rFonts w:ascii="Times New Roman" w:hAnsi="Times New Roman" w:cs="Times New Roman"/>
          <w:szCs w:val="21"/>
        </w:rPr>
      </w:pPr>
      <w:r>
        <w:rPr>
          <w:rStyle w:val="13"/>
          <w:rFonts w:hint="eastAsia" w:ascii="Times New Roman" w:hAnsi="Times New Roman"/>
          <w:b/>
          <w:bCs/>
          <w:sz w:val="21"/>
          <w:szCs w:val="21"/>
        </w:rPr>
        <w:t>Fig. S</w:t>
      </w:r>
      <w:r>
        <w:rPr>
          <w:rStyle w:val="13"/>
          <w:rFonts w:ascii="Times New Roman" w:hAnsi="Times New Roman"/>
          <w:b/>
          <w:bCs/>
          <w:sz w:val="21"/>
          <w:szCs w:val="21"/>
        </w:rPr>
        <w:t>3</w:t>
      </w:r>
      <w:r>
        <w:rPr>
          <w:rStyle w:val="13"/>
          <w:rFonts w:hint="eastAsia" w:ascii="Times New Roman" w:hAnsi="Times New Roman"/>
          <w:sz w:val="21"/>
          <w:szCs w:val="21"/>
        </w:rPr>
        <w:t xml:space="preserve"> </w:t>
      </w:r>
      <w:r>
        <w:rPr>
          <w:rFonts w:ascii="Times New Roman" w:hAnsi="Times New Roman" w:cs="Times New Roman"/>
          <w:szCs w:val="21"/>
        </w:rPr>
        <w:t xml:space="preserve">(a) </w:t>
      </w:r>
      <w:r>
        <w:rPr>
          <w:rFonts w:hint="eastAsia" w:ascii="Times New Roman" w:hAnsi="Times New Roman" w:cs="Times New Roman"/>
          <w:szCs w:val="21"/>
        </w:rPr>
        <w:t>the initial pH and finial pH of NaCl aqueous solutions after PC</w:t>
      </w:r>
      <w:r>
        <w:rPr>
          <w:rFonts w:ascii="Times New Roman" w:hAnsi="Times New Roman" w:cs="Times New Roman"/>
          <w:szCs w:val="21"/>
        </w:rPr>
        <w:t>QL</w:t>
      </w:r>
      <w:r>
        <w:rPr>
          <w:rFonts w:hint="eastAsia" w:ascii="Times New Roman" w:hAnsi="Times New Roman" w:cs="Times New Roman"/>
          <w:szCs w:val="21"/>
        </w:rPr>
        <w:t xml:space="preserve"> samples were added</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eastAsia="微软雅黑" w:cs="Times New Roman"/>
          <w:color w:val="000000" w:themeColor="text1"/>
          <w:szCs w:val="21"/>
          <w:shd w:val="clear" w:color="auto" w:fill="FFFFFF"/>
          <w14:textFill>
            <w14:solidFill>
              <w14:schemeClr w14:val="tx1"/>
            </w14:solidFill>
          </w14:textFill>
        </w:rPr>
        <w:t xml:space="preserve">(b) </w:t>
      </w:r>
      <w:r>
        <w:rPr>
          <w:rFonts w:ascii="Times New Roman" w:hAnsi="Times New Roman" w:cs="Times New Roman"/>
          <w:szCs w:val="21"/>
        </w:rPr>
        <w:t>Effect of pH on the adsorption capacit</w:t>
      </w:r>
      <w:r>
        <w:rPr>
          <w:rFonts w:hint="eastAsia" w:ascii="Times New Roman" w:hAnsi="Times New Roman" w:cs="Times New Roman"/>
          <w:szCs w:val="21"/>
        </w:rPr>
        <w:t>ies</w:t>
      </w:r>
      <w:r>
        <w:rPr>
          <w:rFonts w:ascii="Times New Roman" w:hAnsi="Times New Roman" w:cs="Times New Roman"/>
          <w:szCs w:val="21"/>
        </w:rPr>
        <w:t xml:space="preserve"> of PCQL toward RhB</w:t>
      </w:r>
      <w:r>
        <w:rPr>
          <w:rFonts w:hint="eastAsia" w:ascii="Times New Roman" w:hAnsi="Times New Roman" w:cs="Times New Roman"/>
          <w:szCs w:val="21"/>
        </w:rPr>
        <w:t xml:space="preserve">. </w:t>
      </w:r>
    </w:p>
    <w:p>
      <w:pPr>
        <w:widowControl/>
        <w:jc w:val="left"/>
        <w:rPr>
          <w:rFonts w:ascii="Times New Roman" w:hAnsi="Times New Roman" w:cs="Times New Roman"/>
          <w:lang w:val="en-GB"/>
        </w:rPr>
      </w:pPr>
    </w:p>
    <w:p>
      <w:pPr>
        <w:widowControl/>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Table S</w:t>
      </w:r>
      <w:r>
        <w:rPr>
          <w:rFonts w:hint="eastAsia" w:ascii="Times New Roman" w:hAnsi="Times New Roman" w:cs="Times New Roman"/>
          <w:b/>
          <w:bCs/>
          <w:color w:val="000000" w:themeColor="text1"/>
          <w:szCs w:val="21"/>
          <w14:textFill>
            <w14:solidFill>
              <w14:schemeClr w14:val="tx1"/>
            </w14:solidFill>
          </w14:textFill>
        </w:rPr>
        <w:t>1</w:t>
      </w:r>
      <w:r>
        <w:rPr>
          <w:rFonts w:ascii="Times New Roman" w:hAnsi="Times New Roman" w:cs="Times New Roman"/>
          <w:b/>
          <w:bCs/>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Parameters of adsorption kinetic models for RhB adsorption</w:t>
      </w:r>
      <w:r>
        <w:rPr>
          <w:rFonts w:hint="eastAsia" w:ascii="Times New Roman" w:hAnsi="Times New Roman" w:cs="Times New Roman"/>
          <w:color w:val="000000" w:themeColor="text1"/>
          <w:szCs w:val="21"/>
          <w14:textFill>
            <w14:solidFill>
              <w14:schemeClr w14:val="tx1"/>
            </w14:solidFill>
          </w14:textFill>
        </w:rPr>
        <w:t xml:space="preserve"> on PC</w:t>
      </w:r>
      <w:r>
        <w:rPr>
          <w:rFonts w:ascii="Times New Roman" w:hAnsi="Times New Roman" w:cs="Times New Roman"/>
          <w:color w:val="000000" w:themeColor="text1"/>
          <w:szCs w:val="21"/>
          <w14:textFill>
            <w14:solidFill>
              <w14:schemeClr w14:val="tx1"/>
            </w14:solidFill>
          </w14:textFill>
        </w:rPr>
        <w:t>QL.</w:t>
      </w:r>
    </w:p>
    <w:tbl>
      <w:tblPr>
        <w:tblStyle w:val="6"/>
        <w:tblW w:w="80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1677"/>
        <w:gridCol w:w="1333"/>
        <w:gridCol w:w="813"/>
        <w:gridCol w:w="850"/>
        <w:gridCol w:w="851"/>
        <w:gridCol w:w="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 w:hRule="atLeast"/>
        </w:trPr>
        <w:tc>
          <w:tcPr>
            <w:tcW w:w="1701" w:type="dxa"/>
            <w:vMerge w:val="restart"/>
            <w:tcBorders>
              <w:top w:val="single" w:color="auto" w:sz="4" w:space="0"/>
              <w:bottom w:val="single" w:color="auto" w:sz="4" w:space="0"/>
            </w:tcBorders>
            <w:vAlign w:val="center"/>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Times New Roman" w:cs="Times New Roman"/>
                <w:kern w:val="0"/>
                <w:sz w:val="15"/>
                <w:szCs w:val="15"/>
                <w:lang w:bidi="ar"/>
              </w:rPr>
              <w:t>Models</w:t>
            </w:r>
          </w:p>
        </w:tc>
        <w:tc>
          <w:tcPr>
            <w:tcW w:w="1677" w:type="dxa"/>
            <w:vMerge w:val="restart"/>
            <w:tcBorders>
              <w:top w:val="single" w:color="auto" w:sz="4" w:space="0"/>
              <w:bottom w:val="single" w:color="auto" w:sz="4" w:space="0"/>
            </w:tcBorders>
            <w:vAlign w:val="center"/>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Equation</w:t>
            </w:r>
          </w:p>
        </w:tc>
        <w:tc>
          <w:tcPr>
            <w:tcW w:w="1333" w:type="dxa"/>
            <w:vMerge w:val="restart"/>
            <w:tcBorders>
              <w:top w:val="single" w:color="auto" w:sz="4" w:space="0"/>
              <w:bottom w:val="single" w:color="auto" w:sz="4" w:space="0"/>
            </w:tcBorders>
            <w:vAlign w:val="center"/>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3364" w:type="dxa"/>
            <w:gridSpan w:val="4"/>
            <w:tcBorders>
              <w:top w:val="single" w:color="auto" w:sz="4" w:space="0"/>
              <w:bottom w:val="single" w:color="auto" w:sz="4" w:space="0"/>
            </w:tcBorders>
            <w:vAlign w:val="center"/>
          </w:tcPr>
          <w:p>
            <w:pPr>
              <w:widowControl/>
              <w:jc w:val="cente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i/>
                <w:iCs/>
                <w:color w:val="000000" w:themeColor="text1"/>
                <w:kern w:val="0"/>
                <w:sz w:val="15"/>
                <w:szCs w:val="15"/>
                <w:shd w:val="clear" w:color="auto" w:fill="FFFFFF"/>
                <w14:textFill>
                  <w14:solidFill>
                    <w14:schemeClr w14:val="tx1"/>
                  </w14:solidFill>
                </w14:textFill>
              </w:rPr>
              <w:t>C</w:t>
            </w:r>
            <w:r>
              <w:rPr>
                <w:rFonts w:ascii="Times New Roman" w:hAnsi="Times New Roman" w:eastAsia="等线" w:cs="Times New Roman"/>
                <w:color w:val="000000" w:themeColor="text1"/>
                <w:kern w:val="0"/>
                <w:sz w:val="15"/>
                <w:szCs w:val="15"/>
                <w:shd w:val="clear" w:color="auto" w:fill="FFFFFF"/>
                <w:vertAlign w:val="subscript"/>
                <w14:textFill>
                  <w14:solidFill>
                    <w14:schemeClr w14:val="tx1"/>
                  </w14:solidFill>
                </w14:textFill>
              </w:rPr>
              <w:t>o</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(mg L</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701" w:type="dxa"/>
            <w:vMerge w:val="continue"/>
            <w:tcBorders>
              <w:bottom w:val="single" w:color="auto" w:sz="4" w:space="0"/>
            </w:tcBorders>
            <w:vAlign w:val="center"/>
          </w:tcPr>
          <w:p>
            <w:pPr>
              <w:widowControl/>
              <w:jc w:val="left"/>
              <w:rPr>
                <w:rFonts w:ascii="Times New Roman" w:hAnsi="Times New Roman" w:eastAsia="Times New Roman" w:cs="Times New Roman"/>
                <w:kern w:val="0"/>
                <w:sz w:val="15"/>
                <w:szCs w:val="15"/>
                <w:lang w:bidi="ar"/>
              </w:rPr>
            </w:pPr>
          </w:p>
        </w:tc>
        <w:tc>
          <w:tcPr>
            <w:tcW w:w="1677" w:type="dxa"/>
            <w:vMerge w:val="continue"/>
            <w:tcBorders>
              <w:bottom w:val="single" w:color="auto" w:sz="4" w:space="0"/>
            </w:tcBorders>
            <w:vAlign w:val="center"/>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333" w:type="dxa"/>
            <w:vMerge w:val="continue"/>
            <w:tcBorders>
              <w:bottom w:val="single" w:color="auto" w:sz="4" w:space="0"/>
            </w:tcBorders>
            <w:vAlign w:val="center"/>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813" w:type="dxa"/>
            <w:tcBorders>
              <w:top w:val="single" w:color="auto" w:sz="4" w:space="0"/>
              <w:bottom w:val="single" w:color="auto" w:sz="4" w:space="0"/>
            </w:tcBorders>
            <w:vAlign w:val="center"/>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100</w:t>
            </w:r>
          </w:p>
        </w:tc>
        <w:tc>
          <w:tcPr>
            <w:tcW w:w="850" w:type="dxa"/>
            <w:tcBorders>
              <w:top w:val="single" w:color="auto" w:sz="4" w:space="0"/>
              <w:bottom w:val="single" w:color="auto" w:sz="4" w:space="0"/>
            </w:tcBorders>
            <w:vAlign w:val="center"/>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200</w:t>
            </w:r>
          </w:p>
        </w:tc>
        <w:tc>
          <w:tcPr>
            <w:tcW w:w="851" w:type="dxa"/>
            <w:tcBorders>
              <w:top w:val="single" w:color="auto" w:sz="4" w:space="0"/>
              <w:bottom w:val="single" w:color="auto" w:sz="4" w:space="0"/>
            </w:tcBorders>
            <w:vAlign w:val="center"/>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300</w:t>
            </w:r>
          </w:p>
        </w:tc>
        <w:tc>
          <w:tcPr>
            <w:tcW w:w="850" w:type="dxa"/>
            <w:tcBorders>
              <w:top w:val="single" w:color="auto" w:sz="4" w:space="0"/>
              <w:bottom w:val="single" w:color="auto" w:sz="4" w:space="0"/>
            </w:tcBorders>
            <w:vAlign w:val="center"/>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vMerge w:val="restart"/>
            <w:tcBorders>
              <w:top w:val="single" w:color="auto" w:sz="4" w:space="0"/>
            </w:tcBorders>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Pseudo-first-order</w:t>
            </w:r>
          </w:p>
        </w:tc>
        <w:tc>
          <w:tcPr>
            <w:tcW w:w="1677" w:type="dxa"/>
            <w:vMerge w:val="restart"/>
            <w:tcBorders>
              <w:top w:val="single" w:color="auto" w:sz="4" w:space="0"/>
            </w:tcBorders>
          </w:tcPr>
          <w:p>
            <w:pPr>
              <w:widowControl/>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m:oMathPara>
              <m:oMathParaPr>
                <m:jc m:val="left"/>
              </m:oMathParaPr>
              <m:oMath>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q</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t</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m:t>
                </m:r>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q</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e</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(1−</m:t>
                </m:r>
                <m:sSup>
                  <m:sSup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p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e</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p>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m:t>
                    </m:r>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k</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1</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t</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p>
                </m:sSup>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m:t>
                </m:r>
              </m:oMath>
            </m:oMathPara>
          </w:p>
        </w:tc>
        <w:tc>
          <w:tcPr>
            <w:tcW w:w="1333" w:type="dxa"/>
            <w:tcBorders>
              <w:top w:val="single" w:color="auto" w:sz="4" w:space="0"/>
            </w:tcBorders>
            <w:vAlign w:val="center"/>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i/>
                <w:iCs/>
                <w:color w:val="000000" w:themeColor="text1"/>
                <w:kern w:val="0"/>
                <w:sz w:val="15"/>
                <w:szCs w:val="15"/>
                <w:shd w:val="clear" w:color="auto" w:fill="FFFFFF"/>
                <w14:textFill>
                  <w14:solidFill>
                    <w14:schemeClr w14:val="tx1"/>
                  </w14:solidFill>
                </w14:textFill>
              </w:rPr>
              <w:t>k</w:t>
            </w:r>
            <w:r>
              <w:rPr>
                <w:rFonts w:ascii="Times New Roman" w:hAnsi="Times New Roman" w:eastAsia="等线" w:cs="Times New Roman"/>
                <w:color w:val="000000" w:themeColor="text1"/>
                <w:kern w:val="0"/>
                <w:sz w:val="15"/>
                <w:szCs w:val="15"/>
                <w:shd w:val="clear" w:color="auto" w:fill="FFFFFF"/>
                <w:vertAlign w:val="sub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(min</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w:t>
            </w:r>
          </w:p>
        </w:tc>
        <w:tc>
          <w:tcPr>
            <w:tcW w:w="813" w:type="dxa"/>
            <w:tcBorders>
              <w:top w:val="single" w:color="auto" w:sz="4" w:space="0"/>
            </w:tcBorders>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0.15</w:t>
            </w:r>
          </w:p>
        </w:tc>
        <w:tc>
          <w:tcPr>
            <w:tcW w:w="850" w:type="dxa"/>
            <w:tcBorders>
              <w:top w:val="single" w:color="auto" w:sz="4" w:space="0"/>
            </w:tcBorders>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0.14</w:t>
            </w:r>
          </w:p>
        </w:tc>
        <w:tc>
          <w:tcPr>
            <w:tcW w:w="851" w:type="dxa"/>
            <w:tcBorders>
              <w:top w:val="single" w:color="auto" w:sz="4" w:space="0"/>
            </w:tcBorders>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0.15</w:t>
            </w:r>
          </w:p>
        </w:tc>
        <w:tc>
          <w:tcPr>
            <w:tcW w:w="850" w:type="dxa"/>
            <w:tcBorders>
              <w:top w:val="single" w:color="auto" w:sz="4" w:space="0"/>
            </w:tcBorders>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i/>
                <w:iCs/>
                <w:color w:val="000000" w:themeColor="text1"/>
                <w:kern w:val="0"/>
                <w:sz w:val="15"/>
                <w:szCs w:val="15"/>
                <w:shd w:val="clear" w:color="auto" w:fill="FFFFFF"/>
                <w14:textFill>
                  <w14:solidFill>
                    <w14:schemeClr w14:val="tx1"/>
                  </w14:solidFill>
                </w14:textFill>
              </w:rPr>
              <w:t>q</w:t>
            </w:r>
            <w:r>
              <w:rPr>
                <w:rFonts w:ascii="Times New Roman" w:hAnsi="Times New Roman" w:eastAsia="等线" w:cs="Times New Roman"/>
                <w:i/>
                <w:iCs/>
                <w:color w:val="000000" w:themeColor="text1"/>
                <w:kern w:val="0"/>
                <w:sz w:val="15"/>
                <w:szCs w:val="15"/>
                <w:shd w:val="clear" w:color="auto" w:fill="FFFFFF"/>
                <w:vertAlign w:val="subscript"/>
                <w14:textFill>
                  <w14:solidFill>
                    <w14:schemeClr w14:val="tx1"/>
                  </w14:solidFill>
                </w14:textFill>
              </w:rPr>
              <w:t>e</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(mg g</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867.0</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1108.7</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1195.3</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1259.9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Times New Roman" w:cs="Times New Roman"/>
                <w:i/>
                <w:iCs/>
                <w:kern w:val="0"/>
                <w:sz w:val="15"/>
                <w:szCs w:val="15"/>
              </w:rPr>
              <w:t>R</w:t>
            </w:r>
            <w:r>
              <w:rPr>
                <w:rFonts w:ascii="Times New Roman" w:hAnsi="Times New Roman" w:eastAsia="Times New Roman" w:cs="Times New Roman"/>
                <w:kern w:val="0"/>
                <w:sz w:val="15"/>
                <w:szCs w:val="15"/>
                <w:vertAlign w:val="superscript"/>
              </w:rPr>
              <w:t>2</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0.9925</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0.9897</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0.9895</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Malgun Gothic" w:cs="Times New Roman"/>
                <w:i/>
                <w:iCs/>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i/>
                <w:iCs/>
                <w:kern w:val="0"/>
                <w:sz w:val="15"/>
                <w:szCs w:val="15"/>
              </w:rPr>
              <w:t>SSE</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508.48</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1143.68</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1354.07</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755.13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vMerge w:val="restart"/>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Pseudo-second-order</w:t>
            </w:r>
          </w:p>
        </w:tc>
        <w:tc>
          <w:tcPr>
            <w:tcW w:w="1677" w:type="dxa"/>
            <w:vMerge w:val="restart"/>
          </w:tcPr>
          <w:p>
            <w:pPr>
              <w:widowControl/>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m:oMathPara>
              <m:oMathParaPr>
                <m:jc m:val="left"/>
              </m:oMathParaPr>
              <m:oMath>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q</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t</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m:t>
                </m:r>
                <m:f>
                  <m:f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fPr>
                  <m:num>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k</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2</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sSubSup>
                      <m:sSubSup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SupPr>
                      <m:e>
                        <m:r>
                          <m:rPr/>
                          <w:rPr>
                            <w:rFonts w:hint="default" w:ascii="Cambria Math" w:hAnsi="Cambria Math" w:eastAsia="宋体" w:cs="Times New Roman"/>
                            <w:color w:val="000000" w:themeColor="text1"/>
                            <w:kern w:val="0"/>
                            <w:sz w:val="15"/>
                            <w:szCs w:val="15"/>
                            <w:shd w:val="clear" w:color="auto" w:fill="FFFFFF"/>
                            <w:lang w:val="en-US" w:eastAsia="zh-CN"/>
                            <w14:textFill>
                              <w14:solidFill>
                                <w14:schemeClr w14:val="tx1"/>
                              </w14:solidFill>
                            </w14:textFill>
                          </w:rPr>
                          <m:t>q</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e</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up>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2</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p>
                    </m:sSubSup>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t</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num>
                  <m:den>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1+</m:t>
                    </m:r>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k</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2</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hint="default" w:ascii="Cambria Math" w:hAnsi="Cambria Math" w:eastAsia="宋体" w:cs="Times New Roman"/>
                            <w:color w:val="000000" w:themeColor="text1"/>
                            <w:kern w:val="0"/>
                            <w:sz w:val="15"/>
                            <w:szCs w:val="15"/>
                            <w:shd w:val="clear" w:color="auto" w:fill="FFFFFF"/>
                            <w:lang w:val="en-US" w:eastAsia="zh-CN"/>
                            <w14:textFill>
                              <w14:solidFill>
                                <w14:schemeClr w14:val="tx1"/>
                              </w14:solidFill>
                            </w14:textFill>
                          </w:rPr>
                          <m:t>q</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e</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t</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den>
                </m:f>
              </m:oMath>
            </m:oMathPara>
          </w:p>
        </w:tc>
        <w:tc>
          <w:tcPr>
            <w:tcW w:w="1333" w:type="dxa"/>
            <w:vAlign w:val="center"/>
          </w:tcPr>
          <w:p>
            <w:pPr>
              <w:widowControl/>
              <w:tabs>
                <w:tab w:val="left" w:pos="600"/>
              </w:tabs>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i/>
                <w:iCs/>
                <w:color w:val="000000" w:themeColor="text1"/>
                <w:kern w:val="0"/>
                <w:sz w:val="15"/>
                <w:szCs w:val="15"/>
                <w:shd w:val="clear" w:color="auto" w:fill="FFFFFF"/>
                <w14:textFill>
                  <w14:solidFill>
                    <w14:schemeClr w14:val="tx1"/>
                  </w14:solidFill>
                </w14:textFill>
              </w:rPr>
              <w:t>k</w:t>
            </w:r>
            <w:r>
              <w:rPr>
                <w:rFonts w:ascii="Times New Roman" w:hAnsi="Times New Roman" w:eastAsia="等线" w:cs="Times New Roman"/>
                <w:color w:val="000000" w:themeColor="text1"/>
                <w:kern w:val="0"/>
                <w:sz w:val="15"/>
                <w:szCs w:val="15"/>
                <w:shd w:val="clear" w:color="auto" w:fill="FFFFFF"/>
                <w:vertAlign w:val="subscript"/>
                <w14:textFill>
                  <w14:solidFill>
                    <w14:schemeClr w14:val="tx1"/>
                  </w14:solidFill>
                </w14:textFill>
              </w:rPr>
              <w:t>2</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(g mg</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min</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3.6×10</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-4</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2.4×10</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-4</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2.5×10</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-4</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3.8×10</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i/>
                <w:iCs/>
                <w:color w:val="000000" w:themeColor="text1"/>
                <w:kern w:val="0"/>
                <w:sz w:val="15"/>
                <w:szCs w:val="15"/>
                <w:shd w:val="clear" w:color="auto" w:fill="FFFFFF"/>
                <w14:textFill>
                  <w14:solidFill>
                    <w14:schemeClr w14:val="tx1"/>
                  </w14:solidFill>
                </w14:textFill>
              </w:rPr>
              <w:t>q</w:t>
            </w:r>
            <w:r>
              <w:rPr>
                <w:rFonts w:ascii="Times New Roman" w:hAnsi="Times New Roman" w:eastAsia="等线" w:cs="Times New Roman"/>
                <w:i/>
                <w:iCs/>
                <w:color w:val="000000" w:themeColor="text1"/>
                <w:kern w:val="0"/>
                <w:sz w:val="15"/>
                <w:szCs w:val="15"/>
                <w:shd w:val="clear" w:color="auto" w:fill="FFFFFF"/>
                <w:vertAlign w:val="subscript"/>
                <w14:textFill>
                  <w14:solidFill>
                    <w14:schemeClr w14:val="tx1"/>
                  </w14:solidFill>
                </w14:textFill>
              </w:rPr>
              <w:t>e</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(mg g</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907.3</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1168.1</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1254.2</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1302.6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Times New Roman" w:cs="Times New Roman"/>
                <w:i/>
                <w:iCs/>
                <w:kern w:val="0"/>
                <w:sz w:val="15"/>
                <w:szCs w:val="15"/>
              </w:rPr>
              <w:t>R</w:t>
            </w:r>
            <w:r>
              <w:rPr>
                <w:rFonts w:ascii="Times New Roman" w:hAnsi="Times New Roman" w:eastAsia="Times New Roman" w:cs="Times New Roman"/>
                <w:kern w:val="0"/>
                <w:sz w:val="15"/>
                <w:szCs w:val="15"/>
                <w:vertAlign w:val="superscript"/>
              </w:rPr>
              <w:t>2</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0.9998</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0.9999</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0.9999</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Malgun Gothic" w:cs="Times New Roman"/>
                <w:i/>
                <w:iCs/>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i/>
                <w:iCs/>
                <w:kern w:val="0"/>
                <w:sz w:val="15"/>
                <w:szCs w:val="15"/>
              </w:rPr>
              <w:t>SSE</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10.24</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7.53</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12.61</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1701" w:type="dxa"/>
            <w:vMerge w:val="restart"/>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Intra-particle diffusion</w:t>
            </w:r>
          </w:p>
        </w:tc>
        <w:tc>
          <w:tcPr>
            <w:tcW w:w="1677" w:type="dxa"/>
            <w:vMerge w:val="restart"/>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微软雅黑" w:cs="Times New Roman"/>
                <w:color w:val="000000" w:themeColor="text1"/>
                <w:kern w:val="0"/>
                <w:position w:val="-12"/>
                <w:sz w:val="15"/>
                <w:szCs w:val="15"/>
                <w:shd w:val="clear" w:color="auto" w:fill="FFFFFF"/>
                <w14:textFill>
                  <w14:solidFill>
                    <w14:schemeClr w14:val="tx1"/>
                  </w14:solidFill>
                </w14:textFill>
              </w:rPr>
              <w:object>
                <v:shape id="_x0000_i1025" o:spt="75" type="#_x0000_t75" style="height:13.25pt;width:44.15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p>
          <w:p>
            <w:pPr>
              <w:jc w:val="left"/>
              <w:rPr>
                <w:rFonts w:ascii="Times New Roman" w:hAnsi="Times New Roman" w:eastAsia="等线" w:cs="Times New Roman"/>
                <w:kern w:val="0"/>
                <w:sz w:val="15"/>
                <w:szCs w:val="15"/>
              </w:rPr>
            </w:pPr>
          </w:p>
        </w:tc>
        <w:tc>
          <w:tcPr>
            <w:tcW w:w="1333" w:type="dxa"/>
            <w:vAlign w:val="center"/>
          </w:tcPr>
          <w:p>
            <w:pPr>
              <w:jc w:val="left"/>
              <w:rPr>
                <w:rFonts w:ascii="Times New Roman" w:hAnsi="Times New Roman" w:eastAsia="宋体" w:cs="Times New Roman"/>
                <w:kern w:val="0"/>
                <w:sz w:val="15"/>
                <w:szCs w:val="15"/>
              </w:rPr>
            </w:pPr>
            <w:r>
              <w:rPr>
                <w:rFonts w:ascii="Times New Roman" w:hAnsi="Times New Roman" w:eastAsia="宋体" w:cs="Times New Roman"/>
                <w:i/>
                <w:iCs/>
                <w:kern w:val="0"/>
                <w:sz w:val="15"/>
                <w:szCs w:val="15"/>
              </w:rPr>
              <w:t>k</w:t>
            </w:r>
            <w:r>
              <w:rPr>
                <w:rFonts w:hint="eastAsia" w:ascii="Times New Roman" w:hAnsi="Times New Roman" w:eastAsia="宋体" w:cs="Times New Roman"/>
                <w:i/>
                <w:iCs/>
                <w:kern w:val="0"/>
                <w:sz w:val="15"/>
                <w:szCs w:val="15"/>
                <w:vertAlign w:val="subscript"/>
              </w:rPr>
              <w:t>i</w:t>
            </w:r>
            <w:r>
              <w:rPr>
                <w:rFonts w:ascii="Times New Roman" w:hAnsi="Times New Roman" w:eastAsia="宋体" w:cs="Times New Roman"/>
                <w:kern w:val="0"/>
                <w:sz w:val="15"/>
                <w:szCs w:val="15"/>
                <w:vertAlign w:val="subscript"/>
              </w:rPr>
              <w:t>,1</w:t>
            </w:r>
            <w:r>
              <w:rPr>
                <w:rFonts w:ascii="Times New Roman" w:hAnsi="Times New Roman" w:eastAsia="宋体" w:cs="Times New Roman"/>
                <w:kern w:val="0"/>
                <w:sz w:val="15"/>
                <w:szCs w:val="15"/>
              </w:rPr>
              <w:t xml:space="preserve"> (L g</w:t>
            </w:r>
            <w:r>
              <w:rPr>
                <w:rFonts w:ascii="Times New Roman" w:hAnsi="Times New Roman" w:eastAsia="宋体" w:cs="Times New Roman"/>
                <w:kern w:val="0"/>
                <w:sz w:val="15"/>
                <w:szCs w:val="15"/>
                <w:vertAlign w:val="superscript"/>
              </w:rPr>
              <w:t>-1</w:t>
            </w:r>
            <w:r>
              <w:rPr>
                <w:rFonts w:ascii="Times New Roman" w:hAnsi="Times New Roman" w:eastAsia="宋体" w:cs="Times New Roman"/>
                <w:kern w:val="0"/>
                <w:sz w:val="15"/>
                <w:szCs w:val="15"/>
              </w:rPr>
              <w:t>)</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183.92</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230.40</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252.33</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278.23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 w:hRule="atLeast"/>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等线" w:cs="Times New Roman"/>
                <w:i/>
                <w:iCs/>
                <w:kern w:val="0"/>
                <w:sz w:val="15"/>
                <w:szCs w:val="15"/>
              </w:rPr>
            </w:pPr>
            <w:r>
              <w:rPr>
                <w:rFonts w:ascii="Times New Roman" w:hAnsi="Times New Roman" w:eastAsia="等线" w:cs="Times New Roman"/>
                <w:i/>
                <w:iCs/>
                <w:kern w:val="0"/>
                <w:sz w:val="15"/>
                <w:szCs w:val="15"/>
              </w:rPr>
              <w:t>C</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25.05</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28.91</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35.38</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45.89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 w:hRule="atLeast"/>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等线" w:cs="Times New Roman"/>
                <w:kern w:val="0"/>
                <w:sz w:val="15"/>
                <w:szCs w:val="15"/>
              </w:rPr>
            </w:pPr>
            <w:r>
              <w:rPr>
                <w:rFonts w:ascii="Times New Roman" w:hAnsi="Times New Roman" w:eastAsia="等线" w:cs="Times New Roman"/>
                <w:i/>
                <w:iCs/>
                <w:kern w:val="0"/>
                <w:sz w:val="15"/>
                <w:szCs w:val="15"/>
              </w:rPr>
              <w:t>R</w:t>
            </w:r>
            <w:r>
              <w:rPr>
                <w:rFonts w:ascii="Times New Roman" w:hAnsi="Times New Roman" w:eastAsia="等线" w:cs="Times New Roman"/>
                <w:kern w:val="0"/>
                <w:sz w:val="15"/>
                <w:szCs w:val="15"/>
                <w:vertAlign w:val="superscript"/>
              </w:rPr>
              <w:t>2</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0.9371</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0.9464</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0.9335</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宋体" w:cs="Times New Roman"/>
                <w:i/>
                <w:iCs/>
                <w:kern w:val="0"/>
                <w:sz w:val="15"/>
                <w:szCs w:val="15"/>
              </w:rPr>
            </w:pPr>
            <w:r>
              <w:rPr>
                <w:rFonts w:ascii="Times New Roman" w:hAnsi="Times New Roman" w:eastAsia="宋体" w:cs="Times New Roman"/>
                <w:i/>
                <w:iCs/>
                <w:kern w:val="0"/>
                <w:sz w:val="15"/>
                <w:szCs w:val="15"/>
              </w:rPr>
              <w:t>SSE</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11601.31</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15448.38</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23139.13</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38921.74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kern w:val="0"/>
                <w:sz w:val="15"/>
                <w:szCs w:val="15"/>
              </w:rPr>
            </w:pPr>
            <w:r>
              <w:rPr>
                <w:rFonts w:ascii="Times New Roman" w:hAnsi="Times New Roman" w:eastAsia="宋体" w:cs="Times New Roman"/>
                <w:i/>
                <w:iCs/>
                <w:kern w:val="0"/>
                <w:sz w:val="15"/>
                <w:szCs w:val="15"/>
              </w:rPr>
              <w:t>k</w:t>
            </w:r>
            <w:r>
              <w:rPr>
                <w:rFonts w:hint="eastAsia" w:ascii="Times New Roman" w:hAnsi="Times New Roman" w:eastAsia="宋体" w:cs="Times New Roman"/>
                <w:i/>
                <w:iCs/>
                <w:kern w:val="0"/>
                <w:sz w:val="15"/>
                <w:szCs w:val="15"/>
                <w:vertAlign w:val="subscript"/>
              </w:rPr>
              <w:t>i</w:t>
            </w:r>
            <w:r>
              <w:rPr>
                <w:rFonts w:ascii="Times New Roman" w:hAnsi="Times New Roman" w:eastAsia="宋体" w:cs="Times New Roman"/>
                <w:kern w:val="0"/>
                <w:sz w:val="15"/>
                <w:szCs w:val="15"/>
                <w:vertAlign w:val="subscript"/>
              </w:rPr>
              <w:t>,2</w:t>
            </w:r>
            <w:r>
              <w:rPr>
                <w:rFonts w:ascii="Times New Roman" w:hAnsi="Times New Roman" w:eastAsia="宋体" w:cs="Times New Roman"/>
                <w:kern w:val="0"/>
                <w:sz w:val="15"/>
                <w:szCs w:val="15"/>
              </w:rPr>
              <w:t xml:space="preserve"> (L g</w:t>
            </w:r>
            <w:r>
              <w:rPr>
                <w:rFonts w:ascii="Times New Roman" w:hAnsi="Times New Roman" w:eastAsia="宋体" w:cs="Times New Roman"/>
                <w:kern w:val="0"/>
                <w:sz w:val="15"/>
                <w:szCs w:val="15"/>
                <w:vertAlign w:val="superscript"/>
              </w:rPr>
              <w:t>-1</w:t>
            </w:r>
            <w:r>
              <w:rPr>
                <w:rFonts w:ascii="Times New Roman" w:hAnsi="Times New Roman" w:eastAsia="宋体" w:cs="Times New Roman"/>
                <w:kern w:val="0"/>
                <w:sz w:val="15"/>
                <w:szCs w:val="15"/>
              </w:rPr>
              <w:t>)</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17.31</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22.68</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33.22</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i/>
                <w:iCs/>
                <w:kern w:val="0"/>
                <w:sz w:val="15"/>
                <w:szCs w:val="15"/>
              </w:rPr>
            </w:pPr>
            <w:r>
              <w:rPr>
                <w:rFonts w:ascii="Times New Roman" w:hAnsi="Times New Roman" w:eastAsia="等线" w:cs="Times New Roman"/>
                <w:i/>
                <w:iCs/>
                <w:kern w:val="0"/>
                <w:sz w:val="15"/>
                <w:szCs w:val="15"/>
              </w:rPr>
              <w:t>C</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733.86</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926.31</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941.44</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1125.19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kern w:val="0"/>
                <w:sz w:val="15"/>
                <w:szCs w:val="15"/>
              </w:rPr>
            </w:pPr>
            <w:r>
              <w:rPr>
                <w:rFonts w:ascii="Times New Roman" w:hAnsi="Times New Roman" w:eastAsia="等线" w:cs="Times New Roman"/>
                <w:i/>
                <w:iCs/>
                <w:kern w:val="0"/>
                <w:sz w:val="15"/>
                <w:szCs w:val="15"/>
              </w:rPr>
              <w:t>R</w:t>
            </w:r>
            <w:r>
              <w:rPr>
                <w:rFonts w:ascii="Times New Roman" w:hAnsi="Times New Roman" w:eastAsia="等线" w:cs="Times New Roman"/>
                <w:kern w:val="0"/>
                <w:sz w:val="15"/>
                <w:szCs w:val="15"/>
                <w:vertAlign w:val="superscript"/>
              </w:rPr>
              <w:t>2</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0.9895</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0.9366</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0.9299</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 w:hRule="atLeast"/>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i/>
                <w:iCs/>
                <w:kern w:val="0"/>
                <w:sz w:val="15"/>
                <w:szCs w:val="15"/>
              </w:rPr>
            </w:pPr>
            <w:r>
              <w:rPr>
                <w:rFonts w:ascii="Times New Roman" w:hAnsi="Times New Roman" w:eastAsia="宋体" w:cs="Times New Roman"/>
                <w:i/>
                <w:iCs/>
                <w:kern w:val="0"/>
                <w:sz w:val="15"/>
                <w:szCs w:val="15"/>
              </w:rPr>
              <w:t>SSE</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6.03</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64.85</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408.04</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44.57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 w:hRule="atLeast"/>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kern w:val="0"/>
                <w:sz w:val="15"/>
                <w:szCs w:val="15"/>
              </w:rPr>
            </w:pPr>
            <w:r>
              <w:rPr>
                <w:rFonts w:ascii="Times New Roman" w:hAnsi="Times New Roman" w:eastAsia="宋体" w:cs="Times New Roman"/>
                <w:i/>
                <w:iCs/>
                <w:kern w:val="0"/>
                <w:sz w:val="15"/>
                <w:szCs w:val="15"/>
              </w:rPr>
              <w:t>k</w:t>
            </w:r>
            <w:r>
              <w:rPr>
                <w:rFonts w:hint="eastAsia" w:ascii="Times New Roman" w:hAnsi="Times New Roman" w:eastAsia="宋体" w:cs="Times New Roman"/>
                <w:i/>
                <w:iCs/>
                <w:kern w:val="0"/>
                <w:sz w:val="15"/>
                <w:szCs w:val="15"/>
                <w:vertAlign w:val="subscript"/>
              </w:rPr>
              <w:t>i</w:t>
            </w:r>
            <w:r>
              <w:rPr>
                <w:rFonts w:ascii="Times New Roman" w:hAnsi="Times New Roman" w:eastAsia="宋体" w:cs="Times New Roman"/>
                <w:kern w:val="0"/>
                <w:sz w:val="15"/>
                <w:szCs w:val="15"/>
                <w:vertAlign w:val="subscript"/>
              </w:rPr>
              <w:t>,3</w:t>
            </w:r>
            <w:r>
              <w:rPr>
                <w:rFonts w:ascii="Times New Roman" w:hAnsi="Times New Roman" w:eastAsia="宋体" w:cs="Times New Roman"/>
                <w:kern w:val="0"/>
                <w:sz w:val="15"/>
                <w:szCs w:val="15"/>
              </w:rPr>
              <w:t xml:space="preserve"> (L g</w:t>
            </w:r>
            <w:r>
              <w:rPr>
                <w:rFonts w:ascii="Times New Roman" w:hAnsi="Times New Roman" w:eastAsia="宋体" w:cs="Times New Roman"/>
                <w:kern w:val="0"/>
                <w:sz w:val="15"/>
                <w:szCs w:val="15"/>
                <w:vertAlign w:val="superscript"/>
              </w:rPr>
              <w:t>-1</w:t>
            </w:r>
            <w:r>
              <w:rPr>
                <w:rFonts w:ascii="Times New Roman" w:hAnsi="Times New Roman" w:eastAsia="宋体" w:cs="Times New Roman"/>
                <w:kern w:val="0"/>
                <w:sz w:val="15"/>
                <w:szCs w:val="15"/>
              </w:rPr>
              <w:t>)</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1.86</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5.33</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5.80</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 w:hRule="atLeast"/>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i/>
                <w:iCs/>
                <w:kern w:val="0"/>
                <w:sz w:val="15"/>
                <w:szCs w:val="15"/>
              </w:rPr>
            </w:pPr>
            <w:r>
              <w:rPr>
                <w:rFonts w:ascii="Times New Roman" w:hAnsi="Times New Roman" w:eastAsia="等线" w:cs="Times New Roman"/>
                <w:i/>
                <w:iCs/>
                <w:kern w:val="0"/>
                <w:sz w:val="15"/>
                <w:szCs w:val="15"/>
              </w:rPr>
              <w:t>C</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862.83</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1071.89</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1155.18</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1240.22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 w:hRule="atLeast"/>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kern w:val="0"/>
                <w:sz w:val="15"/>
                <w:szCs w:val="15"/>
              </w:rPr>
            </w:pPr>
            <w:r>
              <w:rPr>
                <w:rFonts w:ascii="Times New Roman" w:hAnsi="Times New Roman" w:eastAsia="等线" w:cs="Times New Roman"/>
                <w:i/>
                <w:iCs/>
                <w:kern w:val="0"/>
                <w:sz w:val="15"/>
                <w:szCs w:val="15"/>
              </w:rPr>
              <w:t>R</w:t>
            </w:r>
            <w:r>
              <w:rPr>
                <w:rFonts w:ascii="Times New Roman" w:hAnsi="Times New Roman" w:eastAsia="等线" w:cs="Times New Roman"/>
                <w:kern w:val="0"/>
                <w:sz w:val="15"/>
                <w:szCs w:val="15"/>
                <w:vertAlign w:val="superscript"/>
              </w:rPr>
              <w:t>2</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0.7516</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0.9412</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0.9535</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tcBorders>
              <w:bottom w:val="single" w:color="auto" w:sz="4" w:space="0"/>
            </w:tcBorders>
            <w:vAlign w:val="center"/>
          </w:tcPr>
          <w:p>
            <w:pPr>
              <w:jc w:val="left"/>
              <w:rPr>
                <w:rFonts w:ascii="Times New Roman" w:hAnsi="Times New Roman" w:eastAsia="Malgun Gothic" w:cs="Times New Roman"/>
                <w:i/>
                <w:iCs/>
                <w:kern w:val="0"/>
                <w:sz w:val="15"/>
                <w:szCs w:val="15"/>
              </w:rPr>
            </w:pPr>
            <w:r>
              <w:rPr>
                <w:rFonts w:ascii="Times New Roman" w:hAnsi="Times New Roman" w:eastAsia="宋体" w:cs="Times New Roman"/>
                <w:i/>
                <w:iCs/>
                <w:kern w:val="0"/>
                <w:sz w:val="15"/>
                <w:szCs w:val="15"/>
              </w:rPr>
              <w:t>SSE</w:t>
            </w:r>
          </w:p>
        </w:tc>
        <w:tc>
          <w:tcPr>
            <w:tcW w:w="813" w:type="dxa"/>
            <w:tcBorders>
              <w:bottom w:val="single" w:color="auto" w:sz="4" w:space="0"/>
            </w:tcBorders>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14.54</w:t>
            </w:r>
          </w:p>
        </w:tc>
        <w:tc>
          <w:tcPr>
            <w:tcW w:w="850" w:type="dxa"/>
            <w:tcBorders>
              <w:bottom w:val="single" w:color="auto" w:sz="4" w:space="0"/>
            </w:tcBorders>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24.51</w:t>
            </w:r>
          </w:p>
        </w:tc>
        <w:tc>
          <w:tcPr>
            <w:tcW w:w="851" w:type="dxa"/>
            <w:tcBorders>
              <w:bottom w:val="single" w:color="auto" w:sz="4" w:space="0"/>
            </w:tcBorders>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22.71</w:t>
            </w:r>
          </w:p>
        </w:tc>
        <w:tc>
          <w:tcPr>
            <w:tcW w:w="850" w:type="dxa"/>
            <w:tcBorders>
              <w:bottom w:val="single" w:color="auto" w:sz="4" w:space="0"/>
            </w:tcBorders>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6.17</w:t>
            </w:r>
          </w:p>
        </w:tc>
      </w:tr>
    </w:tbl>
    <w:p>
      <w:pPr>
        <w:widowControl/>
        <w:spacing w:line="360" w:lineRule="auto"/>
        <w:rPr>
          <w:rFonts w:ascii="Times New Roman" w:hAnsi="Times New Roman" w:cs="Times New Roman"/>
          <w:color w:val="000000" w:themeColor="text1"/>
          <w:szCs w:val="21"/>
          <w14:textFill>
            <w14:solidFill>
              <w14:schemeClr w14:val="tx1"/>
            </w14:solidFill>
          </w14:textFill>
        </w:rPr>
      </w:pPr>
    </w:p>
    <w:p>
      <w:pPr>
        <w:widowControl/>
        <w:jc w:val="left"/>
        <w:rPr>
          <w:rFonts w:ascii="Times New Roman" w:hAnsi="Times New Roman" w:cs="Times New Roman"/>
          <w:b/>
          <w:bCs/>
          <w:color w:val="A6A6A6" w:themeColor="background1" w:themeShade="A6"/>
          <w:szCs w:val="21"/>
        </w:rPr>
      </w:pPr>
      <w:bookmarkStart w:id="4" w:name="OLE_LINK12"/>
      <w:r>
        <w:rPr>
          <w:rFonts w:ascii="Times New Roman" w:hAnsi="Times New Roman" w:cs="Times New Roman"/>
          <w:b/>
          <w:bCs/>
          <w:color w:val="A6A6A6" w:themeColor="background1" w:themeShade="A6"/>
          <w:szCs w:val="21"/>
        </w:rPr>
        <w:br w:type="page"/>
      </w:r>
    </w:p>
    <w:p>
      <w:pPr>
        <w:widowControl/>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 xml:space="preserve">Table </w:t>
      </w:r>
      <w:bookmarkStart w:id="5" w:name="OLE_LINK7"/>
      <w:bookmarkStart w:id="6" w:name="OLE_LINK6"/>
      <w:r>
        <w:rPr>
          <w:rFonts w:ascii="Times New Roman" w:hAnsi="Times New Roman" w:cs="Times New Roman"/>
          <w:b/>
          <w:bCs/>
          <w:color w:val="000000" w:themeColor="text1"/>
          <w:szCs w:val="21"/>
          <w14:textFill>
            <w14:solidFill>
              <w14:schemeClr w14:val="tx1"/>
            </w14:solidFill>
          </w14:textFill>
        </w:rPr>
        <w:t>S</w:t>
      </w:r>
      <w:r>
        <w:rPr>
          <w:rFonts w:hint="eastAsia" w:ascii="Times New Roman" w:hAnsi="Times New Roman" w:cs="Times New Roman"/>
          <w:b/>
          <w:bCs/>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 xml:space="preserve"> </w:t>
      </w:r>
      <w:bookmarkEnd w:id="4"/>
      <w:r>
        <w:rPr>
          <w:rFonts w:ascii="Times New Roman" w:hAnsi="Times New Roman" w:cs="Times New Roman"/>
          <w:color w:val="000000" w:themeColor="text1"/>
          <w:szCs w:val="21"/>
          <w14:textFill>
            <w14:solidFill>
              <w14:schemeClr w14:val="tx1"/>
            </w14:solidFill>
          </w14:textFill>
        </w:rPr>
        <w:t>Parameters of adsorption kinetic models for TC adsorption on PCQL.</w:t>
      </w:r>
      <w:bookmarkEnd w:id="5"/>
      <w:bookmarkEnd w:id="6"/>
    </w:p>
    <w:tbl>
      <w:tblPr>
        <w:tblStyle w:val="6"/>
        <w:tblW w:w="80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1677"/>
        <w:gridCol w:w="1333"/>
        <w:gridCol w:w="813"/>
        <w:gridCol w:w="850"/>
        <w:gridCol w:w="851"/>
        <w:gridCol w:w="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 w:hRule="atLeast"/>
          <w:jc w:val="center"/>
        </w:trPr>
        <w:tc>
          <w:tcPr>
            <w:tcW w:w="1701" w:type="dxa"/>
            <w:vMerge w:val="restart"/>
            <w:tcBorders>
              <w:top w:val="single" w:color="auto" w:sz="4" w:space="0"/>
              <w:bottom w:val="single" w:color="auto" w:sz="4" w:space="0"/>
            </w:tcBorders>
            <w:vAlign w:val="center"/>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Times New Roman" w:cs="Times New Roman"/>
                <w:kern w:val="0"/>
                <w:sz w:val="15"/>
                <w:szCs w:val="15"/>
                <w:lang w:bidi="ar"/>
              </w:rPr>
              <w:t>Models</w:t>
            </w:r>
          </w:p>
        </w:tc>
        <w:tc>
          <w:tcPr>
            <w:tcW w:w="1677" w:type="dxa"/>
            <w:vMerge w:val="restart"/>
            <w:tcBorders>
              <w:top w:val="single" w:color="auto" w:sz="4" w:space="0"/>
              <w:bottom w:val="single" w:color="auto" w:sz="4" w:space="0"/>
            </w:tcBorders>
            <w:vAlign w:val="center"/>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Equation</w:t>
            </w:r>
          </w:p>
        </w:tc>
        <w:tc>
          <w:tcPr>
            <w:tcW w:w="1333" w:type="dxa"/>
            <w:vMerge w:val="restart"/>
            <w:tcBorders>
              <w:top w:val="single" w:color="auto" w:sz="4" w:space="0"/>
              <w:bottom w:val="single" w:color="auto" w:sz="4" w:space="0"/>
            </w:tcBorders>
            <w:vAlign w:val="center"/>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3364" w:type="dxa"/>
            <w:gridSpan w:val="4"/>
            <w:tcBorders>
              <w:top w:val="single" w:color="auto" w:sz="4" w:space="0"/>
              <w:bottom w:val="single" w:color="auto" w:sz="4" w:space="0"/>
            </w:tcBorders>
            <w:vAlign w:val="center"/>
          </w:tcPr>
          <w:p>
            <w:pPr>
              <w:widowControl/>
              <w:jc w:val="cente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i/>
                <w:iCs/>
                <w:color w:val="000000" w:themeColor="text1"/>
                <w:kern w:val="0"/>
                <w:sz w:val="15"/>
                <w:szCs w:val="15"/>
                <w:shd w:val="clear" w:color="auto" w:fill="FFFFFF"/>
                <w14:textFill>
                  <w14:solidFill>
                    <w14:schemeClr w14:val="tx1"/>
                  </w14:solidFill>
                </w14:textFill>
              </w:rPr>
              <w:t>C</w:t>
            </w:r>
            <w:r>
              <w:rPr>
                <w:rFonts w:ascii="Times New Roman" w:hAnsi="Times New Roman" w:eastAsia="等线" w:cs="Times New Roman"/>
                <w:color w:val="000000" w:themeColor="text1"/>
                <w:kern w:val="0"/>
                <w:sz w:val="15"/>
                <w:szCs w:val="15"/>
                <w:shd w:val="clear" w:color="auto" w:fill="FFFFFF"/>
                <w:vertAlign w:val="subscript"/>
                <w14:textFill>
                  <w14:solidFill>
                    <w14:schemeClr w14:val="tx1"/>
                  </w14:solidFill>
                </w14:textFill>
              </w:rPr>
              <w:t>o</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(mg L</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701" w:type="dxa"/>
            <w:vMerge w:val="continue"/>
            <w:tcBorders>
              <w:bottom w:val="single" w:color="auto" w:sz="4" w:space="0"/>
            </w:tcBorders>
            <w:vAlign w:val="center"/>
          </w:tcPr>
          <w:p>
            <w:pPr>
              <w:widowControl/>
              <w:jc w:val="left"/>
              <w:rPr>
                <w:rFonts w:ascii="Times New Roman" w:hAnsi="Times New Roman" w:eastAsia="Times New Roman" w:cs="Times New Roman"/>
                <w:kern w:val="0"/>
                <w:sz w:val="15"/>
                <w:szCs w:val="15"/>
                <w:lang w:bidi="ar"/>
              </w:rPr>
            </w:pPr>
          </w:p>
        </w:tc>
        <w:tc>
          <w:tcPr>
            <w:tcW w:w="1677" w:type="dxa"/>
            <w:vMerge w:val="continue"/>
            <w:tcBorders>
              <w:bottom w:val="single" w:color="auto" w:sz="4" w:space="0"/>
            </w:tcBorders>
            <w:vAlign w:val="center"/>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333" w:type="dxa"/>
            <w:vMerge w:val="continue"/>
            <w:tcBorders>
              <w:bottom w:val="single" w:color="auto" w:sz="4" w:space="0"/>
            </w:tcBorders>
            <w:vAlign w:val="center"/>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813" w:type="dxa"/>
            <w:tcBorders>
              <w:top w:val="single" w:color="auto" w:sz="4" w:space="0"/>
              <w:bottom w:val="single" w:color="auto" w:sz="4" w:space="0"/>
            </w:tcBorders>
            <w:vAlign w:val="center"/>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100</w:t>
            </w:r>
          </w:p>
        </w:tc>
        <w:tc>
          <w:tcPr>
            <w:tcW w:w="850" w:type="dxa"/>
            <w:tcBorders>
              <w:top w:val="single" w:color="auto" w:sz="4" w:space="0"/>
              <w:bottom w:val="single" w:color="auto" w:sz="4" w:space="0"/>
            </w:tcBorders>
            <w:vAlign w:val="center"/>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200</w:t>
            </w:r>
          </w:p>
        </w:tc>
        <w:tc>
          <w:tcPr>
            <w:tcW w:w="851" w:type="dxa"/>
            <w:tcBorders>
              <w:top w:val="single" w:color="auto" w:sz="4" w:space="0"/>
              <w:bottom w:val="single" w:color="auto" w:sz="4" w:space="0"/>
            </w:tcBorders>
            <w:vAlign w:val="center"/>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300</w:t>
            </w:r>
          </w:p>
        </w:tc>
        <w:tc>
          <w:tcPr>
            <w:tcW w:w="850" w:type="dxa"/>
            <w:tcBorders>
              <w:top w:val="single" w:color="auto" w:sz="4" w:space="0"/>
              <w:bottom w:val="single" w:color="auto" w:sz="4" w:space="0"/>
            </w:tcBorders>
            <w:vAlign w:val="center"/>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1" w:type="dxa"/>
            <w:vMerge w:val="restart"/>
            <w:tcBorders>
              <w:top w:val="single" w:color="auto" w:sz="4" w:space="0"/>
            </w:tcBorders>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Pseudo-first-order</w:t>
            </w:r>
          </w:p>
        </w:tc>
        <w:tc>
          <w:tcPr>
            <w:tcW w:w="1677" w:type="dxa"/>
            <w:vMerge w:val="restart"/>
            <w:tcBorders>
              <w:top w:val="single" w:color="auto" w:sz="4" w:space="0"/>
            </w:tcBorders>
          </w:tcPr>
          <w:p>
            <w:pPr>
              <w:widowControl/>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m:oMathPara>
              <m:oMathParaPr>
                <m:jc m:val="left"/>
              </m:oMathParaPr>
              <m:oMath>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q</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t</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m:t>
                </m:r>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q</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e</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(1−</m:t>
                </m:r>
                <m:sSup>
                  <m:sSup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p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e</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p>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m:t>
                    </m:r>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k</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1</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t</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p>
                </m:sSup>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m:t>
                </m:r>
              </m:oMath>
            </m:oMathPara>
          </w:p>
        </w:tc>
        <w:tc>
          <w:tcPr>
            <w:tcW w:w="1333" w:type="dxa"/>
            <w:tcBorders>
              <w:top w:val="single" w:color="auto" w:sz="4" w:space="0"/>
            </w:tcBorders>
            <w:vAlign w:val="center"/>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i/>
                <w:iCs/>
                <w:color w:val="000000" w:themeColor="text1"/>
                <w:kern w:val="0"/>
                <w:sz w:val="15"/>
                <w:szCs w:val="15"/>
                <w:shd w:val="clear" w:color="auto" w:fill="FFFFFF"/>
                <w14:textFill>
                  <w14:solidFill>
                    <w14:schemeClr w14:val="tx1"/>
                  </w14:solidFill>
                </w14:textFill>
              </w:rPr>
              <w:t>k</w:t>
            </w:r>
            <w:r>
              <w:rPr>
                <w:rFonts w:ascii="Times New Roman" w:hAnsi="Times New Roman" w:eastAsia="等线" w:cs="Times New Roman"/>
                <w:color w:val="000000" w:themeColor="text1"/>
                <w:kern w:val="0"/>
                <w:sz w:val="15"/>
                <w:szCs w:val="15"/>
                <w:shd w:val="clear" w:color="auto" w:fill="FFFFFF"/>
                <w:vertAlign w:val="sub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(min</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w:t>
            </w:r>
          </w:p>
        </w:tc>
        <w:tc>
          <w:tcPr>
            <w:tcW w:w="813" w:type="dxa"/>
            <w:tcBorders>
              <w:top w:val="single" w:color="auto" w:sz="4" w:space="0"/>
            </w:tcBorders>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0.20</w:t>
            </w:r>
          </w:p>
        </w:tc>
        <w:tc>
          <w:tcPr>
            <w:tcW w:w="850" w:type="dxa"/>
            <w:tcBorders>
              <w:top w:val="single" w:color="auto" w:sz="4" w:space="0"/>
            </w:tcBorders>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0.20</w:t>
            </w:r>
          </w:p>
        </w:tc>
        <w:tc>
          <w:tcPr>
            <w:tcW w:w="851" w:type="dxa"/>
            <w:tcBorders>
              <w:top w:val="single" w:color="auto" w:sz="4" w:space="0"/>
            </w:tcBorders>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0.17</w:t>
            </w:r>
          </w:p>
        </w:tc>
        <w:tc>
          <w:tcPr>
            <w:tcW w:w="850" w:type="dxa"/>
            <w:tcBorders>
              <w:top w:val="single" w:color="auto" w:sz="4" w:space="0"/>
            </w:tcBorders>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i/>
                <w:iCs/>
                <w:color w:val="000000" w:themeColor="text1"/>
                <w:kern w:val="0"/>
                <w:sz w:val="15"/>
                <w:szCs w:val="15"/>
                <w:shd w:val="clear" w:color="auto" w:fill="FFFFFF"/>
                <w14:textFill>
                  <w14:solidFill>
                    <w14:schemeClr w14:val="tx1"/>
                  </w14:solidFill>
                </w14:textFill>
              </w:rPr>
              <w:t>q</w:t>
            </w:r>
            <w:r>
              <w:rPr>
                <w:rFonts w:ascii="Times New Roman" w:hAnsi="Times New Roman" w:eastAsia="等线" w:cs="Times New Roman"/>
                <w:i/>
                <w:iCs/>
                <w:color w:val="000000" w:themeColor="text1"/>
                <w:kern w:val="0"/>
                <w:sz w:val="15"/>
                <w:szCs w:val="15"/>
                <w:shd w:val="clear" w:color="auto" w:fill="FFFFFF"/>
                <w:vertAlign w:val="subscript"/>
                <w14:textFill>
                  <w14:solidFill>
                    <w14:schemeClr w14:val="tx1"/>
                  </w14:solidFill>
                </w14:textFill>
              </w:rPr>
              <w:t>e</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(mg g</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1254.4</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1228.7</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1162.5</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897.4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jc w:val="center"/>
        </w:trPr>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Times New Roman" w:cs="Times New Roman"/>
                <w:i/>
                <w:iCs/>
                <w:kern w:val="0"/>
                <w:sz w:val="15"/>
                <w:szCs w:val="15"/>
              </w:rPr>
              <w:t>R</w:t>
            </w:r>
            <w:r>
              <w:rPr>
                <w:rFonts w:ascii="Times New Roman" w:hAnsi="Times New Roman" w:eastAsia="Times New Roman" w:cs="Times New Roman"/>
                <w:kern w:val="0"/>
                <w:sz w:val="15"/>
                <w:szCs w:val="15"/>
                <w:vertAlign w:val="superscript"/>
              </w:rPr>
              <w:t>2</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0.9964</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0.9968</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0.9940</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Malgun Gothic" w:cs="Times New Roman"/>
                <w:i/>
                <w:iCs/>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i/>
                <w:iCs/>
                <w:kern w:val="0"/>
                <w:sz w:val="15"/>
                <w:szCs w:val="15"/>
              </w:rPr>
              <w:t>SSE</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496.08</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421.73</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723.78</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537.67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1" w:type="dxa"/>
            <w:vMerge w:val="restart"/>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Pseudo-second-order</w:t>
            </w:r>
          </w:p>
        </w:tc>
        <w:tc>
          <w:tcPr>
            <w:tcW w:w="1677" w:type="dxa"/>
            <w:vMerge w:val="restart"/>
          </w:tcPr>
          <w:p>
            <w:pPr>
              <w:widowControl/>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m:oMathPara>
              <m:oMathParaPr>
                <m:jc m:val="left"/>
              </m:oMathParaPr>
              <m:oMath>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q</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t</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m:t>
                </m:r>
                <m:f>
                  <m:f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fPr>
                  <m:num>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k</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2</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sSubSup>
                      <m:sSubSup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SupPr>
                      <m:e>
                        <m:r>
                          <m:rPr/>
                          <w:rPr>
                            <w:rFonts w:hint="default" w:ascii="Cambria Math" w:hAnsi="Cambria Math" w:eastAsia="宋体" w:cs="Times New Roman"/>
                            <w:color w:val="000000" w:themeColor="text1"/>
                            <w:kern w:val="0"/>
                            <w:sz w:val="15"/>
                            <w:szCs w:val="15"/>
                            <w:shd w:val="clear" w:color="auto" w:fill="FFFFFF"/>
                            <w:lang w:val="en-US" w:eastAsia="zh-CN"/>
                            <w14:textFill>
                              <w14:solidFill>
                                <w14:schemeClr w14:val="tx1"/>
                              </w14:solidFill>
                            </w14:textFill>
                          </w:rPr>
                          <m:t>q</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e</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up>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2</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p>
                    </m:sSubSup>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t</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num>
                  <m:den>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1+</m:t>
                    </m:r>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k</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2</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sSub>
                      <m:sSubP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SubPr>
                      <m:e>
                        <m:r>
                          <m:rPr/>
                          <w:rPr>
                            <w:rFonts w:hint="default" w:ascii="Cambria Math" w:hAnsi="Cambria Math" w:eastAsia="宋体" w:cs="Times New Roman"/>
                            <w:color w:val="000000" w:themeColor="text1"/>
                            <w:kern w:val="0"/>
                            <w:sz w:val="15"/>
                            <w:szCs w:val="15"/>
                            <w:shd w:val="clear" w:color="auto" w:fill="FFFFFF"/>
                            <w:lang w:val="en-US" w:eastAsia="zh-CN"/>
                            <w14:textFill>
                              <w14:solidFill>
                                <w14:schemeClr w14:val="tx1"/>
                              </w14:solidFill>
                            </w14:textFill>
                          </w:rPr>
                          <m:t>q</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e>
                      <m: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e</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sub>
                    </m:sSub>
                    <m:r>
                      <m:rPr/>
                      <w:rPr>
                        <w:rFonts w:ascii="Cambria Math" w:hAnsi="Cambria Math" w:eastAsia="Malgun Gothic" w:cs="Times New Roman"/>
                        <w:color w:val="000000" w:themeColor="text1"/>
                        <w:kern w:val="0"/>
                        <w:sz w:val="15"/>
                        <w:szCs w:val="15"/>
                        <w:shd w:val="clear" w:color="auto" w:fill="FFFFFF"/>
                        <w14:textFill>
                          <w14:solidFill>
                            <w14:schemeClr w14:val="tx1"/>
                          </w14:solidFill>
                        </w14:textFill>
                      </w:rPr>
                      <m:t>t</m:t>
                    </m:r>
                    <m:ctrlPr>
                      <w:rPr>
                        <w:rFonts w:ascii="Cambria Math" w:hAnsi="Cambria Math" w:eastAsia="Malgun Gothic" w:cs="Times New Roman"/>
                        <w:i/>
                        <w:color w:val="000000" w:themeColor="text1"/>
                        <w:kern w:val="0"/>
                        <w:sz w:val="15"/>
                        <w:szCs w:val="15"/>
                        <w:shd w:val="clear" w:color="auto" w:fill="FFFFFF"/>
                        <w14:textFill>
                          <w14:solidFill>
                            <w14:schemeClr w14:val="tx1"/>
                          </w14:solidFill>
                        </w14:textFill>
                      </w:rPr>
                    </m:ctrlPr>
                  </m:den>
                </m:f>
              </m:oMath>
            </m:oMathPara>
          </w:p>
        </w:tc>
        <w:tc>
          <w:tcPr>
            <w:tcW w:w="1333" w:type="dxa"/>
            <w:vAlign w:val="center"/>
          </w:tcPr>
          <w:p>
            <w:pPr>
              <w:widowControl/>
              <w:tabs>
                <w:tab w:val="left" w:pos="600"/>
              </w:tabs>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i/>
                <w:iCs/>
                <w:color w:val="000000" w:themeColor="text1"/>
                <w:kern w:val="0"/>
                <w:sz w:val="15"/>
                <w:szCs w:val="15"/>
                <w:shd w:val="clear" w:color="auto" w:fill="FFFFFF"/>
                <w14:textFill>
                  <w14:solidFill>
                    <w14:schemeClr w14:val="tx1"/>
                  </w14:solidFill>
                </w14:textFill>
              </w:rPr>
              <w:t>k</w:t>
            </w:r>
            <w:r>
              <w:rPr>
                <w:rFonts w:ascii="Times New Roman" w:hAnsi="Times New Roman" w:eastAsia="等线" w:cs="Times New Roman"/>
                <w:color w:val="000000" w:themeColor="text1"/>
                <w:kern w:val="0"/>
                <w:sz w:val="15"/>
                <w:szCs w:val="15"/>
                <w:shd w:val="clear" w:color="auto" w:fill="FFFFFF"/>
                <w:vertAlign w:val="subscript"/>
                <w14:textFill>
                  <w14:solidFill>
                    <w14:schemeClr w14:val="tx1"/>
                  </w14:solidFill>
                </w14:textFill>
              </w:rPr>
              <w:t>2</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(g mg</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min</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4.4</w:t>
            </w:r>
            <w:bookmarkStart w:id="7" w:name="OLE_LINK5"/>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×10</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-4</w:t>
            </w:r>
            <w:bookmarkEnd w:id="7"/>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3.6×10</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-4</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5.0×10</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-4</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4.5×10</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i/>
                <w:iCs/>
                <w:color w:val="000000" w:themeColor="text1"/>
                <w:kern w:val="0"/>
                <w:sz w:val="15"/>
                <w:szCs w:val="15"/>
                <w:shd w:val="clear" w:color="auto" w:fill="FFFFFF"/>
                <w14:textFill>
                  <w14:solidFill>
                    <w14:schemeClr w14:val="tx1"/>
                  </w14:solidFill>
                </w14:textFill>
              </w:rPr>
              <w:t>q</w:t>
            </w:r>
            <w:r>
              <w:rPr>
                <w:rFonts w:ascii="Times New Roman" w:hAnsi="Times New Roman" w:eastAsia="等线" w:cs="Times New Roman"/>
                <w:i/>
                <w:iCs/>
                <w:color w:val="000000" w:themeColor="text1"/>
                <w:kern w:val="0"/>
                <w:sz w:val="15"/>
                <w:szCs w:val="15"/>
                <w:shd w:val="clear" w:color="auto" w:fill="FFFFFF"/>
                <w:vertAlign w:val="subscript"/>
                <w14:textFill>
                  <w14:solidFill>
                    <w14:schemeClr w14:val="tx1"/>
                  </w14:solidFill>
                </w14:textFill>
              </w:rPr>
              <w:t>e</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(mg g</w:t>
            </w:r>
            <w:r>
              <w:rPr>
                <w:rFonts w:ascii="Times New Roman" w:hAnsi="Times New Roman" w:eastAsia="等线" w:cs="Times New Roman"/>
                <w:color w:val="000000" w:themeColor="text1"/>
                <w:kern w:val="0"/>
                <w:sz w:val="15"/>
                <w:szCs w:val="15"/>
                <w:shd w:val="clear" w:color="auto" w:fill="FFFFFF"/>
                <w:vertAlign w:val="superscript"/>
                <w14:textFill>
                  <w14:solidFill>
                    <w14:schemeClr w14:val="tx1"/>
                  </w14:solidFill>
                </w14:textFill>
              </w:rPr>
              <w:t>-1</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932.8</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1206.5</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1262.1</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1290.7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Times New Roman" w:cs="Times New Roman"/>
                <w:kern w:val="0"/>
                <w:sz w:val="15"/>
                <w:szCs w:val="15"/>
              </w:rPr>
              <w:t>R</w:t>
            </w:r>
            <w:r>
              <w:rPr>
                <w:rFonts w:ascii="Times New Roman" w:hAnsi="Times New Roman" w:eastAsia="Times New Roman" w:cs="Times New Roman"/>
                <w:kern w:val="0"/>
                <w:sz w:val="15"/>
                <w:szCs w:val="15"/>
                <w:vertAlign w:val="superscript"/>
              </w:rPr>
              <w:t>2</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0.9999</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0.9999</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0.9998</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0.9998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jc w:val="center"/>
        </w:trPr>
        <w:tc>
          <w:tcPr>
            <w:tcW w:w="1701"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677" w:type="dxa"/>
            <w:vMerge w:val="continue"/>
          </w:tcPr>
          <w:p>
            <w:pPr>
              <w:widowControl/>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widowControl/>
              <w:jc w:val="left"/>
              <w:rPr>
                <w:rFonts w:ascii="Times New Roman" w:hAnsi="Times New Roman" w:eastAsia="Malgun Gothic" w:cs="Times New Roman"/>
                <w:i/>
                <w:iCs/>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i/>
                <w:iCs/>
                <w:kern w:val="0"/>
                <w:sz w:val="15"/>
                <w:szCs w:val="15"/>
              </w:rPr>
              <w:t>SSE</w:t>
            </w:r>
          </w:p>
        </w:tc>
        <w:tc>
          <w:tcPr>
            <w:tcW w:w="813"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3.6</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6.66</w:t>
            </w:r>
          </w:p>
        </w:tc>
        <w:tc>
          <w:tcPr>
            <w:tcW w:w="851"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16.26</w:t>
            </w:r>
          </w:p>
        </w:tc>
        <w:tc>
          <w:tcPr>
            <w:tcW w:w="850" w:type="dxa"/>
          </w:tcPr>
          <w:p>
            <w:pPr>
              <w:widowControl/>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20.73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jc w:val="center"/>
        </w:trPr>
        <w:tc>
          <w:tcPr>
            <w:tcW w:w="1701" w:type="dxa"/>
            <w:vMerge w:val="restart"/>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Intra-particle</w:t>
            </w:r>
            <w:r>
              <w:rPr>
                <w:rFonts w:hint="eastAsia" w:ascii="Times New Roman" w:hAnsi="Times New Roman" w:eastAsia="等线" w:cs="Times New Roman"/>
                <w:color w:val="000000" w:themeColor="text1"/>
                <w:kern w:val="0"/>
                <w:sz w:val="15"/>
                <w:szCs w:val="15"/>
                <w:shd w:val="clear" w:color="auto" w:fill="FFFFFF"/>
                <w14:textFill>
                  <w14:solidFill>
                    <w14:schemeClr w14:val="tx1"/>
                  </w14:solidFill>
                </w14:textFill>
              </w:rPr>
              <w:t xml:space="preserve"> </w:t>
            </w:r>
            <w:r>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t>diffusion</w:t>
            </w:r>
          </w:p>
        </w:tc>
        <w:tc>
          <w:tcPr>
            <w:tcW w:w="1677" w:type="dxa"/>
            <w:vMerge w:val="restart"/>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微软雅黑" w:cs="Times New Roman"/>
                <w:color w:val="000000" w:themeColor="text1"/>
                <w:kern w:val="0"/>
                <w:position w:val="-12"/>
                <w:sz w:val="15"/>
                <w:szCs w:val="15"/>
                <w:shd w:val="clear" w:color="auto" w:fill="FFFFFF"/>
                <w14:textFill>
                  <w14:solidFill>
                    <w14:schemeClr w14:val="tx1"/>
                  </w14:solidFill>
                </w14:textFill>
              </w:rPr>
              <w:object>
                <v:shape id="_x0000_i1026" o:spt="75" type="#_x0000_t75" style="height:12.8pt;width:43.3pt;" o:ole="t" filled="f" o:preferrelative="t" stroked="f" coordsize="21600,21600">
                  <v:path/>
                  <v:fill on="f" focussize="0,0"/>
                  <v:stroke on="f" joinstyle="miter"/>
                  <v:imagedata r:id="rId11" o:title=""/>
                  <o:lock v:ext="edit" aspectratio="t"/>
                  <w10:wrap type="none"/>
                  <w10:anchorlock/>
                </v:shape>
                <o:OLEObject Type="Embed" ProgID="Equation.3" ShapeID="_x0000_i1026" DrawAspect="Content" ObjectID="_1468075726" r:id="rId10">
                  <o:LockedField>false</o:LockedField>
                </o:OLEObject>
              </w:object>
            </w:r>
          </w:p>
          <w:p>
            <w:pPr>
              <w:jc w:val="left"/>
              <w:rPr>
                <w:rFonts w:ascii="Times New Roman" w:hAnsi="Times New Roman" w:eastAsia="等线" w:cs="Times New Roman"/>
                <w:kern w:val="0"/>
                <w:sz w:val="15"/>
                <w:szCs w:val="15"/>
              </w:rPr>
            </w:pPr>
          </w:p>
        </w:tc>
        <w:tc>
          <w:tcPr>
            <w:tcW w:w="1333" w:type="dxa"/>
            <w:vAlign w:val="center"/>
          </w:tcPr>
          <w:p>
            <w:pPr>
              <w:jc w:val="left"/>
              <w:rPr>
                <w:rFonts w:ascii="Times New Roman" w:hAnsi="Times New Roman" w:eastAsia="宋体" w:cs="Times New Roman"/>
                <w:kern w:val="0"/>
                <w:sz w:val="15"/>
                <w:szCs w:val="15"/>
              </w:rPr>
            </w:pPr>
            <w:r>
              <w:rPr>
                <w:rFonts w:ascii="Times New Roman" w:hAnsi="Times New Roman" w:eastAsia="宋体" w:cs="Times New Roman"/>
                <w:i/>
                <w:iCs/>
                <w:kern w:val="0"/>
                <w:sz w:val="15"/>
                <w:szCs w:val="15"/>
              </w:rPr>
              <w:t>k</w:t>
            </w:r>
            <w:r>
              <w:rPr>
                <w:rFonts w:hint="eastAsia" w:ascii="Times New Roman" w:hAnsi="Times New Roman" w:eastAsia="宋体" w:cs="Times New Roman"/>
                <w:i/>
                <w:iCs/>
                <w:kern w:val="0"/>
                <w:sz w:val="15"/>
                <w:szCs w:val="15"/>
                <w:vertAlign w:val="subscript"/>
              </w:rPr>
              <w:t>i</w:t>
            </w:r>
            <w:r>
              <w:rPr>
                <w:rFonts w:ascii="Times New Roman" w:hAnsi="Times New Roman" w:eastAsia="宋体" w:cs="Times New Roman"/>
                <w:kern w:val="0"/>
                <w:sz w:val="15"/>
                <w:szCs w:val="15"/>
                <w:vertAlign w:val="subscript"/>
              </w:rPr>
              <w:t>,1</w:t>
            </w:r>
            <w:r>
              <w:rPr>
                <w:rFonts w:ascii="Times New Roman" w:hAnsi="Times New Roman" w:eastAsia="宋体" w:cs="Times New Roman"/>
                <w:kern w:val="0"/>
                <w:sz w:val="15"/>
                <w:szCs w:val="15"/>
              </w:rPr>
              <w:t xml:space="preserve"> (L g</w:t>
            </w:r>
            <w:r>
              <w:rPr>
                <w:rFonts w:ascii="Times New Roman" w:hAnsi="Times New Roman" w:eastAsia="宋体" w:cs="Times New Roman"/>
                <w:kern w:val="0"/>
                <w:sz w:val="15"/>
                <w:szCs w:val="15"/>
                <w:vertAlign w:val="superscript"/>
              </w:rPr>
              <w:t>-1</w:t>
            </w:r>
            <w:r>
              <w:rPr>
                <w:rFonts w:ascii="Times New Roman" w:hAnsi="Times New Roman" w:eastAsia="宋体" w:cs="Times New Roman"/>
                <w:kern w:val="0"/>
                <w:sz w:val="15"/>
                <w:szCs w:val="15"/>
              </w:rPr>
              <w:t>)</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194.86</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254.87</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277.99</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281.50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 w:hRule="atLeast"/>
          <w:jc w:val="center"/>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等线" w:cs="Times New Roman"/>
                <w:i/>
                <w:iCs/>
                <w:kern w:val="0"/>
                <w:sz w:val="15"/>
                <w:szCs w:val="15"/>
              </w:rPr>
            </w:pPr>
            <w:r>
              <w:rPr>
                <w:rFonts w:ascii="Times New Roman" w:hAnsi="Times New Roman" w:eastAsia="等线" w:cs="Times New Roman"/>
                <w:i/>
                <w:iCs/>
                <w:kern w:val="0"/>
                <w:sz w:val="15"/>
                <w:szCs w:val="15"/>
              </w:rPr>
              <w:t>C</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31.01</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38.61</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46.54</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47.17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 w:hRule="atLeast"/>
          <w:jc w:val="center"/>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等线" w:cs="Times New Roman"/>
                <w:kern w:val="0"/>
                <w:sz w:val="15"/>
                <w:szCs w:val="15"/>
              </w:rPr>
            </w:pPr>
            <w:r>
              <w:rPr>
                <w:rFonts w:ascii="Times New Roman" w:hAnsi="Times New Roman" w:eastAsia="等线" w:cs="Times New Roman"/>
                <w:i/>
                <w:iCs/>
                <w:kern w:val="0"/>
                <w:sz w:val="15"/>
                <w:szCs w:val="15"/>
              </w:rPr>
              <w:t>R</w:t>
            </w:r>
            <w:r>
              <w:rPr>
                <w:rFonts w:ascii="Times New Roman" w:hAnsi="Times New Roman" w:eastAsia="等线" w:cs="Times New Roman"/>
                <w:kern w:val="0"/>
                <w:sz w:val="15"/>
                <w:szCs w:val="15"/>
                <w:vertAlign w:val="superscript"/>
              </w:rPr>
              <w:t>2</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0.9151</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0.9228</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0.9065</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jc w:val="center"/>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宋体" w:cs="Times New Roman"/>
                <w:i/>
                <w:iCs/>
                <w:kern w:val="0"/>
                <w:sz w:val="15"/>
                <w:szCs w:val="15"/>
              </w:rPr>
            </w:pPr>
            <w:r>
              <w:rPr>
                <w:rFonts w:ascii="Times New Roman" w:hAnsi="Times New Roman" w:eastAsia="宋体" w:cs="Times New Roman"/>
                <w:i/>
                <w:iCs/>
                <w:kern w:val="0"/>
                <w:sz w:val="15"/>
                <w:szCs w:val="15"/>
              </w:rPr>
              <w:t>SSE</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17776.59</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27557.90</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40030.64</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41129.54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jc w:val="center"/>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kern w:val="0"/>
                <w:sz w:val="15"/>
                <w:szCs w:val="15"/>
              </w:rPr>
            </w:pPr>
            <w:r>
              <w:rPr>
                <w:rFonts w:ascii="Times New Roman" w:hAnsi="Times New Roman" w:eastAsia="宋体" w:cs="Times New Roman"/>
                <w:i/>
                <w:iCs/>
                <w:kern w:val="0"/>
                <w:sz w:val="15"/>
                <w:szCs w:val="15"/>
              </w:rPr>
              <w:t>k</w:t>
            </w:r>
            <w:r>
              <w:rPr>
                <w:rFonts w:hint="eastAsia" w:ascii="Times New Roman" w:hAnsi="Times New Roman" w:eastAsia="宋体" w:cs="Times New Roman"/>
                <w:i/>
                <w:iCs/>
                <w:kern w:val="0"/>
                <w:sz w:val="15"/>
                <w:szCs w:val="15"/>
                <w:vertAlign w:val="subscript"/>
              </w:rPr>
              <w:t>i</w:t>
            </w:r>
            <w:r>
              <w:rPr>
                <w:rFonts w:ascii="Times New Roman" w:hAnsi="Times New Roman" w:eastAsia="宋体" w:cs="Times New Roman"/>
                <w:kern w:val="0"/>
                <w:sz w:val="15"/>
                <w:szCs w:val="15"/>
                <w:vertAlign w:val="subscript"/>
              </w:rPr>
              <w:t>,2</w:t>
            </w:r>
            <w:r>
              <w:rPr>
                <w:rFonts w:ascii="Times New Roman" w:hAnsi="Times New Roman" w:eastAsia="宋体" w:cs="Times New Roman"/>
                <w:kern w:val="0"/>
                <w:sz w:val="15"/>
                <w:szCs w:val="15"/>
              </w:rPr>
              <w:t xml:space="preserve"> (L g</w:t>
            </w:r>
            <w:r>
              <w:rPr>
                <w:rFonts w:ascii="Times New Roman" w:hAnsi="Times New Roman" w:eastAsia="宋体" w:cs="Times New Roman"/>
                <w:kern w:val="0"/>
                <w:sz w:val="15"/>
                <w:szCs w:val="15"/>
                <w:vertAlign w:val="superscript"/>
              </w:rPr>
              <w:t>-1</w:t>
            </w:r>
            <w:r>
              <w:rPr>
                <w:rFonts w:ascii="Times New Roman" w:hAnsi="Times New Roman" w:eastAsia="宋体" w:cs="Times New Roman"/>
                <w:kern w:val="0"/>
                <w:sz w:val="15"/>
                <w:szCs w:val="15"/>
              </w:rPr>
              <w:t>)</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14.43</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17.28</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12.19</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jc w:val="center"/>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i/>
                <w:iCs/>
                <w:kern w:val="0"/>
                <w:sz w:val="15"/>
                <w:szCs w:val="15"/>
              </w:rPr>
            </w:pPr>
            <w:r>
              <w:rPr>
                <w:rFonts w:ascii="Times New Roman" w:hAnsi="Times New Roman" w:eastAsia="等线" w:cs="Times New Roman"/>
                <w:i/>
                <w:iCs/>
                <w:kern w:val="0"/>
                <w:sz w:val="15"/>
                <w:szCs w:val="15"/>
              </w:rPr>
              <w:t>C</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785.94</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1027.19</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1133.68</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1170.07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jc w:val="center"/>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kern w:val="0"/>
                <w:sz w:val="15"/>
                <w:szCs w:val="15"/>
              </w:rPr>
            </w:pPr>
            <w:r>
              <w:rPr>
                <w:rFonts w:ascii="Times New Roman" w:hAnsi="Times New Roman" w:eastAsia="等线" w:cs="Times New Roman"/>
                <w:i/>
                <w:iCs/>
                <w:kern w:val="0"/>
                <w:sz w:val="15"/>
                <w:szCs w:val="15"/>
              </w:rPr>
              <w:t>R</w:t>
            </w:r>
            <w:r>
              <w:rPr>
                <w:rFonts w:ascii="Times New Roman" w:hAnsi="Times New Roman" w:eastAsia="等线" w:cs="Times New Roman"/>
                <w:kern w:val="0"/>
                <w:sz w:val="15"/>
                <w:szCs w:val="15"/>
                <w:vertAlign w:val="superscript"/>
              </w:rPr>
              <w:t>2</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0.9443</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0.9559</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0.9923</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0.8115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 w:hRule="atLeast"/>
          <w:jc w:val="center"/>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i/>
                <w:iCs/>
                <w:kern w:val="0"/>
                <w:sz w:val="15"/>
                <w:szCs w:val="15"/>
              </w:rPr>
            </w:pPr>
            <w:r>
              <w:rPr>
                <w:rFonts w:ascii="Times New Roman" w:hAnsi="Times New Roman" w:eastAsia="宋体" w:cs="Times New Roman"/>
                <w:i/>
                <w:iCs/>
                <w:kern w:val="0"/>
                <w:sz w:val="15"/>
                <w:szCs w:val="15"/>
              </w:rPr>
              <w:t>SSE</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22.96</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25.85</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2.17</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47.12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 w:hRule="atLeast"/>
          <w:jc w:val="center"/>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kern w:val="0"/>
                <w:sz w:val="15"/>
                <w:szCs w:val="15"/>
              </w:rPr>
            </w:pPr>
            <w:r>
              <w:rPr>
                <w:rFonts w:ascii="Times New Roman" w:hAnsi="Times New Roman" w:eastAsia="宋体" w:cs="Times New Roman"/>
                <w:i/>
                <w:iCs/>
                <w:kern w:val="0"/>
                <w:sz w:val="15"/>
                <w:szCs w:val="15"/>
              </w:rPr>
              <w:t>k</w:t>
            </w:r>
            <w:r>
              <w:rPr>
                <w:rFonts w:hint="eastAsia" w:ascii="Times New Roman" w:hAnsi="Times New Roman" w:eastAsia="宋体" w:cs="Times New Roman"/>
                <w:i/>
                <w:iCs/>
                <w:kern w:val="0"/>
                <w:sz w:val="15"/>
                <w:szCs w:val="15"/>
                <w:vertAlign w:val="subscript"/>
              </w:rPr>
              <w:t>i</w:t>
            </w:r>
            <w:r>
              <w:rPr>
                <w:rFonts w:ascii="Times New Roman" w:hAnsi="Times New Roman" w:eastAsia="宋体" w:cs="Times New Roman"/>
                <w:kern w:val="0"/>
                <w:sz w:val="15"/>
                <w:szCs w:val="15"/>
                <w:vertAlign w:val="subscript"/>
              </w:rPr>
              <w:t>,3</w:t>
            </w:r>
            <w:r>
              <w:rPr>
                <w:rFonts w:ascii="Times New Roman" w:hAnsi="Times New Roman" w:eastAsia="宋体" w:cs="Times New Roman"/>
                <w:kern w:val="0"/>
                <w:sz w:val="15"/>
                <w:szCs w:val="15"/>
              </w:rPr>
              <w:t xml:space="preserve"> (L g</w:t>
            </w:r>
            <w:r>
              <w:rPr>
                <w:rFonts w:ascii="Times New Roman" w:hAnsi="Times New Roman" w:eastAsia="宋体" w:cs="Times New Roman"/>
                <w:kern w:val="0"/>
                <w:sz w:val="15"/>
                <w:szCs w:val="15"/>
                <w:vertAlign w:val="superscript"/>
              </w:rPr>
              <w:t>-1</w:t>
            </w:r>
            <w:r>
              <w:rPr>
                <w:rFonts w:ascii="Times New Roman" w:hAnsi="Times New Roman" w:eastAsia="宋体" w:cs="Times New Roman"/>
                <w:kern w:val="0"/>
                <w:sz w:val="15"/>
                <w:szCs w:val="15"/>
              </w:rPr>
              <w:t>)</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2.06</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2.11</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2.52</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 w:hRule="atLeast"/>
          <w:jc w:val="center"/>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i/>
                <w:iCs/>
                <w:kern w:val="0"/>
                <w:sz w:val="15"/>
                <w:szCs w:val="15"/>
              </w:rPr>
            </w:pPr>
            <w:r>
              <w:rPr>
                <w:rFonts w:ascii="Times New Roman" w:hAnsi="Times New Roman" w:eastAsia="等线" w:cs="Times New Roman"/>
                <w:i/>
                <w:iCs/>
                <w:kern w:val="0"/>
                <w:sz w:val="15"/>
                <w:szCs w:val="15"/>
              </w:rPr>
              <w:t>C</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891.89</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1160.89</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1216.66</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1224.52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 w:hRule="atLeast"/>
          <w:jc w:val="center"/>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vAlign w:val="center"/>
          </w:tcPr>
          <w:p>
            <w:pPr>
              <w:jc w:val="left"/>
              <w:rPr>
                <w:rFonts w:ascii="Times New Roman" w:hAnsi="Times New Roman" w:eastAsia="Malgun Gothic" w:cs="Times New Roman"/>
                <w:kern w:val="0"/>
                <w:sz w:val="15"/>
                <w:szCs w:val="15"/>
              </w:rPr>
            </w:pPr>
            <w:r>
              <w:rPr>
                <w:rFonts w:ascii="Times New Roman" w:hAnsi="Times New Roman" w:eastAsia="等线" w:cs="Times New Roman"/>
                <w:i/>
                <w:iCs/>
                <w:kern w:val="0"/>
                <w:sz w:val="15"/>
                <w:szCs w:val="15"/>
              </w:rPr>
              <w:t>R</w:t>
            </w:r>
            <w:r>
              <w:rPr>
                <w:rFonts w:ascii="Times New Roman" w:hAnsi="Times New Roman" w:eastAsia="等线" w:cs="Times New Roman"/>
                <w:kern w:val="0"/>
                <w:sz w:val="15"/>
                <w:szCs w:val="15"/>
                <w:vertAlign w:val="superscript"/>
              </w:rPr>
              <w:t>2</w:t>
            </w:r>
          </w:p>
        </w:tc>
        <w:tc>
          <w:tcPr>
            <w:tcW w:w="813"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0.9515</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0.8997</w:t>
            </w:r>
          </w:p>
        </w:tc>
        <w:tc>
          <w:tcPr>
            <w:tcW w:w="851"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0.7253</w:t>
            </w:r>
          </w:p>
        </w:tc>
        <w:tc>
          <w:tcPr>
            <w:tcW w:w="850" w:type="dxa"/>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0.9182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 w:hRule="atLeast"/>
          <w:jc w:val="center"/>
        </w:trPr>
        <w:tc>
          <w:tcPr>
            <w:tcW w:w="1701" w:type="dxa"/>
            <w:vMerge w:val="continue"/>
            <w:tcBorders>
              <w:bottom w:val="single" w:color="auto" w:sz="4" w:space="0"/>
            </w:tcBorders>
          </w:tcPr>
          <w:p>
            <w:pPr>
              <w:jc w:val="left"/>
              <w:rPr>
                <w:rFonts w:ascii="Times New Roman" w:hAnsi="Times New Roman" w:eastAsia="等线" w:cs="Times New Roman"/>
                <w:color w:val="000000" w:themeColor="text1"/>
                <w:kern w:val="0"/>
                <w:sz w:val="15"/>
                <w:szCs w:val="15"/>
                <w:shd w:val="clear" w:color="auto" w:fill="FFFFFF"/>
                <w14:textFill>
                  <w14:solidFill>
                    <w14:schemeClr w14:val="tx1"/>
                  </w14:solidFill>
                </w14:textFill>
              </w:rPr>
            </w:pPr>
          </w:p>
        </w:tc>
        <w:tc>
          <w:tcPr>
            <w:tcW w:w="1677" w:type="dxa"/>
            <w:vMerge w:val="continue"/>
            <w:tcBorders>
              <w:bottom w:val="single" w:color="auto" w:sz="4" w:space="0"/>
            </w:tcBorders>
          </w:tcPr>
          <w:p>
            <w:pPr>
              <w:jc w:val="left"/>
              <w:rPr>
                <w:rFonts w:ascii="Times New Roman" w:hAnsi="Times New Roman" w:eastAsia="Malgun Gothic" w:cs="Times New Roman"/>
                <w:color w:val="000000" w:themeColor="text1"/>
                <w:kern w:val="0"/>
                <w:sz w:val="15"/>
                <w:szCs w:val="15"/>
                <w:shd w:val="clear" w:color="auto" w:fill="FFFFFF"/>
                <w14:textFill>
                  <w14:solidFill>
                    <w14:schemeClr w14:val="tx1"/>
                  </w14:solidFill>
                </w14:textFill>
              </w:rPr>
            </w:pPr>
          </w:p>
        </w:tc>
        <w:tc>
          <w:tcPr>
            <w:tcW w:w="1333" w:type="dxa"/>
            <w:tcBorders>
              <w:bottom w:val="single" w:color="auto" w:sz="4" w:space="0"/>
            </w:tcBorders>
            <w:vAlign w:val="center"/>
          </w:tcPr>
          <w:p>
            <w:pPr>
              <w:jc w:val="left"/>
              <w:rPr>
                <w:rFonts w:ascii="Times New Roman" w:hAnsi="Times New Roman" w:eastAsia="Malgun Gothic" w:cs="Times New Roman"/>
                <w:i/>
                <w:iCs/>
                <w:kern w:val="0"/>
                <w:sz w:val="15"/>
                <w:szCs w:val="15"/>
              </w:rPr>
            </w:pPr>
            <w:r>
              <w:rPr>
                <w:rFonts w:ascii="Times New Roman" w:hAnsi="Times New Roman" w:eastAsia="宋体" w:cs="Times New Roman"/>
                <w:i/>
                <w:iCs/>
                <w:kern w:val="0"/>
                <w:sz w:val="15"/>
                <w:szCs w:val="15"/>
              </w:rPr>
              <w:t>SSE</w:t>
            </w:r>
          </w:p>
        </w:tc>
        <w:tc>
          <w:tcPr>
            <w:tcW w:w="813" w:type="dxa"/>
            <w:tcBorders>
              <w:bottom w:val="single" w:color="auto" w:sz="4" w:space="0"/>
            </w:tcBorders>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3.01</w:t>
            </w:r>
          </w:p>
        </w:tc>
        <w:tc>
          <w:tcPr>
            <w:tcW w:w="850" w:type="dxa"/>
            <w:tcBorders>
              <w:bottom w:val="single" w:color="auto" w:sz="4" w:space="0"/>
            </w:tcBorders>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6.77</w:t>
            </w:r>
          </w:p>
        </w:tc>
        <w:tc>
          <w:tcPr>
            <w:tcW w:w="851" w:type="dxa"/>
            <w:tcBorders>
              <w:bottom w:val="single" w:color="auto" w:sz="4" w:space="0"/>
            </w:tcBorders>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30.10</w:t>
            </w:r>
          </w:p>
        </w:tc>
        <w:tc>
          <w:tcPr>
            <w:tcW w:w="850" w:type="dxa"/>
            <w:tcBorders>
              <w:bottom w:val="single" w:color="auto" w:sz="4" w:space="0"/>
            </w:tcBorders>
          </w:tcPr>
          <w:p>
            <w:pPr>
              <w:jc w:val="left"/>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pPr>
            <w:r>
              <w:rPr>
                <w:rFonts w:ascii="Times New Roman" w:hAnsi="Times New Roman" w:eastAsia="宋体" w:cs="Times New Roman"/>
                <w:color w:val="000000" w:themeColor="text1"/>
                <w:kern w:val="0"/>
                <w:sz w:val="15"/>
                <w:szCs w:val="15"/>
                <w:shd w:val="clear" w:color="auto" w:fill="FFFFFF"/>
                <w14:textFill>
                  <w14:solidFill>
                    <w14:schemeClr w14:val="tx1"/>
                  </w14:solidFill>
                </w14:textFill>
              </w:rPr>
              <w:t>19.45</w:t>
            </w:r>
          </w:p>
        </w:tc>
      </w:tr>
    </w:tbl>
    <w:p>
      <w:pPr>
        <w:widowControl/>
        <w:spacing w:line="360" w:lineRule="auto"/>
        <w:rPr>
          <w:rFonts w:ascii="Times New Roman" w:hAnsi="Times New Roman" w:cs="Times New Roman"/>
          <w:color w:val="000000" w:themeColor="text1"/>
          <w:szCs w:val="21"/>
          <w14:textFill>
            <w14:solidFill>
              <w14:schemeClr w14:val="tx1"/>
            </w14:solidFill>
          </w14:textFill>
        </w:rPr>
      </w:pPr>
    </w:p>
    <w:p>
      <w:pPr>
        <w:widowControl/>
        <w:jc w:val="left"/>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R</w:t>
      </w:r>
      <w:r>
        <w:rPr>
          <w:rFonts w:ascii="Times New Roman" w:hAnsi="Times New Roman" w:cs="Times New Roman"/>
          <w:b/>
          <w:bCs/>
          <w:color w:val="000000" w:themeColor="text1"/>
          <w:szCs w:val="21"/>
          <w14:textFill>
            <w14:solidFill>
              <w14:schemeClr w14:val="tx1"/>
            </w14:solidFill>
          </w14:textFill>
        </w:rPr>
        <w:t>eferences</w:t>
      </w:r>
    </w:p>
    <w:p>
      <w:pPr>
        <w:pStyle w:val="18"/>
        <w:ind w:left="210" w:hanging="210" w:hangingChars="100"/>
        <w:rPr>
          <w:rFonts w:ascii="Times New Roman" w:hAnsi="Times New Roman" w:cs="Times New Roman"/>
        </w:rPr>
      </w:pPr>
      <w:r>
        <w:rPr>
          <w:rFonts w:ascii="Times New Roman" w:hAnsi="Times New Roman" w:cs="Times New Roman"/>
        </w:rPr>
        <w:t xml:space="preserve">Norouzi, S., Heidari, M., Alipour, V., Rahmanian, O., Fazlzadeh, M., Mohammadi-Moghadam, F., Nourmoradi, H., Goudarzi, B., Dindarloo, K., 2018. Preparation, characterization and Cr(VI) adsorption evaluation of NaOH-activated carbon produced from Date Press Cake; an agro-industrial waste. Bioresource </w:t>
      </w:r>
      <w:r>
        <w:rPr>
          <w:rFonts w:hint="eastAsia" w:ascii="Times New Roman" w:hAnsi="Times New Roman" w:cs="Times New Roman"/>
        </w:rPr>
        <w:t>T</w:t>
      </w:r>
      <w:r>
        <w:rPr>
          <w:rFonts w:ascii="Times New Roman" w:hAnsi="Times New Roman" w:cs="Times New Roman"/>
        </w:rPr>
        <w:t>echnol. 258, 48–56. https://doi.org/10.1016/j.biortech.2018.02.106.</w:t>
      </w:r>
    </w:p>
    <w:p>
      <w:pPr>
        <w:widowControl/>
        <w:jc w:val="left"/>
        <w:rPr>
          <w:rFonts w:ascii="Times New Roman" w:hAnsi="Times New Roman" w:cs="Times New Roman"/>
          <w:b/>
          <w:bCs/>
          <w:color w:val="000000" w:themeColor="text1"/>
          <w:szCs w:val="21"/>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AdvOT9b12cd41">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Malgun Gothic">
    <w:panose1 w:val="020B0503020000020004"/>
    <w:charset w:val="81"/>
    <w:family w:val="swiss"/>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173660"/>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E5"/>
    <w:rsid w:val="00060DCB"/>
    <w:rsid w:val="000A4275"/>
    <w:rsid w:val="0012095A"/>
    <w:rsid w:val="0012578A"/>
    <w:rsid w:val="00206FED"/>
    <w:rsid w:val="002177C7"/>
    <w:rsid w:val="002441E7"/>
    <w:rsid w:val="00287B72"/>
    <w:rsid w:val="002E738D"/>
    <w:rsid w:val="0030060A"/>
    <w:rsid w:val="003A0A9B"/>
    <w:rsid w:val="003B0BA1"/>
    <w:rsid w:val="004B1328"/>
    <w:rsid w:val="004B457C"/>
    <w:rsid w:val="00536149"/>
    <w:rsid w:val="00537E7B"/>
    <w:rsid w:val="005E5675"/>
    <w:rsid w:val="006219FE"/>
    <w:rsid w:val="006A0DF8"/>
    <w:rsid w:val="006C53E5"/>
    <w:rsid w:val="006E1643"/>
    <w:rsid w:val="006E6CD3"/>
    <w:rsid w:val="007355E5"/>
    <w:rsid w:val="00735C0B"/>
    <w:rsid w:val="00762581"/>
    <w:rsid w:val="007870E3"/>
    <w:rsid w:val="0081722C"/>
    <w:rsid w:val="00863CED"/>
    <w:rsid w:val="008876AD"/>
    <w:rsid w:val="00894CD9"/>
    <w:rsid w:val="008D54CF"/>
    <w:rsid w:val="008D6FAA"/>
    <w:rsid w:val="008F49B8"/>
    <w:rsid w:val="00911CDB"/>
    <w:rsid w:val="00981A12"/>
    <w:rsid w:val="009830D9"/>
    <w:rsid w:val="009E0EDD"/>
    <w:rsid w:val="009E1433"/>
    <w:rsid w:val="00A72800"/>
    <w:rsid w:val="00A8760A"/>
    <w:rsid w:val="00AB3AF5"/>
    <w:rsid w:val="00AB76C7"/>
    <w:rsid w:val="00AD03B7"/>
    <w:rsid w:val="00AF564B"/>
    <w:rsid w:val="00B263F1"/>
    <w:rsid w:val="00B32631"/>
    <w:rsid w:val="00B513CB"/>
    <w:rsid w:val="00B6124D"/>
    <w:rsid w:val="00BB5803"/>
    <w:rsid w:val="00BC293B"/>
    <w:rsid w:val="00BC528B"/>
    <w:rsid w:val="00BE1033"/>
    <w:rsid w:val="00C43C2F"/>
    <w:rsid w:val="00C555A7"/>
    <w:rsid w:val="00CE0213"/>
    <w:rsid w:val="00CF4366"/>
    <w:rsid w:val="00D35AE5"/>
    <w:rsid w:val="00D96A32"/>
    <w:rsid w:val="00E715AD"/>
    <w:rsid w:val="00ED16F7"/>
    <w:rsid w:val="00ED5CA3"/>
    <w:rsid w:val="00EE41F2"/>
    <w:rsid w:val="00F05D3C"/>
    <w:rsid w:val="00F40D79"/>
    <w:rsid w:val="00F734C4"/>
    <w:rsid w:val="00FD00A8"/>
    <w:rsid w:val="00FF08F9"/>
    <w:rsid w:val="08D66EA5"/>
    <w:rsid w:val="293E3C28"/>
    <w:rsid w:val="32EC33CD"/>
    <w:rsid w:val="469A3AC9"/>
    <w:rsid w:val="47215573"/>
    <w:rsid w:val="48BC0576"/>
    <w:rsid w:val="498A5F5F"/>
    <w:rsid w:val="4DF66603"/>
    <w:rsid w:val="5AD761D2"/>
    <w:rsid w:val="5FC33790"/>
    <w:rsid w:val="61716DBA"/>
    <w:rsid w:val="649F37FC"/>
    <w:rsid w:val="6B4733E6"/>
    <w:rsid w:val="6CAC5A7D"/>
    <w:rsid w:val="71495B5C"/>
    <w:rsid w:val="788D75F0"/>
    <w:rsid w:val="7A182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6"/>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sz w:val="18"/>
      <w:szCs w:val="18"/>
    </w:rPr>
  </w:style>
  <w:style w:type="character" w:customStyle="1" w:styleId="9">
    <w:name w:val="页脚 字符"/>
    <w:basedOn w:val="7"/>
    <w:link w:val="3"/>
    <w:qFormat/>
    <w:uiPriority w:val="99"/>
    <w:rPr>
      <w:sz w:val="18"/>
      <w:szCs w:val="18"/>
    </w:rPr>
  </w:style>
  <w:style w:type="paragraph" w:customStyle="1" w:styleId="10">
    <w:name w:val="IOPTitle"/>
    <w:basedOn w:val="1"/>
    <w:link w:val="11"/>
    <w:qFormat/>
    <w:uiPriority w:val="0"/>
    <w:pPr>
      <w:widowControl/>
      <w:spacing w:after="520" w:line="259" w:lineRule="auto"/>
      <w:jc w:val="left"/>
    </w:pPr>
    <w:rPr>
      <w:b/>
      <w:kern w:val="0"/>
      <w:sz w:val="48"/>
      <w:szCs w:val="48"/>
      <w:lang w:val="en-GB" w:eastAsia="en-US"/>
    </w:rPr>
  </w:style>
  <w:style w:type="character" w:customStyle="1" w:styleId="11">
    <w:name w:val="IOPTitle Char"/>
    <w:basedOn w:val="7"/>
    <w:link w:val="10"/>
    <w:qFormat/>
    <w:uiPriority w:val="0"/>
    <w:rPr>
      <w:b/>
      <w:kern w:val="0"/>
      <w:sz w:val="48"/>
      <w:szCs w:val="48"/>
      <w:lang w:val="en-GB" w:eastAsia="en-US"/>
    </w:rPr>
  </w:style>
  <w:style w:type="paragraph" w:customStyle="1" w:styleId="12">
    <w:name w:val="书目1"/>
    <w:basedOn w:val="1"/>
    <w:next w:val="1"/>
    <w:unhideWhenUsed/>
    <w:qFormat/>
    <w:uiPriority w:val="37"/>
    <w:pPr>
      <w:tabs>
        <w:tab w:val="left" w:pos="384"/>
      </w:tabs>
      <w:ind w:left="384" w:hanging="384"/>
    </w:pPr>
  </w:style>
  <w:style w:type="character" w:customStyle="1" w:styleId="13">
    <w:name w:val="fontstyle01"/>
    <w:basedOn w:val="7"/>
    <w:qFormat/>
    <w:uiPriority w:val="0"/>
    <w:rPr>
      <w:rFonts w:hint="default" w:ascii="AdvOT9b12cd41" w:hAnsi="AdvOT9b12cd41"/>
      <w:color w:val="242021"/>
      <w:sz w:val="14"/>
      <w:szCs w:val="14"/>
    </w:rPr>
  </w:style>
  <w:style w:type="paragraph" w:customStyle="1" w:styleId="14">
    <w:name w:val="IOPAff"/>
    <w:basedOn w:val="1"/>
    <w:link w:val="15"/>
    <w:qFormat/>
    <w:uiPriority w:val="0"/>
    <w:pPr>
      <w:widowControl/>
      <w:spacing w:line="259" w:lineRule="auto"/>
      <w:ind w:right="2552"/>
      <w:jc w:val="left"/>
    </w:pPr>
    <w:rPr>
      <w:rFonts w:ascii="Times New Roman" w:hAnsi="Times New Roman" w:cs="Times New Roman"/>
      <w:kern w:val="0"/>
      <w:sz w:val="18"/>
      <w:szCs w:val="18"/>
      <w:lang w:val="en-GB" w:eastAsia="en-US"/>
    </w:rPr>
  </w:style>
  <w:style w:type="character" w:customStyle="1" w:styleId="15">
    <w:name w:val="IOPAff Char"/>
    <w:basedOn w:val="7"/>
    <w:link w:val="14"/>
    <w:qFormat/>
    <w:uiPriority w:val="0"/>
    <w:rPr>
      <w:rFonts w:ascii="Times New Roman" w:hAnsi="Times New Roman" w:cs="Times New Roman"/>
      <w:sz w:val="18"/>
      <w:szCs w:val="18"/>
      <w:lang w:val="en-GB" w:eastAsia="en-US"/>
    </w:rPr>
  </w:style>
  <w:style w:type="character" w:customStyle="1" w:styleId="16">
    <w:name w:val="批注框文本 字符"/>
    <w:basedOn w:val="7"/>
    <w:link w:val="2"/>
    <w:semiHidden/>
    <w:uiPriority w:val="99"/>
    <w:rPr>
      <w:kern w:val="2"/>
      <w:sz w:val="18"/>
      <w:szCs w:val="18"/>
    </w:rPr>
  </w:style>
  <w:style w:type="paragraph" w:styleId="17">
    <w:name w:val="List Paragraph"/>
    <w:basedOn w:val="1"/>
    <w:uiPriority w:val="99"/>
    <w:pPr>
      <w:ind w:firstLine="420" w:firstLineChars="200"/>
    </w:pPr>
  </w:style>
  <w:style w:type="paragraph" w:customStyle="1" w:styleId="18">
    <w:name w:val="书目2"/>
    <w:basedOn w:val="1"/>
    <w:next w:val="1"/>
    <w:unhideWhenUsed/>
    <w:uiPriority w:val="37"/>
    <w:pPr>
      <w:ind w:left="720" w:hanging="720"/>
    </w:p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2.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752</Words>
  <Characters>4293</Characters>
  <Lines>35</Lines>
  <Paragraphs>10</Paragraphs>
  <TotalTime>9</TotalTime>
  <ScaleCrop>false</ScaleCrop>
  <LinksUpToDate>false</LinksUpToDate>
  <CharactersWithSpaces>5035</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2022-03-21T11:45:00Z</dcterms:created>
  <dc:creator>Administrator</dc:creator>
  <cp:lastModifiedBy>小桔灯</cp:lastModifiedBy>
  <dcterms:modified xsi:type="dcterms:W3CDTF">2022-06-12T12:55:55Z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F327672149D04C35A73C62F264D290D9</vt:lpwstr>
  </property>
  <property fmtid="{D5CDD505-2E9C-101B-9397-08002B2CF9AE}" pid="4" name="ZOTERO_PREF_1">
    <vt:lpwstr>&lt;data data-version="3" zotero-version="6.0.3"&gt;&lt;session id="VjIT5h4g"/&gt;&lt;style id="http://www.zotero.org/styles/arabian-journal-of-chemistry" hasBibliography="1" bibliographyStyleHasBeenSet="1"/&gt;&lt;prefs&gt;&lt;pref name="fieldType" value="Field"/&gt;&lt;/prefs&gt;&lt;/data&gt;</vt:lpwstr>
  </property>
</Properties>
</file>