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BA31" w14:textId="3711C4D9" w:rsidR="00AF703B" w:rsidRDefault="00AF703B" w:rsidP="00AF703B">
      <w:pPr>
        <w:bidi w:val="0"/>
        <w:spacing w:line="480" w:lineRule="auto"/>
        <w:jc w:val="center"/>
        <w:rPr>
          <w:rFonts w:asciiTheme="majorBidi" w:hAnsiTheme="majorBidi" w:cstheme="majorBidi"/>
          <w:b/>
          <w:bCs/>
          <w:sz w:val="24"/>
          <w:szCs w:val="24"/>
        </w:rPr>
      </w:pPr>
      <w:r>
        <w:rPr>
          <w:rFonts w:asciiTheme="majorBidi" w:hAnsiTheme="majorBidi" w:cstheme="majorBidi"/>
          <w:b/>
          <w:bCs/>
          <w:sz w:val="24"/>
          <w:szCs w:val="24"/>
        </w:rPr>
        <w:t>Appendix A:</w:t>
      </w:r>
      <w:r w:rsidRPr="00AF703B">
        <w:t xml:space="preserve"> </w:t>
      </w:r>
      <w:r w:rsidRPr="00AF703B">
        <w:rPr>
          <w:rFonts w:asciiTheme="majorBidi" w:hAnsiTheme="majorBidi" w:cstheme="majorBidi"/>
          <w:b/>
          <w:bCs/>
          <w:sz w:val="24"/>
          <w:szCs w:val="24"/>
        </w:rPr>
        <w:t>Supplementary Information</w:t>
      </w:r>
    </w:p>
    <w:p w14:paraId="44BDAF34" w14:textId="77777777" w:rsidR="00AF703B" w:rsidRDefault="00AF703B" w:rsidP="00AF703B">
      <w:pPr>
        <w:bidi w:val="0"/>
        <w:spacing w:line="480" w:lineRule="auto"/>
        <w:jc w:val="center"/>
        <w:rPr>
          <w:rFonts w:asciiTheme="majorBidi" w:hAnsiTheme="majorBidi" w:cstheme="majorBidi"/>
          <w:b/>
          <w:bCs/>
          <w:sz w:val="24"/>
          <w:szCs w:val="24"/>
        </w:rPr>
      </w:pPr>
    </w:p>
    <w:p w14:paraId="522389C6" w14:textId="2E06CE38" w:rsidR="00AF703B" w:rsidRPr="00345098" w:rsidRDefault="00AF703B" w:rsidP="00345098">
      <w:pPr>
        <w:bidi w:val="0"/>
        <w:spacing w:line="480" w:lineRule="auto"/>
        <w:jc w:val="center"/>
        <w:rPr>
          <w:rFonts w:asciiTheme="majorBidi" w:hAnsiTheme="majorBidi" w:cstheme="majorBidi"/>
          <w:b/>
          <w:bCs/>
          <w:sz w:val="24"/>
          <w:szCs w:val="24"/>
        </w:rPr>
      </w:pPr>
      <w:r w:rsidRPr="001F32CA">
        <w:rPr>
          <w:rFonts w:asciiTheme="majorBidi" w:hAnsiTheme="majorBidi" w:cstheme="majorBidi"/>
          <w:b/>
          <w:bCs/>
          <w:sz w:val="24"/>
          <w:szCs w:val="24"/>
        </w:rPr>
        <w:t>Graphene Oxide/</w:t>
      </w:r>
      <w:proofErr w:type="spellStart"/>
      <w:r w:rsidRPr="001F32CA">
        <w:rPr>
          <w:rFonts w:asciiTheme="majorBidi" w:hAnsiTheme="majorBidi" w:cstheme="majorBidi"/>
          <w:b/>
          <w:bCs/>
          <w:sz w:val="24"/>
          <w:szCs w:val="24"/>
        </w:rPr>
        <w:t>ZnO</w:t>
      </w:r>
      <w:proofErr w:type="spellEnd"/>
      <w:r w:rsidRPr="001F32CA">
        <w:rPr>
          <w:rFonts w:asciiTheme="majorBidi" w:hAnsiTheme="majorBidi" w:cstheme="majorBidi"/>
          <w:b/>
          <w:bCs/>
          <w:sz w:val="24"/>
          <w:szCs w:val="24"/>
        </w:rPr>
        <w:t xml:space="preserve"> Nanocomposites for Efficient Removal of Heavy Metal and Organic Contaminants from Water</w:t>
      </w:r>
    </w:p>
    <w:p w14:paraId="38694BF8" w14:textId="77777777" w:rsidR="00AF703B" w:rsidRPr="001F32CA" w:rsidRDefault="00AF703B" w:rsidP="00AF703B">
      <w:pPr>
        <w:bidi w:val="0"/>
        <w:spacing w:line="480" w:lineRule="auto"/>
        <w:jc w:val="center"/>
        <w:rPr>
          <w:rFonts w:asciiTheme="majorBidi" w:hAnsiTheme="majorBidi" w:cstheme="majorBidi"/>
          <w:sz w:val="24"/>
          <w:szCs w:val="24"/>
        </w:rPr>
      </w:pPr>
      <w:proofErr w:type="spellStart"/>
      <w:r w:rsidRPr="001F32CA">
        <w:rPr>
          <w:rFonts w:asciiTheme="majorBidi" w:hAnsiTheme="majorBidi" w:cstheme="majorBidi"/>
          <w:sz w:val="24"/>
          <w:szCs w:val="24"/>
        </w:rPr>
        <w:t>Omolbanin</w:t>
      </w:r>
      <w:proofErr w:type="spellEnd"/>
      <w:r w:rsidRPr="001F32CA">
        <w:rPr>
          <w:rFonts w:asciiTheme="majorBidi" w:hAnsiTheme="majorBidi" w:cstheme="majorBidi"/>
          <w:sz w:val="24"/>
          <w:szCs w:val="24"/>
        </w:rPr>
        <w:t xml:space="preserve"> </w:t>
      </w:r>
      <w:proofErr w:type="spellStart"/>
      <w:r w:rsidRPr="001F32CA">
        <w:rPr>
          <w:rFonts w:asciiTheme="majorBidi" w:hAnsiTheme="majorBidi" w:cstheme="majorBidi"/>
          <w:sz w:val="24"/>
          <w:szCs w:val="24"/>
        </w:rPr>
        <w:t>Hosseinkhani</w:t>
      </w:r>
      <w:proofErr w:type="spellEnd"/>
      <w:r w:rsidRPr="001F32CA">
        <w:rPr>
          <w:rFonts w:asciiTheme="majorBidi" w:hAnsiTheme="majorBidi" w:cstheme="majorBidi"/>
          <w:sz w:val="24"/>
          <w:szCs w:val="24"/>
          <w:vertAlign w:val="superscript"/>
        </w:rPr>
        <w:t xml:space="preserve"> A×</w:t>
      </w:r>
      <w:r w:rsidRPr="001F32CA">
        <w:rPr>
          <w:rFonts w:asciiTheme="majorBidi" w:hAnsiTheme="majorBidi" w:cstheme="majorBidi"/>
          <w:sz w:val="24"/>
          <w:szCs w:val="24"/>
        </w:rPr>
        <w:t xml:space="preserve">, Ali </w:t>
      </w:r>
      <w:proofErr w:type="spellStart"/>
      <w:r>
        <w:rPr>
          <w:rFonts w:asciiTheme="majorBidi" w:hAnsiTheme="majorBidi" w:cstheme="majorBidi"/>
          <w:sz w:val="24"/>
          <w:szCs w:val="24"/>
        </w:rPr>
        <w:t>H</w:t>
      </w:r>
      <w:r w:rsidRPr="001F32CA">
        <w:rPr>
          <w:rFonts w:asciiTheme="majorBidi" w:hAnsiTheme="majorBidi" w:cstheme="majorBidi"/>
          <w:sz w:val="24"/>
          <w:szCs w:val="24"/>
        </w:rPr>
        <w:t>amzehlouy</w:t>
      </w:r>
      <w:proofErr w:type="spellEnd"/>
      <w:r>
        <w:rPr>
          <w:rFonts w:asciiTheme="majorBidi" w:hAnsiTheme="majorBidi" w:cstheme="majorBidi"/>
          <w:sz w:val="24"/>
          <w:szCs w:val="24"/>
          <w:vertAlign w:val="superscript"/>
        </w:rPr>
        <w:t xml:space="preserve"> </w:t>
      </w:r>
      <w:r w:rsidRPr="001F32CA">
        <w:rPr>
          <w:rFonts w:asciiTheme="majorBidi" w:hAnsiTheme="majorBidi" w:cstheme="majorBidi"/>
          <w:sz w:val="24"/>
          <w:szCs w:val="24"/>
          <w:vertAlign w:val="superscript"/>
        </w:rPr>
        <w:t>B×</w:t>
      </w:r>
      <w:r w:rsidRPr="001F32CA">
        <w:rPr>
          <w:rFonts w:asciiTheme="majorBidi" w:hAnsiTheme="majorBidi" w:cstheme="majorBidi"/>
          <w:sz w:val="24"/>
          <w:szCs w:val="24"/>
        </w:rPr>
        <w:t>, Sasan Dan</w:t>
      </w:r>
      <w:r>
        <w:rPr>
          <w:rFonts w:asciiTheme="majorBidi" w:hAnsiTheme="majorBidi" w:cstheme="majorBidi"/>
          <w:sz w:val="24"/>
          <w:szCs w:val="24"/>
          <w:vertAlign w:val="superscript"/>
        </w:rPr>
        <w:t xml:space="preserve"> </w:t>
      </w:r>
      <w:r w:rsidRPr="001F32CA">
        <w:rPr>
          <w:rFonts w:asciiTheme="majorBidi" w:hAnsiTheme="majorBidi" w:cstheme="majorBidi"/>
          <w:sz w:val="24"/>
          <w:szCs w:val="24"/>
          <w:vertAlign w:val="superscript"/>
        </w:rPr>
        <w:t>C∞</w:t>
      </w:r>
      <w:r w:rsidRPr="001F32CA">
        <w:rPr>
          <w:rFonts w:asciiTheme="majorBidi" w:hAnsiTheme="majorBidi" w:cstheme="majorBidi"/>
          <w:sz w:val="24"/>
          <w:szCs w:val="24"/>
        </w:rPr>
        <w:t>*,</w:t>
      </w:r>
      <w:r w:rsidRPr="00567C21">
        <w:t xml:space="preserve"> </w:t>
      </w:r>
      <w:r w:rsidRPr="00567C21">
        <w:rPr>
          <w:rFonts w:asciiTheme="majorBidi" w:hAnsiTheme="majorBidi" w:cstheme="majorBidi"/>
          <w:sz w:val="24"/>
          <w:szCs w:val="24"/>
        </w:rPr>
        <w:t xml:space="preserve">Neda </w:t>
      </w:r>
      <w:proofErr w:type="spellStart"/>
      <w:r w:rsidRPr="00567C21">
        <w:rPr>
          <w:rFonts w:asciiTheme="majorBidi" w:hAnsiTheme="majorBidi" w:cstheme="majorBidi"/>
          <w:sz w:val="24"/>
          <w:szCs w:val="24"/>
        </w:rPr>
        <w:t>Sanchouli</w:t>
      </w:r>
      <w:proofErr w:type="spellEnd"/>
      <w:r>
        <w:rPr>
          <w:rFonts w:asciiTheme="majorBidi" w:hAnsiTheme="majorBidi" w:cstheme="majorBidi"/>
          <w:sz w:val="24"/>
          <w:szCs w:val="24"/>
          <w:vertAlign w:val="superscript"/>
        </w:rPr>
        <w:t xml:space="preserve"> </w:t>
      </w:r>
      <w:r w:rsidRPr="00567C21">
        <w:rPr>
          <w:rFonts w:asciiTheme="majorBidi" w:hAnsiTheme="majorBidi" w:cstheme="majorBidi"/>
          <w:sz w:val="24"/>
          <w:szCs w:val="24"/>
          <w:vertAlign w:val="superscript"/>
        </w:rPr>
        <w:t>D</w:t>
      </w:r>
      <w:r w:rsidRPr="001F32CA">
        <w:rPr>
          <w:rFonts w:asciiTheme="majorBidi" w:hAnsiTheme="majorBidi" w:cstheme="majorBidi"/>
          <w:sz w:val="24"/>
          <w:szCs w:val="24"/>
          <w:vertAlign w:val="superscript"/>
        </w:rPr>
        <w:t>∞</w:t>
      </w:r>
      <w:r w:rsidRPr="001F32CA">
        <w:rPr>
          <w:rFonts w:asciiTheme="majorBidi" w:hAnsiTheme="majorBidi" w:cstheme="majorBidi"/>
          <w:sz w:val="24"/>
          <w:szCs w:val="24"/>
        </w:rPr>
        <w:t>,</w:t>
      </w:r>
      <w:r>
        <w:rPr>
          <w:rFonts w:asciiTheme="majorBidi" w:hAnsiTheme="majorBidi" w:cstheme="majorBidi"/>
          <w:sz w:val="24"/>
          <w:szCs w:val="24"/>
        </w:rPr>
        <w:t xml:space="preserve"> </w:t>
      </w:r>
      <w:r w:rsidRPr="001F32CA">
        <w:rPr>
          <w:rFonts w:asciiTheme="majorBidi" w:hAnsiTheme="majorBidi" w:cstheme="majorBidi"/>
          <w:sz w:val="24"/>
          <w:szCs w:val="24"/>
        </w:rPr>
        <w:t xml:space="preserve">Mehran </w:t>
      </w:r>
      <w:proofErr w:type="spellStart"/>
      <w:r w:rsidRPr="001F32CA">
        <w:rPr>
          <w:rFonts w:asciiTheme="majorBidi" w:hAnsiTheme="majorBidi" w:cstheme="majorBidi"/>
          <w:sz w:val="24"/>
          <w:szCs w:val="24"/>
        </w:rPr>
        <w:t>Tavakkoli</w:t>
      </w:r>
      <w:proofErr w:type="spellEnd"/>
      <w:r>
        <w:rPr>
          <w:rFonts w:asciiTheme="majorBidi" w:hAnsiTheme="majorBidi" w:cstheme="majorBidi"/>
          <w:sz w:val="24"/>
          <w:szCs w:val="24"/>
        </w:rPr>
        <w:t xml:space="preserve"> </w:t>
      </w:r>
      <w:r w:rsidRPr="001F32CA">
        <w:rPr>
          <w:rFonts w:asciiTheme="majorBidi" w:hAnsiTheme="majorBidi" w:cstheme="majorBidi"/>
          <w:sz w:val="24"/>
          <w:szCs w:val="24"/>
          <w:vertAlign w:val="superscript"/>
        </w:rPr>
        <w:t>C</w:t>
      </w:r>
      <w:r w:rsidRPr="001F32CA">
        <w:rPr>
          <w:rFonts w:asciiTheme="majorBidi" w:hAnsiTheme="majorBidi" w:cstheme="majorBidi"/>
          <w:sz w:val="24"/>
          <w:szCs w:val="24"/>
        </w:rPr>
        <w:t>,</w:t>
      </w:r>
      <w:r>
        <w:rPr>
          <w:rFonts w:asciiTheme="majorBidi" w:hAnsiTheme="majorBidi" w:cstheme="majorBidi"/>
          <w:sz w:val="24"/>
          <w:szCs w:val="24"/>
        </w:rPr>
        <w:t xml:space="preserve"> </w:t>
      </w:r>
      <w:r w:rsidRPr="001F32CA">
        <w:rPr>
          <w:rFonts w:asciiTheme="majorBidi" w:hAnsiTheme="majorBidi" w:cstheme="majorBidi"/>
          <w:sz w:val="24"/>
          <w:szCs w:val="24"/>
        </w:rPr>
        <w:t xml:space="preserve">Hassan </w:t>
      </w:r>
      <w:proofErr w:type="spellStart"/>
      <w:r>
        <w:rPr>
          <w:rFonts w:asciiTheme="majorBidi" w:hAnsiTheme="majorBidi" w:cstheme="majorBidi"/>
          <w:sz w:val="24"/>
          <w:szCs w:val="24"/>
        </w:rPr>
        <w:t>H</w:t>
      </w:r>
      <w:r w:rsidRPr="001F32CA">
        <w:rPr>
          <w:rFonts w:asciiTheme="majorBidi" w:hAnsiTheme="majorBidi" w:cstheme="majorBidi"/>
          <w:sz w:val="24"/>
          <w:szCs w:val="24"/>
        </w:rPr>
        <w:t>ashemipour</w:t>
      </w:r>
      <w:proofErr w:type="spellEnd"/>
      <w:r w:rsidRPr="001F32CA">
        <w:rPr>
          <w:rFonts w:asciiTheme="majorBidi" w:hAnsiTheme="majorBidi" w:cstheme="majorBidi"/>
          <w:sz w:val="24"/>
          <w:szCs w:val="24"/>
        </w:rPr>
        <w:t xml:space="preserve"> </w:t>
      </w:r>
      <w:r w:rsidRPr="001F32CA">
        <w:rPr>
          <w:rFonts w:asciiTheme="majorBidi" w:hAnsiTheme="majorBidi" w:cstheme="majorBidi"/>
          <w:sz w:val="24"/>
          <w:szCs w:val="24"/>
          <w:vertAlign w:val="superscript"/>
        </w:rPr>
        <w:t>E</w:t>
      </w:r>
      <w:r w:rsidRPr="001F32CA">
        <w:rPr>
          <w:rFonts w:asciiTheme="majorBidi" w:hAnsiTheme="majorBidi" w:cstheme="majorBidi"/>
          <w:sz w:val="24"/>
          <w:szCs w:val="24"/>
        </w:rPr>
        <w:t>*</w:t>
      </w:r>
    </w:p>
    <w:p w14:paraId="3A94372B" w14:textId="77777777" w:rsidR="00AF703B" w:rsidRPr="001F32CA" w:rsidRDefault="00AF703B" w:rsidP="00AF703B">
      <w:pPr>
        <w:bidi w:val="0"/>
        <w:spacing w:line="480" w:lineRule="auto"/>
        <w:jc w:val="center"/>
        <w:rPr>
          <w:rFonts w:asciiTheme="majorBidi" w:hAnsiTheme="majorBidi" w:cstheme="majorBidi"/>
          <w:sz w:val="24"/>
          <w:szCs w:val="24"/>
        </w:rPr>
      </w:pPr>
    </w:p>
    <w:p w14:paraId="631550CC" w14:textId="77777777" w:rsidR="00AF703B" w:rsidRPr="001F32CA" w:rsidRDefault="00AF703B" w:rsidP="00AF703B">
      <w:pPr>
        <w:bidi w:val="0"/>
        <w:jc w:val="both"/>
        <w:rPr>
          <w:rFonts w:asciiTheme="majorBidi" w:hAnsiTheme="majorBidi" w:cstheme="majorBidi"/>
          <w:sz w:val="24"/>
          <w:szCs w:val="24"/>
        </w:rPr>
      </w:pPr>
      <w:r w:rsidRPr="001F32CA">
        <w:rPr>
          <w:rFonts w:asciiTheme="majorBidi" w:hAnsiTheme="majorBidi" w:cstheme="majorBidi"/>
          <w:sz w:val="24"/>
          <w:szCs w:val="24"/>
        </w:rPr>
        <w:t xml:space="preserve">A-Membrane Processes Research Laboratory (MPRL), Department of Chemical Engineering, </w:t>
      </w:r>
      <w:bookmarkStart w:id="0" w:name="OLE_LINK1"/>
      <w:bookmarkStart w:id="1" w:name="OLE_LINK2"/>
      <w:proofErr w:type="spellStart"/>
      <w:r w:rsidRPr="001F32CA">
        <w:rPr>
          <w:rFonts w:asciiTheme="majorBidi" w:hAnsiTheme="majorBidi" w:cstheme="majorBidi"/>
          <w:sz w:val="24"/>
          <w:szCs w:val="24"/>
        </w:rPr>
        <w:t>Amirkabir</w:t>
      </w:r>
      <w:proofErr w:type="spellEnd"/>
      <w:r w:rsidRPr="001F32CA">
        <w:rPr>
          <w:rFonts w:asciiTheme="majorBidi" w:hAnsiTheme="majorBidi" w:cstheme="majorBidi"/>
          <w:sz w:val="24"/>
          <w:szCs w:val="24"/>
        </w:rPr>
        <w:t xml:space="preserve"> University of Technology (Tehran Polytechnic), Tehran, Iran</w:t>
      </w:r>
      <w:bookmarkEnd w:id="0"/>
      <w:bookmarkEnd w:id="1"/>
      <w:r w:rsidRPr="001F32CA">
        <w:rPr>
          <w:rFonts w:asciiTheme="majorBidi" w:hAnsiTheme="majorBidi" w:cstheme="majorBidi"/>
          <w:sz w:val="24"/>
          <w:szCs w:val="24"/>
        </w:rPr>
        <w:t>.</w:t>
      </w:r>
    </w:p>
    <w:p w14:paraId="43C99CB1" w14:textId="77777777" w:rsidR="00AF703B" w:rsidRPr="001F32CA" w:rsidRDefault="00AF703B" w:rsidP="00AF703B">
      <w:pPr>
        <w:bidi w:val="0"/>
        <w:jc w:val="both"/>
        <w:rPr>
          <w:rFonts w:asciiTheme="majorBidi" w:hAnsiTheme="majorBidi" w:cstheme="majorBidi"/>
          <w:sz w:val="24"/>
          <w:szCs w:val="24"/>
        </w:rPr>
      </w:pPr>
      <w:r w:rsidRPr="001F32CA">
        <w:rPr>
          <w:rFonts w:asciiTheme="majorBidi" w:hAnsiTheme="majorBidi" w:cstheme="majorBidi"/>
          <w:sz w:val="24"/>
          <w:szCs w:val="24"/>
        </w:rPr>
        <w:t>B-</w:t>
      </w:r>
      <w:r>
        <w:rPr>
          <w:rFonts w:asciiTheme="majorBidi" w:hAnsiTheme="majorBidi" w:cstheme="majorBidi"/>
          <w:sz w:val="24"/>
          <w:szCs w:val="24"/>
        </w:rPr>
        <w:t>P</w:t>
      </w:r>
      <w:r w:rsidRPr="001F32CA">
        <w:rPr>
          <w:rFonts w:asciiTheme="majorBidi" w:hAnsiTheme="majorBidi" w:cstheme="majorBidi"/>
          <w:sz w:val="24"/>
          <w:szCs w:val="24"/>
        </w:rPr>
        <w:t xml:space="preserve">olymer </w:t>
      </w:r>
      <w:r>
        <w:rPr>
          <w:rFonts w:asciiTheme="majorBidi" w:hAnsiTheme="majorBidi" w:cstheme="majorBidi"/>
          <w:sz w:val="24"/>
          <w:szCs w:val="24"/>
        </w:rPr>
        <w:t>E</w:t>
      </w:r>
      <w:r w:rsidRPr="001F32CA">
        <w:rPr>
          <w:rFonts w:asciiTheme="majorBidi" w:hAnsiTheme="majorBidi" w:cstheme="majorBidi"/>
          <w:sz w:val="24"/>
          <w:szCs w:val="24"/>
        </w:rPr>
        <w:t xml:space="preserve">ngineering </w:t>
      </w:r>
      <w:r>
        <w:rPr>
          <w:rFonts w:asciiTheme="majorBidi" w:hAnsiTheme="majorBidi" w:cstheme="majorBidi"/>
          <w:sz w:val="24"/>
          <w:szCs w:val="24"/>
        </w:rPr>
        <w:t>D</w:t>
      </w:r>
      <w:r w:rsidRPr="001F32CA">
        <w:rPr>
          <w:rFonts w:asciiTheme="majorBidi" w:hAnsiTheme="majorBidi" w:cstheme="majorBidi"/>
          <w:sz w:val="24"/>
          <w:szCs w:val="24"/>
        </w:rPr>
        <w:t xml:space="preserve">epartment, </w:t>
      </w:r>
      <w:proofErr w:type="spellStart"/>
      <w:r w:rsidRPr="001F32CA">
        <w:rPr>
          <w:rFonts w:asciiTheme="majorBidi" w:hAnsiTheme="majorBidi" w:cstheme="majorBidi"/>
          <w:sz w:val="24"/>
          <w:szCs w:val="24"/>
        </w:rPr>
        <w:t>Amirkabir</w:t>
      </w:r>
      <w:proofErr w:type="spellEnd"/>
      <w:r w:rsidRPr="001F32CA">
        <w:rPr>
          <w:rFonts w:asciiTheme="majorBidi" w:hAnsiTheme="majorBidi" w:cstheme="majorBidi"/>
          <w:sz w:val="24"/>
          <w:szCs w:val="24"/>
        </w:rPr>
        <w:t xml:space="preserve"> University of Technology (Tehran Polytechnic), Tehran, Iran.</w:t>
      </w:r>
    </w:p>
    <w:p w14:paraId="288D126F" w14:textId="77777777" w:rsidR="00AF703B" w:rsidRPr="001F32CA" w:rsidRDefault="00AF703B" w:rsidP="00AF703B">
      <w:pPr>
        <w:bidi w:val="0"/>
        <w:jc w:val="both"/>
        <w:rPr>
          <w:rFonts w:asciiTheme="majorBidi" w:hAnsiTheme="majorBidi" w:cstheme="majorBidi"/>
          <w:sz w:val="24"/>
          <w:szCs w:val="24"/>
        </w:rPr>
      </w:pPr>
      <w:r w:rsidRPr="001F32CA">
        <w:rPr>
          <w:rFonts w:asciiTheme="majorBidi" w:hAnsiTheme="majorBidi" w:cstheme="majorBidi"/>
          <w:sz w:val="24"/>
          <w:szCs w:val="24"/>
        </w:rPr>
        <w:t>C</w:t>
      </w:r>
      <w:r>
        <w:rPr>
          <w:rFonts w:asciiTheme="majorBidi" w:hAnsiTheme="majorBidi" w:cstheme="majorBidi"/>
          <w:sz w:val="24"/>
          <w:szCs w:val="24"/>
        </w:rPr>
        <w:t>-</w:t>
      </w:r>
      <w:r w:rsidRPr="001F32CA">
        <w:rPr>
          <w:rFonts w:asciiTheme="majorBidi" w:hAnsiTheme="majorBidi" w:cstheme="majorBidi"/>
          <w:sz w:val="24"/>
          <w:szCs w:val="24"/>
        </w:rPr>
        <w:t>Chemical Engineering Department, Faculty of Engineering, Shahid Bahonar University of Kerman, Kerman, Iran</w:t>
      </w:r>
      <w:r>
        <w:rPr>
          <w:rFonts w:asciiTheme="majorBidi" w:hAnsiTheme="majorBidi" w:cstheme="majorBidi"/>
          <w:sz w:val="24"/>
          <w:szCs w:val="24"/>
        </w:rPr>
        <w:t>.</w:t>
      </w:r>
    </w:p>
    <w:p w14:paraId="470907E3" w14:textId="77777777" w:rsidR="00AF703B" w:rsidRPr="001F32CA" w:rsidRDefault="00AF703B" w:rsidP="00AF703B">
      <w:pPr>
        <w:bidi w:val="0"/>
        <w:jc w:val="both"/>
        <w:rPr>
          <w:rFonts w:asciiTheme="majorBidi" w:hAnsiTheme="majorBidi" w:cstheme="majorBidi"/>
          <w:sz w:val="24"/>
          <w:szCs w:val="24"/>
        </w:rPr>
      </w:pPr>
      <w:r w:rsidRPr="001F32CA">
        <w:rPr>
          <w:rFonts w:asciiTheme="majorBidi" w:hAnsiTheme="majorBidi" w:cstheme="majorBidi"/>
          <w:sz w:val="24"/>
          <w:szCs w:val="24"/>
        </w:rPr>
        <w:t>D-Department of Petroleum Engineering, Shahid Bahonar University of Kerman, Kerman, Iran</w:t>
      </w:r>
      <w:r>
        <w:rPr>
          <w:rFonts w:asciiTheme="majorBidi" w:hAnsiTheme="majorBidi" w:cstheme="majorBidi"/>
          <w:sz w:val="24"/>
          <w:szCs w:val="24"/>
        </w:rPr>
        <w:t>.</w:t>
      </w:r>
    </w:p>
    <w:p w14:paraId="408067F5" w14:textId="77777777" w:rsidR="00AF703B" w:rsidRPr="001F32CA" w:rsidRDefault="00AF703B" w:rsidP="00AF703B">
      <w:pPr>
        <w:bidi w:val="0"/>
        <w:jc w:val="both"/>
        <w:rPr>
          <w:rFonts w:asciiTheme="majorBidi" w:hAnsiTheme="majorBidi" w:cstheme="majorBidi"/>
          <w:sz w:val="24"/>
          <w:szCs w:val="24"/>
        </w:rPr>
      </w:pPr>
      <w:r w:rsidRPr="001F32CA">
        <w:rPr>
          <w:rFonts w:asciiTheme="majorBidi" w:hAnsiTheme="majorBidi" w:cstheme="majorBidi"/>
          <w:sz w:val="24"/>
          <w:szCs w:val="24"/>
        </w:rPr>
        <w:t>E-Chemical Engineering Department, Faculty of Engineering, Vali-</w:t>
      </w:r>
      <w:r>
        <w:rPr>
          <w:rFonts w:asciiTheme="majorBidi" w:hAnsiTheme="majorBidi" w:cstheme="majorBidi"/>
          <w:sz w:val="24"/>
          <w:szCs w:val="24"/>
        </w:rPr>
        <w:t>e</w:t>
      </w:r>
      <w:r w:rsidRPr="001F32CA">
        <w:rPr>
          <w:rFonts w:asciiTheme="majorBidi" w:hAnsiTheme="majorBidi" w:cstheme="majorBidi"/>
          <w:sz w:val="24"/>
          <w:szCs w:val="24"/>
        </w:rPr>
        <w:t xml:space="preserve">-Asr University of </w:t>
      </w:r>
      <w:proofErr w:type="spellStart"/>
      <w:r w:rsidRPr="001F32CA">
        <w:rPr>
          <w:rFonts w:asciiTheme="majorBidi" w:hAnsiTheme="majorBidi" w:cstheme="majorBidi"/>
          <w:sz w:val="24"/>
          <w:szCs w:val="24"/>
        </w:rPr>
        <w:t>Rafsanjan</w:t>
      </w:r>
      <w:proofErr w:type="spellEnd"/>
      <w:r w:rsidRPr="001F32CA">
        <w:rPr>
          <w:rFonts w:asciiTheme="majorBidi" w:hAnsiTheme="majorBidi" w:cstheme="majorBidi"/>
          <w:sz w:val="24"/>
          <w:szCs w:val="24"/>
        </w:rPr>
        <w:t xml:space="preserve">, </w:t>
      </w:r>
      <w:proofErr w:type="spellStart"/>
      <w:r w:rsidRPr="001F32CA">
        <w:rPr>
          <w:rFonts w:asciiTheme="majorBidi" w:hAnsiTheme="majorBidi" w:cstheme="majorBidi"/>
          <w:sz w:val="24"/>
          <w:szCs w:val="24"/>
        </w:rPr>
        <w:t>Rafsanjan</w:t>
      </w:r>
      <w:proofErr w:type="spellEnd"/>
      <w:r w:rsidRPr="001F32CA">
        <w:rPr>
          <w:rFonts w:asciiTheme="majorBidi" w:hAnsiTheme="majorBidi" w:cstheme="majorBidi"/>
          <w:sz w:val="24"/>
          <w:szCs w:val="24"/>
        </w:rPr>
        <w:t>, Iran</w:t>
      </w:r>
      <w:r>
        <w:rPr>
          <w:rFonts w:asciiTheme="majorBidi" w:hAnsiTheme="majorBidi" w:cstheme="majorBidi"/>
          <w:sz w:val="24"/>
          <w:szCs w:val="24"/>
        </w:rPr>
        <w:t>.</w:t>
      </w:r>
      <w:r w:rsidRPr="001F32CA">
        <w:rPr>
          <w:rFonts w:asciiTheme="majorBidi" w:hAnsiTheme="majorBidi" w:cstheme="majorBidi"/>
          <w:sz w:val="24"/>
          <w:szCs w:val="24"/>
        </w:rPr>
        <w:t xml:space="preserve"> </w:t>
      </w:r>
    </w:p>
    <w:p w14:paraId="1920E957" w14:textId="77777777" w:rsidR="00AF703B" w:rsidRPr="001F32CA" w:rsidRDefault="00AF703B" w:rsidP="00AF703B">
      <w:pPr>
        <w:bidi w:val="0"/>
        <w:spacing w:line="480" w:lineRule="auto"/>
        <w:jc w:val="center"/>
        <w:rPr>
          <w:rFonts w:asciiTheme="majorBidi" w:hAnsiTheme="majorBidi" w:cstheme="majorBidi"/>
          <w:sz w:val="24"/>
          <w:szCs w:val="24"/>
        </w:rPr>
      </w:pPr>
    </w:p>
    <w:p w14:paraId="1EA45F16" w14:textId="77777777" w:rsidR="00AF703B" w:rsidRPr="001F32CA" w:rsidRDefault="00AF703B" w:rsidP="00AF703B">
      <w:pPr>
        <w:bidi w:val="0"/>
        <w:rPr>
          <w:rFonts w:asciiTheme="majorBidi" w:hAnsiTheme="majorBidi" w:cstheme="majorBidi"/>
          <w:sz w:val="24"/>
          <w:szCs w:val="24"/>
        </w:rPr>
      </w:pPr>
    </w:p>
    <w:p w14:paraId="22E0967A" w14:textId="77777777" w:rsidR="00AF703B" w:rsidRPr="00CE6502" w:rsidRDefault="00AF703B" w:rsidP="00AF703B">
      <w:pPr>
        <w:bidi w:val="0"/>
        <w:spacing w:line="240" w:lineRule="auto"/>
        <w:jc w:val="both"/>
        <w:rPr>
          <w:rFonts w:asciiTheme="majorBidi" w:hAnsiTheme="majorBidi" w:cstheme="majorBidi"/>
        </w:rPr>
      </w:pPr>
      <w:r w:rsidRPr="00CE6502">
        <w:rPr>
          <w:rFonts w:asciiTheme="majorBidi" w:hAnsiTheme="majorBidi" w:cstheme="majorBidi"/>
          <w:sz w:val="24"/>
          <w:szCs w:val="24"/>
          <w:vertAlign w:val="superscript"/>
        </w:rPr>
        <w:t>×</w:t>
      </w:r>
      <w:r w:rsidRPr="00CE6502">
        <w:rPr>
          <w:rFonts w:asciiTheme="majorBidi" w:hAnsiTheme="majorBidi" w:cstheme="majorBidi"/>
        </w:rPr>
        <w:t xml:space="preserve"> These two authors contributed equally and share the first name authorship.</w:t>
      </w:r>
    </w:p>
    <w:p w14:paraId="1CF984BD" w14:textId="77777777" w:rsidR="00AF703B" w:rsidRPr="00CE6502" w:rsidRDefault="00AF703B" w:rsidP="00AF703B">
      <w:pPr>
        <w:bidi w:val="0"/>
        <w:spacing w:line="240" w:lineRule="auto"/>
        <w:jc w:val="both"/>
        <w:rPr>
          <w:rFonts w:asciiTheme="majorBidi" w:hAnsiTheme="majorBidi" w:cstheme="majorBidi"/>
        </w:rPr>
      </w:pPr>
      <w:r w:rsidRPr="00CE6502">
        <w:rPr>
          <w:rFonts w:asciiTheme="majorBidi" w:hAnsiTheme="majorBidi" w:cstheme="majorBidi"/>
          <w:sz w:val="24"/>
          <w:szCs w:val="24"/>
          <w:vertAlign w:val="superscript"/>
        </w:rPr>
        <w:t>∞</w:t>
      </w:r>
      <w:r w:rsidRPr="00CE6502">
        <w:rPr>
          <w:rFonts w:asciiTheme="majorBidi" w:hAnsiTheme="majorBidi" w:cstheme="majorBidi"/>
        </w:rPr>
        <w:t xml:space="preserve"> These two authors contributed equally and share the second name authorship.</w:t>
      </w:r>
    </w:p>
    <w:p w14:paraId="6BA35A5A" w14:textId="77777777" w:rsidR="002F3EF8" w:rsidRDefault="00AF703B" w:rsidP="00AF703B">
      <w:pPr>
        <w:bidi w:val="0"/>
        <w:spacing w:line="240" w:lineRule="auto"/>
        <w:rPr>
          <w:rFonts w:asciiTheme="majorBidi" w:hAnsiTheme="majorBidi" w:cstheme="majorBidi"/>
        </w:rPr>
      </w:pPr>
      <w:r w:rsidRPr="00CE6502">
        <w:rPr>
          <w:rFonts w:asciiTheme="majorBidi" w:hAnsiTheme="majorBidi" w:cstheme="majorBidi"/>
        </w:rPr>
        <w:t>* Corresponding authors.</w:t>
      </w:r>
    </w:p>
    <w:p w14:paraId="48E8C4B9" w14:textId="5CB5E5D5" w:rsidR="002F3EF8" w:rsidRPr="002F3EF8" w:rsidRDefault="002F3EF8" w:rsidP="002F3EF8">
      <w:pPr>
        <w:bidi w:val="0"/>
        <w:spacing w:line="240" w:lineRule="auto"/>
        <w:rPr>
          <w:rFonts w:asciiTheme="majorBidi" w:hAnsiTheme="majorBidi" w:cstheme="majorBidi"/>
        </w:rPr>
      </w:pPr>
      <w:r w:rsidRPr="002F3EF8">
        <w:rPr>
          <w:rFonts w:asciiTheme="majorBidi" w:hAnsiTheme="majorBidi" w:cstheme="majorBidi"/>
          <w:color w:val="000000"/>
          <w:lang w:bidi="ar-SA"/>
          <w14:ligatures w14:val="standardContextual"/>
        </w:rPr>
        <w:t xml:space="preserve">E-mail addresses: </w:t>
      </w:r>
      <w:hyperlink r:id="rId5" w:history="1">
        <w:r w:rsidRPr="002F3EF8">
          <w:rPr>
            <w:rStyle w:val="Hyperlink"/>
            <w:rFonts w:asciiTheme="majorBidi" w:hAnsiTheme="majorBidi" w:cstheme="majorBidi"/>
            <w:lang w:bidi="ar-SA"/>
            <w14:ligatures w14:val="standardContextual"/>
          </w:rPr>
          <w:t>Sasandan@gmail.com</w:t>
        </w:r>
      </w:hyperlink>
      <w:r w:rsidR="00773C4F">
        <w:rPr>
          <w:rFonts w:asciiTheme="majorBidi" w:hAnsiTheme="majorBidi" w:cstheme="majorBidi"/>
          <w:color w:val="0080AE"/>
          <w:lang w:bidi="ar-SA"/>
          <w14:ligatures w14:val="standardContextual"/>
        </w:rPr>
        <w:t xml:space="preserve"> </w:t>
      </w:r>
      <w:r w:rsidR="00773C4F" w:rsidRPr="00773C4F">
        <w:rPr>
          <w:rFonts w:asciiTheme="majorBidi" w:hAnsiTheme="majorBidi" w:cstheme="majorBidi"/>
          <w:lang w:bidi="ar-SA"/>
          <w14:ligatures w14:val="standardContextual"/>
        </w:rPr>
        <w:t>(</w:t>
      </w:r>
      <w:proofErr w:type="spellStart"/>
      <w:proofErr w:type="gramStart"/>
      <w:r w:rsidR="00773C4F" w:rsidRPr="00773C4F">
        <w:rPr>
          <w:rFonts w:asciiTheme="majorBidi" w:hAnsiTheme="majorBidi" w:cstheme="majorBidi"/>
          <w:lang w:bidi="ar-SA"/>
          <w14:ligatures w14:val="standardContextual"/>
        </w:rPr>
        <w:t>S.Dan</w:t>
      </w:r>
      <w:proofErr w:type="spellEnd"/>
      <w:proofErr w:type="gramEnd"/>
      <w:r w:rsidR="00773C4F" w:rsidRPr="00773C4F">
        <w:rPr>
          <w:rFonts w:asciiTheme="majorBidi" w:hAnsiTheme="majorBidi" w:cstheme="majorBidi"/>
          <w:lang w:bidi="ar-SA"/>
          <w14:ligatures w14:val="standardContextual"/>
        </w:rPr>
        <w:t>)</w:t>
      </w:r>
      <w:r w:rsidRPr="002F3EF8">
        <w:rPr>
          <w:rFonts w:asciiTheme="majorBidi" w:hAnsiTheme="majorBidi" w:cstheme="majorBidi"/>
        </w:rPr>
        <w:t xml:space="preserve">, </w:t>
      </w:r>
      <w:hyperlink r:id="rId6" w:history="1">
        <w:r w:rsidRPr="002F3EF8">
          <w:rPr>
            <w:rStyle w:val="Hyperlink"/>
            <w:rFonts w:asciiTheme="majorBidi" w:hAnsiTheme="majorBidi" w:cstheme="majorBidi"/>
          </w:rPr>
          <w:t>hashemipur@yahoo.com</w:t>
        </w:r>
      </w:hyperlink>
      <w:r w:rsidR="00773C4F">
        <w:rPr>
          <w:rFonts w:asciiTheme="majorBidi" w:hAnsiTheme="majorBidi" w:cstheme="majorBidi"/>
        </w:rPr>
        <w:t xml:space="preserve"> (H.</w:t>
      </w:r>
      <w:r w:rsidR="00773C4F" w:rsidRPr="00773C4F">
        <w:rPr>
          <w:rFonts w:asciiTheme="majorBidi" w:hAnsiTheme="majorBidi" w:cstheme="majorBidi"/>
          <w:sz w:val="24"/>
          <w:szCs w:val="24"/>
        </w:rPr>
        <w:t xml:space="preserve"> </w:t>
      </w:r>
      <w:proofErr w:type="spellStart"/>
      <w:r w:rsidR="00773C4F">
        <w:rPr>
          <w:rFonts w:asciiTheme="majorBidi" w:hAnsiTheme="majorBidi" w:cstheme="majorBidi"/>
          <w:sz w:val="24"/>
          <w:szCs w:val="24"/>
        </w:rPr>
        <w:t>H</w:t>
      </w:r>
      <w:r w:rsidR="00773C4F" w:rsidRPr="001F32CA">
        <w:rPr>
          <w:rFonts w:asciiTheme="majorBidi" w:hAnsiTheme="majorBidi" w:cstheme="majorBidi"/>
          <w:sz w:val="24"/>
          <w:szCs w:val="24"/>
        </w:rPr>
        <w:t>ashemipour</w:t>
      </w:r>
      <w:proofErr w:type="spellEnd"/>
      <w:r w:rsidR="00773C4F">
        <w:rPr>
          <w:rFonts w:asciiTheme="majorBidi" w:hAnsiTheme="majorBidi" w:cstheme="majorBidi"/>
          <w:sz w:val="24"/>
          <w:szCs w:val="24"/>
        </w:rPr>
        <w:t>)</w:t>
      </w:r>
    </w:p>
    <w:p w14:paraId="2B6605E7" w14:textId="0354024C" w:rsidR="00AF703B" w:rsidRPr="002F3EF8" w:rsidRDefault="002F3EF8" w:rsidP="002F3EF8">
      <w:pPr>
        <w:bidi w:val="0"/>
        <w:spacing w:line="240" w:lineRule="auto"/>
        <w:rPr>
          <w:rFonts w:asciiTheme="majorBidi" w:hAnsiTheme="majorBidi" w:cstheme="majorBidi"/>
          <w:sz w:val="24"/>
          <w:szCs w:val="24"/>
        </w:rPr>
      </w:pPr>
      <w:r w:rsidRPr="002F3EF8">
        <w:rPr>
          <w:rFonts w:asciiTheme="majorBidi" w:hAnsiTheme="majorBidi" w:cstheme="majorBidi"/>
          <w:sz w:val="24"/>
          <w:szCs w:val="24"/>
        </w:rPr>
        <w:t xml:space="preserve"> </w:t>
      </w:r>
      <w:r w:rsidR="00AF703B" w:rsidRPr="002F3EF8">
        <w:rPr>
          <w:rFonts w:asciiTheme="majorBidi" w:hAnsiTheme="majorBidi" w:cstheme="majorBidi"/>
          <w:sz w:val="24"/>
          <w:szCs w:val="24"/>
        </w:rPr>
        <w:br w:type="page"/>
      </w:r>
    </w:p>
    <w:p w14:paraId="5D3FC9F4" w14:textId="428CEB54" w:rsidR="00AC3407" w:rsidRPr="00AC3407" w:rsidRDefault="00AC3407" w:rsidP="00AC3407">
      <w:pPr>
        <w:bidi w:val="0"/>
        <w:spacing w:line="480" w:lineRule="auto"/>
        <w:jc w:val="both"/>
        <w:rPr>
          <w:rFonts w:asciiTheme="majorBidi" w:hAnsiTheme="majorBidi" w:cstheme="majorBidi"/>
          <w:b/>
          <w:bCs/>
          <w:i/>
          <w:iCs/>
          <w:color w:val="000000" w:themeColor="text1"/>
          <w:sz w:val="24"/>
          <w:szCs w:val="24"/>
        </w:rPr>
      </w:pPr>
      <w:r w:rsidRPr="001F32CA">
        <w:rPr>
          <w:rFonts w:asciiTheme="majorBidi" w:hAnsiTheme="majorBidi" w:cstheme="majorBidi"/>
          <w:b/>
          <w:bCs/>
          <w:i/>
          <w:iCs/>
          <w:color w:val="000000" w:themeColor="text1"/>
          <w:sz w:val="24"/>
          <w:szCs w:val="24"/>
        </w:rPr>
        <w:lastRenderedPageBreak/>
        <w:t>Equilibrium adsorption isotherms</w:t>
      </w:r>
    </w:p>
    <w:p w14:paraId="585D9F50" w14:textId="34E200A7" w:rsidR="00AF703B" w:rsidRPr="001F32CA" w:rsidRDefault="00AF703B" w:rsidP="00AC3407">
      <w:pPr>
        <w:bidi w:val="0"/>
        <w:spacing w:line="480" w:lineRule="auto"/>
        <w:jc w:val="both"/>
        <w:rPr>
          <w:rFonts w:asciiTheme="majorBidi" w:hAnsiTheme="majorBidi" w:cstheme="majorBidi"/>
          <w:sz w:val="24"/>
          <w:szCs w:val="24"/>
        </w:rPr>
      </w:pPr>
      <w:r w:rsidRPr="00E449A7">
        <w:rPr>
          <w:rFonts w:asciiTheme="majorBidi" w:hAnsiTheme="majorBidi" w:cstheme="majorBidi"/>
          <w:sz w:val="24"/>
          <w:szCs w:val="24"/>
        </w:rPr>
        <w:t>The Temkin isotherm model is a two-parameter model that considers the influences of indirect adsorbate/adsorbent interactions on adsorption procedures. Temkin isotherm</w:t>
      </w:r>
      <w:r w:rsidRPr="001F32CA">
        <w:rPr>
          <w:rFonts w:asciiTheme="majorBidi" w:hAnsiTheme="majorBidi" w:cstheme="majorBidi"/>
          <w:sz w:val="24"/>
          <w:szCs w:val="24"/>
        </w:rPr>
        <w:t xml:space="preserve"> considering the impact of the adsorbate interaction on adsorption reactions tends to be applied for heterogeneous adsorption of adsorbate onto an adsorbent </w:t>
      </w:r>
      <w:r w:rsidRPr="001F32CA">
        <w:rPr>
          <w:rFonts w:asciiTheme="majorBidi" w:hAnsiTheme="majorBidi" w:cstheme="majorBidi"/>
          <w:color w:val="0000FF"/>
          <w:sz w:val="24"/>
          <w:szCs w:val="24"/>
        </w:rPr>
        <w:fldChar w:fldCharType="begin" w:fldLock="1"/>
      </w:r>
      <w:r>
        <w:rPr>
          <w:rFonts w:asciiTheme="majorBidi" w:hAnsiTheme="majorBidi" w:cstheme="majorBidi"/>
          <w:color w:val="0000FF"/>
          <w:sz w:val="24"/>
          <w:szCs w:val="24"/>
        </w:rPr>
        <w:instrText>ADDIN CSL_CITATION {"citationItems":[{"id":"ITEM-1","itemData":{"DOI":"https://doi.org/10.1016/j.saa.2013.12.099","ISSN":"1386-1425","abstract":"To ascertain the contribution of adsorptive capacity of Montmorillonite (MMT) towards photocatalytic process, CdSe-MMT nanocomposites are explored for adsorptive removal of Indigo Carmine (IC). The nanocomposites are prepared via two approaches: (a) in-situ formation and (b) wet impregnation of CdSe onto MMT support. XRD analysis of composites suggested the proper dispersion of CdSe nanoparticles in MMT clay matrix with spherical morphology of 5–10nm sized CdSe nanoparticles. These nanocomposites are employed for photocatalytic degradation of IC under visible light at various IC concentrations and different amount of catalyst. Kinetics of IC is found to be of pseudo-second order with 10% in-situ and 50% loaded nanocomposites exhibiting better photocatalytic activity at 1.0gL−1 catalyst and 100mgL−1of IC. Dynamics of its adsorptive removal on the composite surface evaluated by employing error estimation tools clearly suggest that Redlich–Peterson and Flory–Huggins adsorption isotherms effectively describe the multi-layer process. It is observed that spontaneous, exothermic chemisorption process occurring on the surface indeed enhances photocatalytic activity. Moreover, such a feature is also found to be associated with diffusion of IC within mesoporous structure of MMT that subsequently favors pore-diffusion controlled adsorption process. IR spectral analysis demonstrated that IC molecule is degraded on the catalyst surface. Light or oxygenated species induced photocorrosion of CdSe is suppressed due to its composite formation with MMT that results in 620ppm removal of IC during successive cycles; a feature ascribed as improved photocatalytic activity for CdSe nanoparticles.","author":[{"dropping-particle":"","family":"Chikate","given":"Rajeev C","non-dropping-particle":"","parse-names":false,"suffix":""},{"dropping-particle":"","family":"Kadu","given":"Brijesh S","non-dropping-particle":"","parse-names":false,"suffix":""}],"container-title":"Spectrochimica Acta Part A: Molecular and Biomolecular Spectroscopy","id":"ITEM-1","issued":{"date-parts":[["2014"]]},"page":"138-147","title":"Improved photocatalytic activity of CdSe-nanocomposites: Effect of Montmorillonite support towards efficient removal of Indigo Carmine","type":"article-journal","volume":"124"},"uris":["http://www.mendeley.com/documents/?uuid=b1665294-f994-4f15-9535-025f96b1caa5","http://www.mendeley.com/documents/?uuid=2d28c4a3-75fa-4f7a-8dfb-558bc0a4d97e"]}],"mendeley":{"formattedCitation":"[1]","plainTextFormattedCitation":"[1]","previouslyFormattedCitation":"(Chikate and Kadu, 2014)"},"properties":{"noteIndex":0},"schema":"https://github.com/citation-style-language/schema/raw/master/csl-citation.json"}</w:instrText>
      </w:r>
      <w:r w:rsidRPr="001F32CA">
        <w:rPr>
          <w:rFonts w:asciiTheme="majorBidi" w:hAnsiTheme="majorBidi" w:cstheme="majorBidi"/>
          <w:color w:val="0000FF"/>
          <w:sz w:val="24"/>
          <w:szCs w:val="24"/>
        </w:rPr>
        <w:fldChar w:fldCharType="separate"/>
      </w:r>
      <w:r w:rsidRPr="00AF703B">
        <w:rPr>
          <w:rFonts w:asciiTheme="majorBidi" w:hAnsiTheme="majorBidi" w:cstheme="majorBidi"/>
          <w:noProof/>
          <w:color w:val="0000FF"/>
          <w:sz w:val="24"/>
          <w:szCs w:val="24"/>
        </w:rPr>
        <w:t>[1]</w:t>
      </w:r>
      <w:r w:rsidRPr="001F32CA">
        <w:rPr>
          <w:rFonts w:asciiTheme="majorBidi" w:hAnsiTheme="majorBidi" w:cstheme="majorBidi"/>
          <w:color w:val="0000FF"/>
          <w:sz w:val="24"/>
          <w:szCs w:val="24"/>
        </w:rPr>
        <w:fldChar w:fldCharType="end"/>
      </w:r>
      <w:r w:rsidRPr="001F32CA">
        <w:rPr>
          <w:rFonts w:asciiTheme="majorBidi" w:hAnsiTheme="majorBidi" w:cstheme="majorBidi"/>
          <w:sz w:val="24"/>
          <w:szCs w:val="24"/>
        </w:rPr>
        <w:t xml:space="preserve">. The linearized form of </w:t>
      </w:r>
      <w:r>
        <w:rPr>
          <w:rFonts w:asciiTheme="majorBidi" w:hAnsiTheme="majorBidi" w:cstheme="majorBidi"/>
          <w:sz w:val="24"/>
          <w:szCs w:val="24"/>
        </w:rPr>
        <w:t xml:space="preserve">the </w:t>
      </w:r>
      <w:r w:rsidRPr="001F32CA">
        <w:rPr>
          <w:rFonts w:asciiTheme="majorBidi" w:hAnsiTheme="majorBidi" w:cstheme="majorBidi"/>
          <w:sz w:val="24"/>
          <w:szCs w:val="24"/>
        </w:rPr>
        <w:t xml:space="preserve">Temkin isotherm model can be described as follows </w:t>
      </w:r>
      <w:r w:rsidRPr="001F32CA">
        <w:rPr>
          <w:rFonts w:asciiTheme="majorBidi" w:hAnsiTheme="majorBidi" w:cstheme="majorBidi"/>
          <w:color w:val="0000FF"/>
          <w:sz w:val="24"/>
          <w:szCs w:val="24"/>
        </w:rPr>
        <w:t>(</w:t>
      </w:r>
      <w:r w:rsidR="00AC3407">
        <w:rPr>
          <w:rFonts w:asciiTheme="majorBidi" w:hAnsiTheme="majorBidi" w:cstheme="majorBidi"/>
          <w:sz w:val="24"/>
          <w:szCs w:val="24"/>
        </w:rPr>
        <w:t>eq.S1</w:t>
      </w:r>
      <w:r w:rsidRPr="001F32CA">
        <w:rPr>
          <w:rFonts w:asciiTheme="majorBidi" w:hAnsiTheme="majorBidi" w:cstheme="majorBidi"/>
          <w:color w:val="0000FF"/>
          <w:sz w:val="24"/>
          <w:szCs w:val="24"/>
        </w:rPr>
        <w:t xml:space="preserve">) </w:t>
      </w:r>
      <w:r w:rsidRPr="001F32CA">
        <w:rPr>
          <w:rFonts w:asciiTheme="majorBidi" w:hAnsiTheme="majorBidi" w:cstheme="majorBidi"/>
          <w:color w:val="0000FF"/>
          <w:sz w:val="24"/>
          <w:szCs w:val="24"/>
        </w:rPr>
        <w:fldChar w:fldCharType="begin" w:fldLock="1"/>
      </w:r>
      <w:r>
        <w:rPr>
          <w:rFonts w:asciiTheme="majorBidi" w:hAnsiTheme="majorBidi" w:cstheme="majorBidi"/>
          <w:color w:val="0000FF"/>
          <w:sz w:val="24"/>
          <w:szCs w:val="24"/>
        </w:rPr>
        <w:instrText>ADDIN CSL_CITATION {"citationItems":[{"id":"ITEM-1","itemData":{"DOI":"10.1155/2017/3039817","ISSN":"2090-9063","abstract":"The need to design low-cost adsorbents for the detoxification of industrial effluents has been a growing concern for most environmental researchers. So modelling of experimental data from adsorption processes is a very important means of predicting the mechanisms of various adsorption systems. Therefore, this paper presents an overall review of the applications of adsorption isotherms, the use of linear regression analysis, nonlinear regression analysis, and error functions for optimum adsorption data analysis.","author":[{"dropping-particle":"","family":"Ayawei","given":"Nimibofa","non-dropping-particle":"","parse-names":false,"suffix":""},{"dropping-particle":"","family":"Ebelegi","given":"Augustus Newton","non-dropping-particle":"","parse-names":false,"suffix":""},{"dropping-particle":"","family":"Wankasi","given":"Donbebe","non-dropping-particle":"","parse-names":false,"suffix":""}],"container-title":"Journal of Chemistry","editor":[{"dropping-particle":"","family":"Guo","given":"Wenshan","non-dropping-particle":"","parse-names":false,"suffix":""}],"id":"ITEM-1","issued":{"date-parts":[["2017"]]},"page":"3039817","publisher":"Hindawi","title":"Modelling and Interpretation of Adsorption Isotherms","type":"article-journal","volume":"2017"},"uris":["http://www.mendeley.com/documents/?uuid=338ee30e-5bb0-48d8-88b6-ef36a4a031a8","http://www.mendeley.com/documents/?uuid=aa458df4-aeb3-4fce-8c59-23c9d1f66104"]}],"mendeley":{"formattedCitation":"[2]","plainTextFormattedCitation":"[2]","previouslyFormattedCitation":"(Ayawei et al., 2017)"},"properties":{"noteIndex":0},"schema":"https://github.com/citation-style-language/schema/raw/master/csl-citation.json"}</w:instrText>
      </w:r>
      <w:r w:rsidRPr="001F32CA">
        <w:rPr>
          <w:rFonts w:asciiTheme="majorBidi" w:hAnsiTheme="majorBidi" w:cstheme="majorBidi"/>
          <w:color w:val="0000FF"/>
          <w:sz w:val="24"/>
          <w:szCs w:val="24"/>
        </w:rPr>
        <w:fldChar w:fldCharType="separate"/>
      </w:r>
      <w:r w:rsidRPr="00AF703B">
        <w:rPr>
          <w:rFonts w:asciiTheme="majorBidi" w:hAnsiTheme="majorBidi" w:cstheme="majorBidi"/>
          <w:noProof/>
          <w:color w:val="0000FF"/>
          <w:sz w:val="24"/>
          <w:szCs w:val="24"/>
        </w:rPr>
        <w:t>[2]</w:t>
      </w:r>
      <w:r w:rsidRPr="001F32CA">
        <w:rPr>
          <w:rFonts w:asciiTheme="majorBidi" w:hAnsiTheme="majorBidi" w:cstheme="majorBidi"/>
          <w:color w:val="0000FF"/>
          <w:sz w:val="24"/>
          <w:szCs w:val="24"/>
        </w:rPr>
        <w:fldChar w:fldCharType="end"/>
      </w:r>
      <w:r>
        <w:rPr>
          <w:rFonts w:asciiTheme="majorBidi" w:hAnsiTheme="majorBidi" w:cstheme="majorBid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F703B" w:rsidRPr="001F32CA" w14:paraId="7A3D4456" w14:textId="77777777" w:rsidTr="00C46B89">
        <w:tc>
          <w:tcPr>
            <w:tcW w:w="4621" w:type="dxa"/>
          </w:tcPr>
          <w:p w14:paraId="1AB59DF3" w14:textId="77777777" w:rsidR="00AF703B" w:rsidRPr="001F32CA" w:rsidRDefault="00AF703B" w:rsidP="00AF703B">
            <w:pPr>
              <w:bidi w:val="0"/>
              <w:spacing w:line="480" w:lineRule="auto"/>
              <w:jc w:val="both"/>
              <w:rPr>
                <w:rFonts w:asciiTheme="majorBidi" w:hAnsiTheme="majorBidi" w:cstheme="majorBidi"/>
                <w:sz w:val="24"/>
                <w:szCs w:val="24"/>
              </w:rPr>
            </w:pPr>
            <w:r w:rsidRPr="001F32CA">
              <w:rPr>
                <w:rFonts w:asciiTheme="majorBidi" w:hAnsiTheme="majorBidi" w:cstheme="majorBidi"/>
                <w:position w:val="-12"/>
                <w:sz w:val="24"/>
                <w:szCs w:val="24"/>
              </w:rPr>
              <w:object w:dxaOrig="2620" w:dyaOrig="360" w14:anchorId="6E3E5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18.15pt" o:ole="">
                  <v:imagedata r:id="rId7" o:title=""/>
                </v:shape>
                <o:OLEObject Type="Embed" ProgID="Equation.DSMT4" ShapeID="_x0000_i1025" DrawAspect="Content" ObjectID="_1750766300" r:id="rId8"/>
              </w:object>
            </w:r>
          </w:p>
        </w:tc>
        <w:tc>
          <w:tcPr>
            <w:tcW w:w="4621" w:type="dxa"/>
          </w:tcPr>
          <w:p w14:paraId="44793D9B" w14:textId="43D6D74D" w:rsidR="00AF703B" w:rsidRPr="001F32CA" w:rsidRDefault="00AF703B" w:rsidP="00AF703B">
            <w:pPr>
              <w:bidi w:val="0"/>
              <w:spacing w:line="480" w:lineRule="auto"/>
              <w:jc w:val="both"/>
              <w:rPr>
                <w:rFonts w:asciiTheme="majorBidi" w:hAnsiTheme="majorBidi" w:cstheme="majorBidi"/>
                <w:sz w:val="24"/>
                <w:szCs w:val="24"/>
                <w:rtl/>
              </w:rPr>
            </w:pPr>
            <w:r w:rsidRPr="001F32CA">
              <w:rPr>
                <w:rFonts w:asciiTheme="majorBidi" w:hAnsiTheme="majorBidi" w:cstheme="majorBidi"/>
                <w:sz w:val="24"/>
                <w:szCs w:val="24"/>
              </w:rPr>
              <w:t>(</w:t>
            </w:r>
            <w:r w:rsidR="00AC3407">
              <w:rPr>
                <w:rFonts w:asciiTheme="majorBidi" w:hAnsiTheme="majorBidi" w:cstheme="majorBidi"/>
                <w:sz w:val="24"/>
                <w:szCs w:val="24"/>
              </w:rPr>
              <w:t>1</w:t>
            </w:r>
            <w:r w:rsidRPr="001F32CA">
              <w:rPr>
                <w:rFonts w:asciiTheme="majorBidi" w:hAnsiTheme="majorBidi" w:cstheme="majorBidi"/>
                <w:sz w:val="24"/>
                <w:szCs w:val="24"/>
              </w:rPr>
              <w:t>)</w:t>
            </w:r>
          </w:p>
        </w:tc>
      </w:tr>
    </w:tbl>
    <w:p w14:paraId="1B73A010" w14:textId="77777777" w:rsidR="00AF703B" w:rsidRDefault="00AF703B" w:rsidP="00AF703B">
      <w:pPr>
        <w:bidi w:val="0"/>
        <w:spacing w:line="480" w:lineRule="auto"/>
        <w:jc w:val="both"/>
        <w:rPr>
          <w:rFonts w:asciiTheme="majorBidi" w:hAnsiTheme="majorBidi" w:cstheme="majorBidi"/>
          <w:sz w:val="24"/>
          <w:szCs w:val="24"/>
        </w:rPr>
      </w:pPr>
    </w:p>
    <w:p w14:paraId="3DD0535D" w14:textId="1ECE397A" w:rsidR="00AF703B" w:rsidRPr="00E449A7" w:rsidRDefault="00AF703B" w:rsidP="00AF703B">
      <w:pPr>
        <w:bidi w:val="0"/>
        <w:spacing w:line="480" w:lineRule="auto"/>
        <w:jc w:val="both"/>
        <w:rPr>
          <w:rFonts w:asciiTheme="majorBidi" w:hAnsiTheme="majorBidi" w:cstheme="majorBidi"/>
          <w:sz w:val="24"/>
          <w:szCs w:val="24"/>
        </w:rPr>
      </w:pPr>
      <w:r w:rsidRPr="00E449A7">
        <w:rPr>
          <w:rFonts w:asciiTheme="majorBidi" w:hAnsiTheme="majorBidi" w:cstheme="majorBidi"/>
          <w:sz w:val="24"/>
          <w:szCs w:val="24"/>
        </w:rPr>
        <w:t>Where, β</w:t>
      </w:r>
      <w:r w:rsidRPr="00E449A7">
        <w:rPr>
          <w:rFonts w:asciiTheme="majorBidi" w:hAnsiTheme="majorBidi" w:cstheme="majorBidi"/>
          <w:sz w:val="24"/>
          <w:szCs w:val="24"/>
          <w:vertAlign w:val="subscript"/>
        </w:rPr>
        <w:t>T</w:t>
      </w:r>
      <w:r w:rsidRPr="00E449A7">
        <w:rPr>
          <w:rFonts w:asciiTheme="majorBidi" w:hAnsiTheme="majorBidi" w:cstheme="majorBidi"/>
          <w:sz w:val="24"/>
          <w:szCs w:val="24"/>
        </w:rPr>
        <w:t xml:space="preserve"> is the short form of expression RT/</w:t>
      </w:r>
      <w:proofErr w:type="spellStart"/>
      <w:r w:rsidRPr="00E449A7">
        <w:rPr>
          <w:rFonts w:asciiTheme="majorBidi" w:hAnsiTheme="majorBidi" w:cstheme="majorBidi"/>
          <w:sz w:val="24"/>
          <w:szCs w:val="24"/>
        </w:rPr>
        <w:t>b</w:t>
      </w:r>
      <w:r w:rsidRPr="00E449A7">
        <w:rPr>
          <w:rFonts w:asciiTheme="majorBidi" w:hAnsiTheme="majorBidi" w:cstheme="majorBidi"/>
          <w:sz w:val="24"/>
          <w:szCs w:val="24"/>
          <w:vertAlign w:val="subscript"/>
        </w:rPr>
        <w:t>T</w:t>
      </w:r>
      <w:proofErr w:type="spellEnd"/>
      <w:r w:rsidRPr="00E449A7">
        <w:rPr>
          <w:rFonts w:asciiTheme="majorBidi" w:hAnsiTheme="majorBidi" w:cstheme="majorBidi"/>
          <w:sz w:val="24"/>
          <w:szCs w:val="24"/>
        </w:rPr>
        <w:t xml:space="preserve">, where T(K), R (8.314 </w:t>
      </w:r>
      <w:proofErr w:type="gramStart"/>
      <w:r w:rsidRPr="00E449A7">
        <w:rPr>
          <w:rFonts w:asciiTheme="majorBidi" w:hAnsiTheme="majorBidi" w:cstheme="majorBidi"/>
          <w:sz w:val="24"/>
          <w:szCs w:val="24"/>
        </w:rPr>
        <w:t>J.(</w:t>
      </w:r>
      <w:proofErr w:type="gramEnd"/>
      <w:r w:rsidRPr="00E449A7">
        <w:rPr>
          <w:rFonts w:asciiTheme="majorBidi" w:hAnsiTheme="majorBidi" w:cstheme="majorBidi"/>
          <w:sz w:val="24"/>
          <w:szCs w:val="24"/>
        </w:rPr>
        <w:t>mol. K)</w:t>
      </w:r>
      <w:r w:rsidRPr="00E449A7">
        <w:rPr>
          <w:rFonts w:asciiTheme="majorBidi" w:hAnsiTheme="majorBidi" w:cstheme="majorBidi"/>
          <w:sz w:val="24"/>
          <w:szCs w:val="24"/>
          <w:vertAlign w:val="superscript"/>
        </w:rPr>
        <w:t>-1</w:t>
      </w:r>
      <w:r w:rsidRPr="00E449A7">
        <w:rPr>
          <w:rFonts w:asciiTheme="majorBidi" w:hAnsiTheme="majorBidi" w:cstheme="majorBidi"/>
          <w:sz w:val="24"/>
          <w:szCs w:val="24"/>
        </w:rPr>
        <w:t xml:space="preserve">) and </w:t>
      </w:r>
      <w:proofErr w:type="spellStart"/>
      <w:r w:rsidRPr="00E449A7">
        <w:rPr>
          <w:rFonts w:asciiTheme="majorBidi" w:hAnsiTheme="majorBidi" w:cstheme="majorBidi"/>
          <w:sz w:val="24"/>
          <w:szCs w:val="24"/>
        </w:rPr>
        <w:t>b</w:t>
      </w:r>
      <w:r w:rsidRPr="00E449A7">
        <w:rPr>
          <w:rFonts w:asciiTheme="majorBidi" w:hAnsiTheme="majorBidi" w:cstheme="majorBidi"/>
          <w:sz w:val="24"/>
          <w:szCs w:val="24"/>
          <w:vertAlign w:val="subscript"/>
        </w:rPr>
        <w:t>T</w:t>
      </w:r>
      <w:proofErr w:type="spellEnd"/>
      <w:r w:rsidRPr="00E449A7">
        <w:rPr>
          <w:rFonts w:asciiTheme="majorBidi" w:hAnsiTheme="majorBidi" w:cstheme="majorBidi"/>
          <w:sz w:val="24"/>
          <w:szCs w:val="24"/>
        </w:rPr>
        <w:t xml:space="preserve"> (J.mol</w:t>
      </w:r>
      <w:r w:rsidRPr="00E449A7">
        <w:rPr>
          <w:rFonts w:asciiTheme="majorBidi" w:hAnsiTheme="majorBidi" w:cstheme="majorBidi"/>
          <w:sz w:val="24"/>
          <w:szCs w:val="24"/>
          <w:vertAlign w:val="superscript"/>
        </w:rPr>
        <w:t>-1</w:t>
      </w:r>
      <w:r w:rsidRPr="00E449A7">
        <w:rPr>
          <w:rFonts w:asciiTheme="majorBidi" w:hAnsiTheme="majorBidi" w:cstheme="majorBidi"/>
          <w:sz w:val="24"/>
          <w:szCs w:val="24"/>
        </w:rPr>
        <w:t>) represent the absolute temperature, the gas constant, and Temkin constant relating to the adsorption heat, respectively. Furthermore, K</w:t>
      </w:r>
      <w:r w:rsidRPr="00E449A7">
        <w:rPr>
          <w:rFonts w:asciiTheme="majorBidi" w:hAnsiTheme="majorBidi" w:cstheme="majorBidi"/>
          <w:sz w:val="24"/>
          <w:szCs w:val="24"/>
          <w:vertAlign w:val="subscript"/>
        </w:rPr>
        <w:t>T</w:t>
      </w:r>
      <w:r w:rsidRPr="00E449A7">
        <w:rPr>
          <w:rFonts w:asciiTheme="majorBidi" w:hAnsiTheme="majorBidi" w:cstheme="majorBidi"/>
          <w:sz w:val="24"/>
          <w:szCs w:val="24"/>
        </w:rPr>
        <w:t xml:space="preserve"> (L.g</w:t>
      </w:r>
      <w:r w:rsidRPr="00E449A7">
        <w:rPr>
          <w:rFonts w:asciiTheme="majorBidi" w:hAnsiTheme="majorBidi" w:cstheme="majorBidi"/>
          <w:sz w:val="24"/>
          <w:szCs w:val="24"/>
          <w:vertAlign w:val="superscript"/>
        </w:rPr>
        <w:t>-1</w:t>
      </w:r>
      <w:r w:rsidRPr="00E449A7">
        <w:rPr>
          <w:rFonts w:asciiTheme="majorBidi" w:hAnsiTheme="majorBidi" w:cstheme="majorBidi"/>
          <w:sz w:val="24"/>
          <w:szCs w:val="24"/>
        </w:rPr>
        <w:t>) indicates the Temkin isotherm constant (equilibrium binding constant). Temkin isotherm assumes that the adsorption heat of all molecules in the layer diminishes linearly on account of an increase in surface coverage</w:t>
      </w:r>
      <w:r w:rsidRPr="00E449A7">
        <w:rPr>
          <w:rFonts w:asciiTheme="majorBidi" w:hAnsiTheme="majorBidi" w:cstheme="majorBidi"/>
          <w:color w:val="0000FF"/>
          <w:sz w:val="24"/>
          <w:szCs w:val="24"/>
        </w:rPr>
        <w:t xml:space="preserve"> </w:t>
      </w:r>
      <w:r w:rsidRPr="00E449A7">
        <w:rPr>
          <w:rFonts w:asciiTheme="majorBidi" w:hAnsiTheme="majorBidi" w:cstheme="majorBidi"/>
          <w:color w:val="0000FF"/>
          <w:sz w:val="24"/>
          <w:szCs w:val="24"/>
        </w:rPr>
        <w:fldChar w:fldCharType="begin" w:fldLock="1"/>
      </w:r>
      <w:r>
        <w:rPr>
          <w:rFonts w:asciiTheme="majorBidi" w:hAnsiTheme="majorBidi" w:cstheme="majorBidi"/>
          <w:color w:val="0000FF"/>
          <w:sz w:val="24"/>
          <w:szCs w:val="24"/>
        </w:rPr>
        <w:instrText>ADDIN CSL_CITATION {"citationItems":[{"id":"ITEM-1","itemData":{"DOI":"10.1155/2017/3039817","ISSN":"2090-9063","abstract":"The need to design low-cost adsorbents for the detoxification of industrial effluents has been a growing concern for most environmental researchers. So modelling of experimental data from adsorption processes is a very important means of predicting the mechanisms of various adsorption systems. Therefore, this paper presents an overall review of the applications of adsorption isotherms, the use of linear regression analysis, nonlinear regression analysis, and error functions for optimum adsorption data analysis.","author":[{"dropping-particle":"","family":"Ayawei","given":"Nimibofa","non-dropping-particle":"","parse-names":false,"suffix":""},{"dropping-particle":"","family":"Ebelegi","given":"Augustus Newton","non-dropping-particle":"","parse-names":false,"suffix":""},{"dropping-particle":"","family":"Wankasi","given":"Donbebe","non-dropping-particle":"","parse-names":false,"suffix":""}],"container-title":"Journal of Chemistry","editor":[{"dropping-particle":"","family":"Guo","given":"Wenshan","non-dropping-particle":"","parse-names":false,"suffix":""}],"id":"ITEM-1","issued":{"date-parts":[["2017"]]},"page":"3039817","publisher":"Hindawi","title":"Modelling and Interpretation of Adsorption Isotherms","type":"article-journal","volume":"2017"},"uris":["http://www.mendeley.com/documents/?uuid=338ee30e-5bb0-48d8-88b6-ef36a4a031a8","http://www.mendeley.com/documents/?uuid=aa458df4-aeb3-4fce-8c59-23c9d1f66104"]}],"mendeley":{"formattedCitation":"[2]","plainTextFormattedCitation":"[2]","previouslyFormattedCitation":"(Ayawei et al., 2017)"},"properties":{"noteIndex":0},"schema":"https://github.com/citation-style-language/schema/raw/master/csl-citation.json"}</w:instrText>
      </w:r>
      <w:r w:rsidRPr="00E449A7">
        <w:rPr>
          <w:rFonts w:asciiTheme="majorBidi" w:hAnsiTheme="majorBidi" w:cstheme="majorBidi"/>
          <w:color w:val="0000FF"/>
          <w:sz w:val="24"/>
          <w:szCs w:val="24"/>
        </w:rPr>
        <w:fldChar w:fldCharType="separate"/>
      </w:r>
      <w:r w:rsidRPr="00AF703B">
        <w:rPr>
          <w:rFonts w:asciiTheme="majorBidi" w:hAnsiTheme="majorBidi" w:cstheme="majorBidi"/>
          <w:noProof/>
          <w:color w:val="0000FF"/>
          <w:sz w:val="24"/>
          <w:szCs w:val="24"/>
        </w:rPr>
        <w:t>[2]</w:t>
      </w:r>
      <w:r w:rsidRPr="00E449A7">
        <w:rPr>
          <w:rFonts w:asciiTheme="majorBidi" w:hAnsiTheme="majorBidi" w:cstheme="majorBidi"/>
          <w:color w:val="0000FF"/>
          <w:sz w:val="24"/>
          <w:szCs w:val="24"/>
        </w:rPr>
        <w:fldChar w:fldCharType="end"/>
      </w:r>
      <w:r w:rsidRPr="00E449A7">
        <w:rPr>
          <w:rFonts w:asciiTheme="majorBidi" w:hAnsiTheme="majorBidi" w:cstheme="majorBidi"/>
          <w:color w:val="0000FF"/>
          <w:sz w:val="24"/>
          <w:szCs w:val="24"/>
        </w:rPr>
        <w:t xml:space="preserve"> </w:t>
      </w:r>
      <w:r w:rsidRPr="00E449A7">
        <w:rPr>
          <w:rFonts w:asciiTheme="majorBidi" w:hAnsiTheme="majorBidi" w:cstheme="majorBidi"/>
          <w:color w:val="0000FF"/>
          <w:sz w:val="24"/>
          <w:szCs w:val="24"/>
        </w:rPr>
        <w:fldChar w:fldCharType="begin" w:fldLock="1"/>
      </w:r>
      <w:r>
        <w:rPr>
          <w:rFonts w:asciiTheme="majorBidi" w:hAnsiTheme="majorBidi" w:cstheme="majorBidi"/>
          <w:color w:val="0000FF"/>
          <w:sz w:val="24"/>
          <w:szCs w:val="24"/>
        </w:rPr>
        <w:instrText>ADDIN CSL_CITATION {"citationItems":[{"id":"ITEM-1","itemData":{"DOI":"10.3390/ijerph17186911","ISSN":"1660-4601","abstract":"Adsorption technologies are a focus of interest for the removal of pollutants in water treatment systems. These removal methods offer several design, operation and efficiency advantages over other wastewater remediation technologies. Particularly, graphene oxide (GO) has attracted great attention due to its high surface area and its effectiveness in removing heavy metals. In this work, we study the functionalization of GO with zinc oxide nanoparticles (ZnO) to improve the removal capacity of aluminum (Al) and copper (Cu) in acidic waters. Experiments were performed at different pH conditions (with and without pH adjustment). In both cases, decorated GO (GO/ZnO) nanocomposites showed an improvement in the removal capacity compared with non-functionalized GO, even when the pH of zero charge (pHPZC) was higher for GO/ZnO (5.57) than for GO (3.98). In adsorption experiments without pH adjustment, the maximum removal capacities for Al and Cu were 29.1 mg/g and 45.5 mg/g, respectively. The maximum removal percentages of the studied cations (Al and Cu) were higher than 88%. Further, under more acidic conditions (pH 4), the maximum sorption capacities using GO/ZnO as adsorbent were 19.9 mg/g and 33.5 mg/g for Al and Cu, respectively. Moreover, the removal percentages reach 95.6% for Al and 92.9% for Cu. This shows that decoration with ZnO nanoparticles is a good option for improving the sorption capacity of GO for Cu removal and to a lesser extent for Al, even when the pH was not favorable in terms of electrostatic affinity for cations. These findings contribute to a better understanding of the potential and effectiveness of GO functionalization with ZnO nanoparticles to treat acidic waters contaminated with heavy metals and its applicability for wastewater remediation.","author":[{"dropping-particle":"","family":"Rodríguez","given":"Carolina","non-dropping-particle":"","parse-names":false,"suffix":""},{"dropping-particle":"","family":"Tapia","given":"Camila","non-dropping-particle":"","parse-names":false,"suffix":""},{"dropping-particle":"","family":"Leiva-Aravena","given":"Enzo","non-dropping-particle":"","parse-names":false,"suffix":""},{"dropping-particle":"","family":"Leiva","given":"Eduardo","non-dropping-particle":"","parse-names":false,"suffix":""}],"container-title":"International Journal of Environmental Research and Public Health","id":"ITEM-1","issue":"18","issued":{"date-parts":[["2020"]]},"title":"Graphene Oxide–ZnO Nanocomposites for Removal of Aluminum and Copper Ions from Acid Mine Drainage Wastewater","type":"article-journal","volume":"17"},"uris":["http://www.mendeley.com/documents/?uuid=69970653-b9d7-4190-8402-937f5f11d678","http://www.mendeley.com/documents/?uuid=19d4e102-96ea-4bef-a5b1-5e5a90f2337b"]}],"mendeley":{"formattedCitation":"[3]","plainTextFormattedCitation":"[3]","previouslyFormattedCitation":"(Rodríguez et al., 2020)"},"properties":{"noteIndex":0},"schema":"https://github.com/citation-style-language/schema/raw/master/csl-citation.json"}</w:instrText>
      </w:r>
      <w:r w:rsidRPr="00E449A7">
        <w:rPr>
          <w:rFonts w:asciiTheme="majorBidi" w:hAnsiTheme="majorBidi" w:cstheme="majorBidi"/>
          <w:color w:val="0000FF"/>
          <w:sz w:val="24"/>
          <w:szCs w:val="24"/>
        </w:rPr>
        <w:fldChar w:fldCharType="separate"/>
      </w:r>
      <w:r w:rsidRPr="00AF703B">
        <w:rPr>
          <w:rFonts w:asciiTheme="majorBidi" w:hAnsiTheme="majorBidi" w:cstheme="majorBidi"/>
          <w:noProof/>
          <w:color w:val="0000FF"/>
          <w:sz w:val="24"/>
          <w:szCs w:val="24"/>
        </w:rPr>
        <w:t>[3]</w:t>
      </w:r>
      <w:r w:rsidRPr="00E449A7">
        <w:rPr>
          <w:rFonts w:asciiTheme="majorBidi" w:hAnsiTheme="majorBidi" w:cstheme="majorBidi"/>
          <w:color w:val="0000FF"/>
          <w:sz w:val="24"/>
          <w:szCs w:val="24"/>
        </w:rPr>
        <w:fldChar w:fldCharType="end"/>
      </w:r>
      <w:r w:rsidRPr="00E449A7">
        <w:rPr>
          <w:rFonts w:asciiTheme="majorBidi" w:hAnsiTheme="majorBidi" w:cstheme="majorBidi"/>
          <w:sz w:val="24"/>
          <w:szCs w:val="24"/>
        </w:rPr>
        <w:t xml:space="preserve">. As observed in </w:t>
      </w:r>
      <w:r w:rsidRPr="00E449A7">
        <w:rPr>
          <w:rFonts w:asciiTheme="majorBidi" w:hAnsiTheme="majorBidi" w:cstheme="majorBidi"/>
          <w:color w:val="0000FF"/>
          <w:sz w:val="24"/>
          <w:szCs w:val="24"/>
        </w:rPr>
        <w:t xml:space="preserve">Fig. </w:t>
      </w:r>
      <w:r w:rsidR="00AC3407">
        <w:rPr>
          <w:rFonts w:asciiTheme="majorBidi" w:hAnsiTheme="majorBidi" w:cstheme="majorBidi"/>
          <w:color w:val="0000FF"/>
          <w:sz w:val="24"/>
          <w:szCs w:val="24"/>
        </w:rPr>
        <w:t>S1A</w:t>
      </w:r>
      <w:r w:rsidRPr="00E449A7">
        <w:rPr>
          <w:rFonts w:asciiTheme="majorBidi" w:hAnsiTheme="majorBidi" w:cstheme="majorBidi"/>
          <w:color w:val="0000FF"/>
          <w:sz w:val="24"/>
          <w:szCs w:val="24"/>
        </w:rPr>
        <w:t xml:space="preserve"> and Table 2</w:t>
      </w:r>
      <w:r w:rsidRPr="00E449A7">
        <w:rPr>
          <w:rFonts w:asciiTheme="majorBidi" w:hAnsiTheme="majorBidi" w:cstheme="majorBidi"/>
          <w:sz w:val="24"/>
          <w:szCs w:val="24"/>
        </w:rPr>
        <w:t>, the K</w:t>
      </w:r>
      <w:r w:rsidRPr="00E449A7">
        <w:rPr>
          <w:rFonts w:asciiTheme="majorBidi" w:hAnsiTheme="majorBidi" w:cstheme="majorBidi"/>
          <w:sz w:val="24"/>
          <w:szCs w:val="24"/>
          <w:vertAlign w:val="subscript"/>
        </w:rPr>
        <w:t>T</w:t>
      </w:r>
      <w:r w:rsidRPr="00E449A7">
        <w:rPr>
          <w:rFonts w:asciiTheme="majorBidi" w:hAnsiTheme="majorBidi" w:cstheme="majorBidi"/>
          <w:sz w:val="24"/>
          <w:szCs w:val="24"/>
        </w:rPr>
        <w:t xml:space="preserve"> levels for four adsorption systems represented relatively small amounts, that is, there was less affinity between the absorbent/adsorbate molecules as there was possibly physical interaction that was confirmed by the B</w:t>
      </w:r>
      <w:r w:rsidRPr="00E449A7">
        <w:rPr>
          <w:rFonts w:asciiTheme="majorBidi" w:hAnsiTheme="majorBidi" w:cstheme="majorBidi"/>
          <w:sz w:val="24"/>
          <w:szCs w:val="24"/>
          <w:vertAlign w:val="subscript"/>
        </w:rPr>
        <w:t>T</w:t>
      </w:r>
      <w:r w:rsidRPr="00E449A7">
        <w:rPr>
          <w:rFonts w:asciiTheme="majorBidi" w:hAnsiTheme="majorBidi" w:cstheme="majorBidi"/>
          <w:sz w:val="24"/>
          <w:szCs w:val="24"/>
        </w:rPr>
        <w:t xml:space="preserve"> parameter. If the B</w:t>
      </w:r>
      <w:r w:rsidRPr="00E449A7">
        <w:rPr>
          <w:rFonts w:asciiTheme="majorBidi" w:hAnsiTheme="majorBidi" w:cstheme="majorBidi"/>
          <w:sz w:val="24"/>
          <w:szCs w:val="24"/>
          <w:vertAlign w:val="subscript"/>
        </w:rPr>
        <w:t>T</w:t>
      </w:r>
      <w:r w:rsidRPr="00E449A7">
        <w:rPr>
          <w:rFonts w:asciiTheme="majorBidi" w:hAnsiTheme="majorBidi" w:cstheme="majorBidi"/>
          <w:sz w:val="24"/>
          <w:szCs w:val="24"/>
        </w:rPr>
        <w:t xml:space="preserve"> is less than 8 (kJ.mol-1), the adsorption process happens physically </w:t>
      </w:r>
      <w:r w:rsidRPr="00E449A7">
        <w:rPr>
          <w:rFonts w:asciiTheme="majorBidi" w:hAnsiTheme="majorBidi" w:cstheme="majorBidi"/>
          <w:color w:val="0000FF"/>
          <w:sz w:val="24"/>
          <w:szCs w:val="24"/>
        </w:rPr>
        <w:fldChar w:fldCharType="begin" w:fldLock="1"/>
      </w:r>
      <w:r>
        <w:rPr>
          <w:rFonts w:asciiTheme="majorBidi" w:hAnsiTheme="majorBidi" w:cstheme="majorBidi"/>
          <w:color w:val="0000FF"/>
          <w:sz w:val="24"/>
          <w:szCs w:val="24"/>
        </w:rPr>
        <w:instrText>ADDIN CSL_CITATION {"citationItems":[{"id":"ITEM-1","itemData":{"author":[{"dropping-particle":"","family":"Ragadhita","given":"Risti","non-dropping-particle":"","parse-names":false,"suffix":""},{"dropping-particle":"","family":"Nandiyanto","given":"Asep Bayu Dani","non-dropping-particle":"","parse-names":false,"suffix":""}],"container-title":"Indonesian Journal of Science &amp; Technology","id":"ITEM-1","issue":"1","issued":{"date-parts":[["2021"]]},"page":"205-234","title":"How to Calculate Adsorption Isotherms of Particles Using Two-Parameter Monolayer Adsorption Models and Equations","type":"article-journal","volume":"6"},"uris":["http://www.mendeley.com/documents/?uuid=2ad3b4d8-c39d-4e55-a01a-2cb315e79c40","http://www.mendeley.com/documents/?uuid=064f767d-c431-4f78-a3a5-eed262a0afdc"]}],"mendeley":{"formattedCitation":"[4]","plainTextFormattedCitation":"[4]","previouslyFormattedCitation":"(Ragadhita and Nandiyanto, 2021)"},"properties":{"noteIndex":0},"schema":"https://github.com/citation-style-language/schema/raw/master/csl-citation.json"}</w:instrText>
      </w:r>
      <w:r w:rsidRPr="00E449A7">
        <w:rPr>
          <w:rFonts w:asciiTheme="majorBidi" w:hAnsiTheme="majorBidi" w:cstheme="majorBidi"/>
          <w:color w:val="0000FF"/>
          <w:sz w:val="24"/>
          <w:szCs w:val="24"/>
        </w:rPr>
        <w:fldChar w:fldCharType="separate"/>
      </w:r>
      <w:r w:rsidRPr="00AF703B">
        <w:rPr>
          <w:rFonts w:asciiTheme="majorBidi" w:hAnsiTheme="majorBidi" w:cstheme="majorBidi"/>
          <w:noProof/>
          <w:color w:val="0000FF"/>
          <w:sz w:val="24"/>
          <w:szCs w:val="24"/>
        </w:rPr>
        <w:t>[4]</w:t>
      </w:r>
      <w:r w:rsidRPr="00E449A7">
        <w:rPr>
          <w:rFonts w:asciiTheme="majorBidi" w:hAnsiTheme="majorBidi" w:cstheme="majorBidi"/>
          <w:color w:val="0000FF"/>
          <w:sz w:val="24"/>
          <w:szCs w:val="24"/>
        </w:rPr>
        <w:fldChar w:fldCharType="end"/>
      </w:r>
      <w:r w:rsidRPr="00E449A7">
        <w:rPr>
          <w:rFonts w:asciiTheme="majorBidi" w:hAnsiTheme="majorBidi" w:cstheme="majorBidi"/>
          <w:color w:val="0000FF"/>
          <w:sz w:val="24"/>
          <w:szCs w:val="24"/>
        </w:rPr>
        <w:t xml:space="preserve">. </w:t>
      </w:r>
      <w:r w:rsidRPr="00E449A7">
        <w:rPr>
          <w:rFonts w:asciiTheme="majorBidi" w:hAnsiTheme="majorBidi" w:cstheme="majorBidi"/>
          <w:sz w:val="24"/>
          <w:szCs w:val="24"/>
        </w:rPr>
        <w:t>Physical interaction merely contains more of the weak state of adsorbate polarization with adsorbent. The apparent values for the parameter B</w:t>
      </w:r>
      <w:r w:rsidRPr="00E449A7">
        <w:rPr>
          <w:rFonts w:asciiTheme="majorBidi" w:hAnsiTheme="majorBidi" w:cstheme="majorBidi"/>
          <w:sz w:val="24"/>
          <w:szCs w:val="24"/>
          <w:vertAlign w:val="subscript"/>
        </w:rPr>
        <w:t>T</w:t>
      </w:r>
      <w:r w:rsidRPr="00E449A7">
        <w:rPr>
          <w:rFonts w:asciiTheme="majorBidi" w:hAnsiTheme="majorBidi" w:cstheme="majorBidi"/>
          <w:sz w:val="24"/>
          <w:szCs w:val="24"/>
        </w:rPr>
        <w:t xml:space="preserve"> (13.241, 16.736, 20.609, and 48.825 (J.mol</w:t>
      </w:r>
      <w:r w:rsidRPr="00E449A7">
        <w:rPr>
          <w:rFonts w:asciiTheme="majorBidi" w:hAnsiTheme="majorBidi" w:cstheme="majorBidi"/>
          <w:sz w:val="24"/>
          <w:szCs w:val="24"/>
          <w:vertAlign w:val="superscript"/>
        </w:rPr>
        <w:t xml:space="preserve">-1) </w:t>
      </w:r>
      <w:r w:rsidRPr="00E449A7">
        <w:rPr>
          <w:rFonts w:asciiTheme="majorBidi" w:hAnsiTheme="majorBidi" w:cstheme="majorBidi"/>
          <w:sz w:val="24"/>
          <w:szCs w:val="24"/>
        </w:rPr>
        <w:t>for MB, MO, Cd</w:t>
      </w:r>
      <w:r w:rsidRPr="00E449A7">
        <w:rPr>
          <w:rFonts w:asciiTheme="majorBidi" w:hAnsiTheme="majorBidi" w:cstheme="majorBidi"/>
          <w:color w:val="00B050"/>
          <w:sz w:val="24"/>
          <w:szCs w:val="24"/>
          <w:vertAlign w:val="superscript"/>
        </w:rPr>
        <w:t>2+</w:t>
      </w:r>
      <w:r w:rsidRPr="00E449A7">
        <w:rPr>
          <w:rFonts w:asciiTheme="majorBidi" w:hAnsiTheme="majorBidi" w:cstheme="majorBidi"/>
          <w:sz w:val="24"/>
          <w:szCs w:val="24"/>
        </w:rPr>
        <w:t>, and Pb</w:t>
      </w:r>
      <w:r w:rsidRPr="00E449A7">
        <w:rPr>
          <w:rFonts w:asciiTheme="majorBidi" w:hAnsiTheme="majorBidi" w:cstheme="majorBidi"/>
          <w:color w:val="00B050"/>
          <w:sz w:val="24"/>
          <w:szCs w:val="24"/>
          <w:vertAlign w:val="superscript"/>
        </w:rPr>
        <w:t>2+</w:t>
      </w:r>
      <w:r w:rsidRPr="00E449A7">
        <w:rPr>
          <w:rFonts w:asciiTheme="majorBidi" w:hAnsiTheme="majorBidi" w:cstheme="majorBidi"/>
          <w:sz w:val="24"/>
          <w:szCs w:val="24"/>
        </w:rPr>
        <w:t xml:space="preserve"> pollutants, respectively), as the indication of the sorption heat, clearly reflected physically weaker adsorption processes. </w:t>
      </w:r>
    </w:p>
    <w:p w14:paraId="7C1AF08C" w14:textId="615F77D1" w:rsidR="00AF703B" w:rsidRPr="00E449A7" w:rsidRDefault="00AF703B" w:rsidP="00AF703B">
      <w:pPr>
        <w:bidi w:val="0"/>
        <w:spacing w:line="480" w:lineRule="auto"/>
        <w:jc w:val="both"/>
        <w:rPr>
          <w:rFonts w:asciiTheme="majorBidi" w:hAnsiTheme="majorBidi" w:cstheme="majorBidi"/>
          <w:sz w:val="24"/>
          <w:szCs w:val="24"/>
        </w:rPr>
      </w:pPr>
      <w:r w:rsidRPr="00E449A7">
        <w:rPr>
          <w:rFonts w:asciiTheme="majorBidi" w:hAnsiTheme="majorBidi" w:cstheme="majorBidi"/>
          <w:sz w:val="24"/>
          <w:szCs w:val="24"/>
        </w:rPr>
        <w:lastRenderedPageBreak/>
        <w:t>Flory-</w:t>
      </w:r>
      <w:proofErr w:type="gramStart"/>
      <w:r w:rsidRPr="00E449A7">
        <w:rPr>
          <w:rFonts w:asciiTheme="majorBidi" w:hAnsiTheme="majorBidi" w:cstheme="majorBidi"/>
          <w:sz w:val="24"/>
          <w:szCs w:val="24"/>
        </w:rPr>
        <w:t>Huggins</w:t>
      </w:r>
      <w:proofErr w:type="gramEnd"/>
      <w:r w:rsidRPr="00E449A7">
        <w:rPr>
          <w:rFonts w:asciiTheme="majorBidi" w:hAnsiTheme="majorBidi" w:cstheme="majorBidi"/>
          <w:sz w:val="24"/>
          <w:szCs w:val="24"/>
        </w:rPr>
        <w:t xml:space="preserve"> isotherm represents any spontaneity and feasibility of adsorption by describing the degree of surface coverage characteristics of adsorbate on the adsorbent. To put it simply, the Flory-Huggins isotherm model clarifies the behavior of a two-dimensional lattice of non-interacting fragments of diverse sizes. The linearized expression of the Flory-Huggins isotherm is as follows </w:t>
      </w:r>
      <w:r w:rsidRPr="00E449A7">
        <w:rPr>
          <w:rFonts w:asciiTheme="majorBidi" w:hAnsiTheme="majorBidi" w:cstheme="majorBidi"/>
          <w:color w:val="0000FF"/>
          <w:sz w:val="24"/>
          <w:szCs w:val="24"/>
        </w:rPr>
        <w:t>(</w:t>
      </w:r>
      <w:proofErr w:type="spellStart"/>
      <w:r w:rsidRPr="00E449A7">
        <w:rPr>
          <w:rFonts w:asciiTheme="majorBidi" w:hAnsiTheme="majorBidi" w:cstheme="majorBidi"/>
          <w:color w:val="0000FF"/>
          <w:sz w:val="24"/>
          <w:szCs w:val="24"/>
        </w:rPr>
        <w:t>Eqs</w:t>
      </w:r>
      <w:proofErr w:type="spellEnd"/>
      <w:r w:rsidRPr="00E449A7">
        <w:rPr>
          <w:rFonts w:asciiTheme="majorBidi" w:hAnsiTheme="majorBidi" w:cstheme="majorBidi"/>
          <w:color w:val="0000FF"/>
          <w:sz w:val="24"/>
          <w:szCs w:val="24"/>
        </w:rPr>
        <w:t xml:space="preserve"> </w:t>
      </w:r>
      <w:r w:rsidR="00AC3407">
        <w:rPr>
          <w:rFonts w:asciiTheme="majorBidi" w:hAnsiTheme="majorBidi" w:cstheme="majorBidi"/>
          <w:color w:val="0000FF"/>
          <w:sz w:val="24"/>
          <w:szCs w:val="24"/>
        </w:rPr>
        <w:t>2</w:t>
      </w:r>
      <w:r w:rsidRPr="00E449A7">
        <w:rPr>
          <w:rFonts w:asciiTheme="majorBidi" w:hAnsiTheme="majorBidi" w:cstheme="majorBidi"/>
          <w:color w:val="0000FF"/>
          <w:sz w:val="24"/>
          <w:szCs w:val="24"/>
        </w:rPr>
        <w:t xml:space="preserve"> and </w:t>
      </w:r>
      <w:r w:rsidR="00AC3407">
        <w:rPr>
          <w:rFonts w:asciiTheme="majorBidi" w:hAnsiTheme="majorBidi" w:cstheme="majorBidi"/>
          <w:color w:val="0000FF"/>
          <w:sz w:val="24"/>
          <w:szCs w:val="24"/>
        </w:rPr>
        <w:t>3</w:t>
      </w:r>
      <w:r w:rsidRPr="00E449A7">
        <w:rPr>
          <w:rFonts w:asciiTheme="majorBidi" w:hAnsiTheme="majorBidi" w:cstheme="majorBidi"/>
          <w:color w:val="0000FF"/>
          <w:sz w:val="24"/>
          <w:szCs w:val="24"/>
        </w:rPr>
        <w:t xml:space="preserve">) </w:t>
      </w:r>
      <w:r w:rsidRPr="00E449A7">
        <w:rPr>
          <w:rFonts w:asciiTheme="majorBidi" w:hAnsiTheme="majorBidi" w:cstheme="majorBidi"/>
          <w:color w:val="0000FF"/>
          <w:sz w:val="24"/>
          <w:szCs w:val="24"/>
        </w:rPr>
        <w:fldChar w:fldCharType="begin" w:fldLock="1"/>
      </w:r>
      <w:r>
        <w:rPr>
          <w:rFonts w:asciiTheme="majorBidi" w:hAnsiTheme="majorBidi" w:cstheme="majorBidi"/>
          <w:color w:val="0000FF"/>
          <w:sz w:val="24"/>
          <w:szCs w:val="24"/>
        </w:rPr>
        <w:instrText>ADDIN CSL_CITATION {"citationItems":[{"id":"ITEM-1","itemData":{"author":[{"dropping-particle":"","family":"Oral","given":"A. E.","non-dropping-particle":"","parse-names":false,"suffix":""},{"dropping-particle":"","family":"Aytas","given":"S.","non-dropping-particle":"","parse-names":false,"suffix":""},{"dropping-particle":"","family":"Yusan","given":"S.","non-dropping-particle":"","parse-names":false,"suffix":""},{"dropping-particle":"","family":"Sert","given":"S.","non-dropping-particle":"","parse-names":false,"suffix":""},{"dropping-particle":"","family":"Gok","given":"C.","non-dropping-particle":"","parse-names":false,"suffix":""},{"dropping-particle":"","family":"Elmastas Gultekin","given":"O","non-dropping-particle":"","parse-names":false,"suffix":""}],"container-title":"Analytical Letters","id":"ITEM-1","issue":"11","issued":{"date-parts":[["2020"]]},"page":"1812-1833","title":"Preparation and characterization of a graphene-based magnetic nanocomposite for the adsorption of lanthanum ions from aqueous solution","type":"article-journal","volume":"53"},"uris":["http://www.mendeley.com/documents/?uuid=1e753465-724c-48f5-84c4-46c9b500b262","http://www.mendeley.com/documents/?uuid=e49c33f5-6541-4626-b4fa-87da81451696"]}],"mendeley":{"formattedCitation":"[5]","plainTextFormattedCitation":"[5]","previouslyFormattedCitation":"(Oral et al., 2020)"},"properties":{"noteIndex":0},"schema":"https://github.com/citation-style-language/schema/raw/master/csl-citation.json"}</w:instrText>
      </w:r>
      <w:r w:rsidRPr="00E449A7">
        <w:rPr>
          <w:rFonts w:asciiTheme="majorBidi" w:hAnsiTheme="majorBidi" w:cstheme="majorBidi"/>
          <w:color w:val="0000FF"/>
          <w:sz w:val="24"/>
          <w:szCs w:val="24"/>
        </w:rPr>
        <w:fldChar w:fldCharType="separate"/>
      </w:r>
      <w:r w:rsidRPr="00AF703B">
        <w:rPr>
          <w:rFonts w:asciiTheme="majorBidi" w:hAnsiTheme="majorBidi" w:cstheme="majorBidi"/>
          <w:noProof/>
          <w:color w:val="0000FF"/>
          <w:sz w:val="24"/>
          <w:szCs w:val="24"/>
        </w:rPr>
        <w:t>[5]</w:t>
      </w:r>
      <w:r w:rsidRPr="00E449A7">
        <w:rPr>
          <w:rFonts w:asciiTheme="majorBidi" w:hAnsiTheme="majorBidi" w:cstheme="majorBidi"/>
          <w:color w:val="0000FF"/>
          <w:sz w:val="24"/>
          <w:szCs w:val="24"/>
        </w:rPr>
        <w:fldChar w:fldCharType="end"/>
      </w:r>
      <w:r w:rsidRPr="00E449A7">
        <w:rPr>
          <w:rFonts w:asciiTheme="majorBidi" w:hAnsiTheme="majorBidi" w:cstheme="majorBidi"/>
          <w:sz w:val="24"/>
          <w:szCs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434"/>
      </w:tblGrid>
      <w:tr w:rsidR="00AF703B" w:rsidRPr="001F32CA" w14:paraId="1F477E65" w14:textId="77777777" w:rsidTr="00C46B89">
        <w:tc>
          <w:tcPr>
            <w:tcW w:w="4484" w:type="dxa"/>
          </w:tcPr>
          <w:p w14:paraId="308B1BED" w14:textId="77777777" w:rsidR="00AF703B" w:rsidRPr="001F32CA" w:rsidRDefault="00AF703B" w:rsidP="00AF703B">
            <w:pPr>
              <w:bidi w:val="0"/>
              <w:spacing w:line="480" w:lineRule="auto"/>
              <w:jc w:val="both"/>
              <w:rPr>
                <w:rFonts w:asciiTheme="majorBidi" w:hAnsiTheme="majorBidi" w:cstheme="majorBidi"/>
                <w:color w:val="000000" w:themeColor="text1"/>
                <w:sz w:val="24"/>
                <w:szCs w:val="24"/>
              </w:rPr>
            </w:pPr>
            <w:r w:rsidRPr="001F32CA">
              <w:rPr>
                <w:rFonts w:asciiTheme="majorBidi" w:hAnsiTheme="majorBidi" w:cstheme="majorBidi"/>
                <w:color w:val="000000" w:themeColor="text1"/>
                <w:position w:val="-28"/>
                <w:sz w:val="24"/>
                <w:szCs w:val="24"/>
              </w:rPr>
              <w:object w:dxaOrig="3379" w:dyaOrig="660" w14:anchorId="686F7477">
                <v:shape id="_x0000_i1026" type="#_x0000_t75" style="width:169.05pt;height:33.2pt" o:ole="">
                  <v:imagedata r:id="rId9" o:title=""/>
                </v:shape>
                <o:OLEObject Type="Embed" ProgID="Equation.DSMT4" ShapeID="_x0000_i1026" DrawAspect="Content" ObjectID="_1750766301" r:id="rId10"/>
              </w:object>
            </w:r>
          </w:p>
        </w:tc>
        <w:tc>
          <w:tcPr>
            <w:tcW w:w="4434" w:type="dxa"/>
          </w:tcPr>
          <w:p w14:paraId="63BB30AE" w14:textId="504E4511" w:rsidR="00AF703B" w:rsidRPr="001F32CA" w:rsidRDefault="00AF703B" w:rsidP="00AF703B">
            <w:pPr>
              <w:bidi w:val="0"/>
              <w:spacing w:line="480" w:lineRule="auto"/>
              <w:jc w:val="both"/>
              <w:rPr>
                <w:rFonts w:asciiTheme="majorBidi" w:hAnsiTheme="majorBidi" w:cstheme="majorBidi"/>
                <w:color w:val="000000" w:themeColor="text1"/>
                <w:sz w:val="24"/>
                <w:szCs w:val="24"/>
              </w:rPr>
            </w:pPr>
            <w:r w:rsidRPr="001F32CA">
              <w:rPr>
                <w:rFonts w:asciiTheme="majorBidi" w:hAnsiTheme="majorBidi" w:cstheme="majorBidi"/>
                <w:color w:val="000000" w:themeColor="text1"/>
                <w:sz w:val="24"/>
                <w:szCs w:val="24"/>
              </w:rPr>
              <w:t>(</w:t>
            </w:r>
            <w:r w:rsidR="00AC3407">
              <w:rPr>
                <w:rFonts w:asciiTheme="majorBidi" w:hAnsiTheme="majorBidi" w:cstheme="majorBidi"/>
                <w:sz w:val="24"/>
                <w:szCs w:val="24"/>
              </w:rPr>
              <w:t>2</w:t>
            </w:r>
            <w:r w:rsidRPr="001F32CA">
              <w:rPr>
                <w:rFonts w:asciiTheme="majorBidi" w:hAnsiTheme="majorBidi" w:cstheme="majorBidi"/>
                <w:color w:val="000000" w:themeColor="text1"/>
                <w:sz w:val="24"/>
                <w:szCs w:val="24"/>
              </w:rPr>
              <w:t>)</w:t>
            </w:r>
          </w:p>
        </w:tc>
      </w:tr>
      <w:tr w:rsidR="00AF703B" w:rsidRPr="001F32CA" w14:paraId="3CA29F16" w14:textId="77777777" w:rsidTr="00C46B89">
        <w:tc>
          <w:tcPr>
            <w:tcW w:w="4484" w:type="dxa"/>
          </w:tcPr>
          <w:p w14:paraId="14C8B3D9" w14:textId="77777777" w:rsidR="00AF703B" w:rsidRPr="001F32CA" w:rsidRDefault="00AF703B" w:rsidP="00AF703B">
            <w:pPr>
              <w:bidi w:val="0"/>
              <w:spacing w:line="480" w:lineRule="auto"/>
              <w:jc w:val="both"/>
              <w:rPr>
                <w:rFonts w:asciiTheme="majorBidi" w:hAnsiTheme="majorBidi" w:cstheme="majorBidi"/>
                <w:color w:val="000000" w:themeColor="text1"/>
                <w:sz w:val="24"/>
                <w:szCs w:val="24"/>
              </w:rPr>
            </w:pPr>
            <w:r w:rsidRPr="001F32CA">
              <w:rPr>
                <w:rFonts w:asciiTheme="majorBidi" w:hAnsiTheme="majorBidi" w:cstheme="majorBidi"/>
                <w:color w:val="000000" w:themeColor="text1"/>
                <w:position w:val="-30"/>
                <w:sz w:val="24"/>
                <w:szCs w:val="24"/>
              </w:rPr>
              <w:object w:dxaOrig="1040" w:dyaOrig="680" w14:anchorId="16D3D9F7">
                <v:shape id="_x0000_i1027" type="#_x0000_t75" style="width:51.95pt;height:33.2pt" o:ole="">
                  <v:imagedata r:id="rId11" o:title=""/>
                </v:shape>
                <o:OLEObject Type="Embed" ProgID="Equation.DSMT4" ShapeID="_x0000_i1027" DrawAspect="Content" ObjectID="_1750766302" r:id="rId12"/>
              </w:object>
            </w:r>
          </w:p>
        </w:tc>
        <w:tc>
          <w:tcPr>
            <w:tcW w:w="4434" w:type="dxa"/>
          </w:tcPr>
          <w:p w14:paraId="72A8466C" w14:textId="0D873F97" w:rsidR="00AF703B" w:rsidRPr="001F32CA" w:rsidRDefault="00AF703B" w:rsidP="00AF703B">
            <w:pPr>
              <w:bidi w:val="0"/>
              <w:spacing w:line="480" w:lineRule="auto"/>
              <w:jc w:val="both"/>
              <w:rPr>
                <w:rFonts w:asciiTheme="majorBidi" w:hAnsiTheme="majorBidi" w:cstheme="majorBidi"/>
                <w:color w:val="000000" w:themeColor="text1"/>
                <w:sz w:val="24"/>
                <w:szCs w:val="24"/>
              </w:rPr>
            </w:pPr>
            <w:r w:rsidRPr="001F32CA">
              <w:rPr>
                <w:rFonts w:asciiTheme="majorBidi" w:hAnsiTheme="majorBidi" w:cstheme="majorBidi"/>
                <w:color w:val="000000" w:themeColor="text1"/>
                <w:sz w:val="24"/>
                <w:szCs w:val="24"/>
              </w:rPr>
              <w:t>(</w:t>
            </w:r>
            <w:r w:rsidR="00AC3407">
              <w:rPr>
                <w:rFonts w:asciiTheme="majorBidi" w:hAnsiTheme="majorBidi" w:cstheme="majorBidi"/>
                <w:sz w:val="24"/>
                <w:szCs w:val="24"/>
              </w:rPr>
              <w:t>3</w:t>
            </w:r>
            <w:r w:rsidRPr="001F32CA">
              <w:rPr>
                <w:rFonts w:asciiTheme="majorBidi" w:hAnsiTheme="majorBidi" w:cstheme="majorBidi"/>
                <w:color w:val="000000" w:themeColor="text1"/>
                <w:sz w:val="24"/>
                <w:szCs w:val="24"/>
              </w:rPr>
              <w:t>)</w:t>
            </w:r>
          </w:p>
        </w:tc>
      </w:tr>
    </w:tbl>
    <w:p w14:paraId="45BDE097" w14:textId="77777777" w:rsidR="00AF703B" w:rsidRPr="001F32CA" w:rsidRDefault="00AF703B" w:rsidP="00AF703B">
      <w:pPr>
        <w:bidi w:val="0"/>
        <w:spacing w:line="480" w:lineRule="auto"/>
        <w:jc w:val="both"/>
        <w:rPr>
          <w:rFonts w:asciiTheme="majorBidi" w:hAnsiTheme="majorBidi" w:cstheme="majorBidi"/>
          <w:color w:val="000000" w:themeColor="text1"/>
          <w:sz w:val="24"/>
          <w:szCs w:val="24"/>
        </w:rPr>
      </w:pPr>
    </w:p>
    <w:p w14:paraId="3B52160A" w14:textId="68DB01D4" w:rsidR="00AC3407" w:rsidRDefault="00AF703B" w:rsidP="00AC3407">
      <w:pPr>
        <w:bidi w:val="0"/>
        <w:spacing w:line="480" w:lineRule="auto"/>
        <w:jc w:val="both"/>
        <w:rPr>
          <w:rFonts w:asciiTheme="majorBidi" w:hAnsiTheme="majorBidi" w:cstheme="majorBidi"/>
          <w:color w:val="000000" w:themeColor="text1"/>
          <w:sz w:val="24"/>
          <w:szCs w:val="24"/>
        </w:rPr>
        <w:sectPr w:rsidR="00AC3407" w:rsidSect="00AC3407">
          <w:pgSz w:w="12240" w:h="15840"/>
          <w:pgMar w:top="1440" w:right="1440" w:bottom="1440" w:left="1440" w:header="720" w:footer="720" w:gutter="0"/>
          <w:cols w:space="720"/>
          <w:docGrid w:linePitch="360"/>
        </w:sectPr>
      </w:pPr>
      <w:r w:rsidRPr="00F20621">
        <w:rPr>
          <w:rFonts w:asciiTheme="majorBidi" w:hAnsiTheme="majorBidi" w:cstheme="majorBidi"/>
          <w:color w:val="000000" w:themeColor="text1"/>
          <w:sz w:val="24"/>
          <w:szCs w:val="24"/>
        </w:rPr>
        <w:t>Where, θ, K</w:t>
      </w:r>
      <w:r w:rsidRPr="00F20621">
        <w:rPr>
          <w:rFonts w:asciiTheme="majorBidi" w:hAnsiTheme="majorBidi" w:cstheme="majorBidi"/>
          <w:color w:val="000000" w:themeColor="text1"/>
          <w:sz w:val="24"/>
          <w:szCs w:val="24"/>
          <w:vertAlign w:val="subscript"/>
        </w:rPr>
        <w:t>FH</w:t>
      </w:r>
      <w:r w:rsidRPr="00F20621">
        <w:rPr>
          <w:rFonts w:asciiTheme="majorBidi" w:hAnsiTheme="majorBidi" w:cstheme="majorBidi"/>
          <w:color w:val="000000" w:themeColor="text1"/>
          <w:sz w:val="24"/>
          <w:szCs w:val="24"/>
        </w:rPr>
        <w:t xml:space="preserve"> (L.mol</w:t>
      </w:r>
      <w:r w:rsidRPr="00F20621">
        <w:rPr>
          <w:rFonts w:asciiTheme="majorBidi" w:hAnsiTheme="majorBidi" w:cstheme="majorBidi"/>
          <w:color w:val="000000" w:themeColor="text1"/>
          <w:sz w:val="24"/>
          <w:szCs w:val="24"/>
          <w:vertAlign w:val="superscript"/>
        </w:rPr>
        <w:t>-1</w:t>
      </w:r>
      <w:r w:rsidRPr="00F20621">
        <w:rPr>
          <w:rFonts w:asciiTheme="majorBidi" w:hAnsiTheme="majorBidi" w:cstheme="majorBidi"/>
          <w:color w:val="000000" w:themeColor="text1"/>
          <w:sz w:val="24"/>
          <w:szCs w:val="24"/>
        </w:rPr>
        <w:t xml:space="preserve">), and </w:t>
      </w:r>
      <w:proofErr w:type="spellStart"/>
      <w:r w:rsidRPr="00F20621">
        <w:rPr>
          <w:rFonts w:asciiTheme="majorBidi" w:hAnsiTheme="majorBidi" w:cstheme="majorBidi"/>
          <w:color w:val="000000" w:themeColor="text1"/>
          <w:sz w:val="24"/>
          <w:szCs w:val="24"/>
        </w:rPr>
        <w:t>n</w:t>
      </w:r>
      <w:r w:rsidRPr="00F20621">
        <w:rPr>
          <w:rFonts w:asciiTheme="majorBidi" w:hAnsiTheme="majorBidi" w:cstheme="majorBidi"/>
          <w:color w:val="000000" w:themeColor="text1"/>
          <w:sz w:val="24"/>
          <w:szCs w:val="24"/>
          <w:vertAlign w:val="subscript"/>
        </w:rPr>
        <w:t>FH</w:t>
      </w:r>
      <w:proofErr w:type="spellEnd"/>
      <w:r w:rsidRPr="00F20621">
        <w:rPr>
          <w:rFonts w:asciiTheme="majorBidi" w:hAnsiTheme="majorBidi" w:cstheme="majorBidi"/>
          <w:color w:val="000000" w:themeColor="text1"/>
          <w:sz w:val="24"/>
          <w:szCs w:val="24"/>
        </w:rPr>
        <w:t xml:space="preserve">, represent the degree of surface coverage, </w:t>
      </w:r>
      <w:bookmarkStart w:id="2" w:name="_Hlk135380780"/>
      <w:r w:rsidRPr="00F20621">
        <w:rPr>
          <w:rFonts w:asciiTheme="majorBidi" w:hAnsiTheme="majorBidi" w:cstheme="majorBidi"/>
          <w:color w:val="000000" w:themeColor="text1"/>
          <w:sz w:val="24"/>
          <w:szCs w:val="24"/>
        </w:rPr>
        <w:t>Flory-</w:t>
      </w:r>
      <w:proofErr w:type="gramStart"/>
      <w:r w:rsidRPr="00F20621">
        <w:rPr>
          <w:rFonts w:asciiTheme="majorBidi" w:hAnsiTheme="majorBidi" w:cstheme="majorBidi"/>
          <w:color w:val="000000" w:themeColor="text1"/>
          <w:sz w:val="24"/>
          <w:szCs w:val="24"/>
        </w:rPr>
        <w:t>Huggins</w:t>
      </w:r>
      <w:proofErr w:type="gramEnd"/>
      <w:r w:rsidRPr="00F20621">
        <w:rPr>
          <w:rFonts w:asciiTheme="majorBidi" w:hAnsiTheme="majorBidi" w:cstheme="majorBidi"/>
          <w:color w:val="000000" w:themeColor="text1"/>
          <w:sz w:val="24"/>
          <w:szCs w:val="24"/>
        </w:rPr>
        <w:t xml:space="preserve"> </w:t>
      </w:r>
      <w:bookmarkEnd w:id="2"/>
      <w:r w:rsidRPr="00F20621">
        <w:rPr>
          <w:rFonts w:asciiTheme="majorBidi" w:hAnsiTheme="majorBidi" w:cstheme="majorBidi"/>
          <w:color w:val="000000" w:themeColor="text1"/>
          <w:sz w:val="24"/>
          <w:szCs w:val="24"/>
        </w:rPr>
        <w:t>equilibrium constant, and the number of adsorbates occupying adsorption sites (Flory-Huggins isotherm exponent). The Flory-Huggins isotherm parameters display a linear plot of log(θ/C</w:t>
      </w:r>
      <w:r w:rsidRPr="00F20621">
        <w:rPr>
          <w:rFonts w:asciiTheme="majorBidi" w:hAnsiTheme="majorBidi" w:cstheme="majorBidi"/>
          <w:color w:val="000000" w:themeColor="text1"/>
          <w:sz w:val="24"/>
          <w:szCs w:val="24"/>
          <w:vertAlign w:val="subscript"/>
        </w:rPr>
        <w:t>i</w:t>
      </w:r>
      <w:r w:rsidRPr="00F20621">
        <w:rPr>
          <w:rFonts w:asciiTheme="majorBidi" w:hAnsiTheme="majorBidi" w:cstheme="majorBidi"/>
          <w:color w:val="000000" w:themeColor="text1"/>
          <w:sz w:val="24"/>
          <w:szCs w:val="24"/>
        </w:rPr>
        <w:t xml:space="preserve">) vs. log(1-θ), and the results of findings fitting in the form of a gradient obtained were the </w:t>
      </w:r>
      <w:proofErr w:type="spellStart"/>
      <w:r w:rsidRPr="00F20621">
        <w:rPr>
          <w:rFonts w:asciiTheme="majorBidi" w:hAnsiTheme="majorBidi" w:cstheme="majorBidi"/>
          <w:color w:val="000000" w:themeColor="text1"/>
          <w:sz w:val="24"/>
          <w:szCs w:val="24"/>
        </w:rPr>
        <w:t>n</w:t>
      </w:r>
      <w:r w:rsidRPr="00F20621">
        <w:rPr>
          <w:rFonts w:asciiTheme="majorBidi" w:hAnsiTheme="majorBidi" w:cstheme="majorBidi"/>
          <w:color w:val="000000" w:themeColor="text1"/>
          <w:sz w:val="24"/>
          <w:szCs w:val="24"/>
          <w:vertAlign w:val="subscript"/>
        </w:rPr>
        <w:t>FH</w:t>
      </w:r>
      <w:proofErr w:type="spellEnd"/>
      <w:r w:rsidRPr="00F20621">
        <w:rPr>
          <w:rFonts w:asciiTheme="majorBidi" w:hAnsiTheme="majorBidi" w:cstheme="majorBidi"/>
          <w:color w:val="000000" w:themeColor="text1"/>
          <w:sz w:val="24"/>
          <w:szCs w:val="24"/>
        </w:rPr>
        <w:t xml:space="preserve"> value, as well as intercept, was the log K</w:t>
      </w:r>
      <w:r w:rsidRPr="00F20621">
        <w:rPr>
          <w:rFonts w:asciiTheme="majorBidi" w:hAnsiTheme="majorBidi" w:cstheme="majorBidi"/>
          <w:color w:val="000000" w:themeColor="text1"/>
          <w:sz w:val="24"/>
          <w:szCs w:val="24"/>
          <w:vertAlign w:val="subscript"/>
        </w:rPr>
        <w:t>FH</w:t>
      </w:r>
      <w:r w:rsidRPr="00F20621">
        <w:rPr>
          <w:rFonts w:asciiTheme="majorBidi" w:hAnsiTheme="majorBidi" w:cstheme="majorBidi"/>
          <w:color w:val="000000" w:themeColor="text1"/>
          <w:sz w:val="24"/>
          <w:szCs w:val="24"/>
        </w:rPr>
        <w:t xml:space="preserve"> value </w:t>
      </w:r>
      <w:r w:rsidRPr="00F20621">
        <w:rPr>
          <w:rFonts w:asciiTheme="majorBidi" w:hAnsiTheme="majorBidi" w:cstheme="majorBidi"/>
          <w:color w:val="0000FF"/>
          <w:sz w:val="24"/>
          <w:szCs w:val="24"/>
        </w:rPr>
        <w:fldChar w:fldCharType="begin" w:fldLock="1"/>
      </w:r>
      <w:r>
        <w:rPr>
          <w:rFonts w:asciiTheme="majorBidi" w:hAnsiTheme="majorBidi" w:cstheme="majorBidi"/>
          <w:color w:val="0000FF"/>
          <w:sz w:val="24"/>
          <w:szCs w:val="24"/>
        </w:rPr>
        <w:instrText>ADDIN CSL_CITATION {"citationItems":[{"id":"ITEM-1","itemData":{"author":[{"dropping-particle":"","family":"Oral","given":"A. E.","non-dropping-particle":"","parse-names":false,"suffix":""},{"dropping-particle":"","family":"Aytas","given":"S.","non-dropping-particle":"","parse-names":false,"suffix":""},{"dropping-particle":"","family":"Yusan","given":"S.","non-dropping-particle":"","parse-names":false,"suffix":""},{"dropping-particle":"","family":"Sert","given":"S.","non-dropping-particle":"","parse-names":false,"suffix":""},{"dropping-particle":"","family":"Gok","given":"C.","non-dropping-particle":"","parse-names":false,"suffix":""},{"dropping-particle":"","family":"Elmastas Gultekin","given":"O","non-dropping-particle":"","parse-names":false,"suffix":""}],"container-title":"Analytical Letters","id":"ITEM-1","issue":"11","issued":{"date-parts":[["2020"]]},"page":"1812-1833","title":"Preparation and characterization of a graphene-based magnetic nanocomposite for the adsorption of lanthanum ions from aqueous solution","type":"article-journal","volume":"53"},"uris":["http://www.mendeley.com/documents/?uuid=1e753465-724c-48f5-84c4-46c9b500b262","http://www.mendeley.com/documents/?uuid=e49c33f5-6541-4626-b4fa-87da81451696"]}],"mendeley":{"formattedCitation":"[5]","plainTextFormattedCitation":"[5]","previouslyFormattedCitation":"(Oral et al., 2020)"},"properties":{"noteIndex":0},"schema":"https://github.com/citation-style-language/schema/raw/master/csl-citation.json"}</w:instrText>
      </w:r>
      <w:r w:rsidRPr="00F20621">
        <w:rPr>
          <w:rFonts w:asciiTheme="majorBidi" w:hAnsiTheme="majorBidi" w:cstheme="majorBidi"/>
          <w:color w:val="0000FF"/>
          <w:sz w:val="24"/>
          <w:szCs w:val="24"/>
        </w:rPr>
        <w:fldChar w:fldCharType="separate"/>
      </w:r>
      <w:r w:rsidRPr="00AF703B">
        <w:rPr>
          <w:rFonts w:asciiTheme="majorBidi" w:hAnsiTheme="majorBidi" w:cstheme="majorBidi"/>
          <w:noProof/>
          <w:color w:val="0000FF"/>
          <w:sz w:val="24"/>
          <w:szCs w:val="24"/>
        </w:rPr>
        <w:t>[5]</w:t>
      </w:r>
      <w:r w:rsidRPr="00F20621">
        <w:rPr>
          <w:rFonts w:asciiTheme="majorBidi" w:hAnsiTheme="majorBidi" w:cstheme="majorBidi"/>
          <w:color w:val="0000FF"/>
          <w:sz w:val="24"/>
          <w:szCs w:val="24"/>
        </w:rPr>
        <w:fldChar w:fldCharType="end"/>
      </w:r>
      <w:r w:rsidRPr="00F20621">
        <w:rPr>
          <w:rFonts w:asciiTheme="majorBidi" w:hAnsiTheme="majorBidi" w:cstheme="majorBidi"/>
          <w:color w:val="000000" w:themeColor="text1"/>
          <w:sz w:val="24"/>
          <w:szCs w:val="24"/>
        </w:rPr>
        <w:t xml:space="preserve"> </w:t>
      </w:r>
      <w:r w:rsidRPr="00F20621">
        <w:rPr>
          <w:rFonts w:asciiTheme="majorBidi" w:hAnsiTheme="majorBidi" w:cstheme="majorBidi"/>
          <w:color w:val="0000FF"/>
          <w:sz w:val="24"/>
          <w:szCs w:val="24"/>
        </w:rPr>
        <w:fldChar w:fldCharType="begin" w:fldLock="1"/>
      </w:r>
      <w:r>
        <w:rPr>
          <w:rFonts w:asciiTheme="majorBidi" w:hAnsiTheme="majorBidi" w:cstheme="majorBidi"/>
          <w:color w:val="0000FF"/>
          <w:sz w:val="24"/>
          <w:szCs w:val="24"/>
        </w:rPr>
        <w:instrText>ADDIN CSL_CITATION {"citationItems":[{"id":"ITEM-1","itemData":{"ISSN":"1878-5352","author":[{"dropping-particle":"","family":"Arabpour","given":"Aida","non-dropping-particle":"","parse-names":false,"suffix":""},{"dropping-particle":"","family":"Dan","given":"Sasan","non-dropping-particle":"","parse-names":false,"suffix":""},{"dropping-particle":"","family":"Hashemipour","given":"Hassan","non-dropping-particle":"","parse-names":false,"suffix":""}],"container-title":"Arabian Journal of Chemistry","id":"ITEM-1","issue":"3","issued":{"date-parts":[["2021"]]},"page":"103003","publisher":"Elsevier","title":"Preparation and optimization of novel graphene oxide and adsorption isotherm study of methylene blue","type":"article-journal","volume":"14"},"uris":["http://www.mendeley.com/documents/?uuid=8d9f07b1-2501-4865-baa3-9a0f9b3ac68f"]}],"mendeley":{"formattedCitation":"[6]","plainTextFormattedCitation":"[6]","previouslyFormattedCitation":"(Arabpour et al., 2021)"},"properties":{"noteIndex":0},"schema":"https://github.com/citation-style-language/schema/raw/master/csl-citation.json"}</w:instrText>
      </w:r>
      <w:r w:rsidRPr="00F20621">
        <w:rPr>
          <w:rFonts w:asciiTheme="majorBidi" w:hAnsiTheme="majorBidi" w:cstheme="majorBidi"/>
          <w:color w:val="0000FF"/>
          <w:sz w:val="24"/>
          <w:szCs w:val="24"/>
        </w:rPr>
        <w:fldChar w:fldCharType="separate"/>
      </w:r>
      <w:r w:rsidRPr="00AF703B">
        <w:rPr>
          <w:rFonts w:asciiTheme="majorBidi" w:hAnsiTheme="majorBidi" w:cstheme="majorBidi"/>
          <w:noProof/>
          <w:color w:val="0000FF"/>
          <w:sz w:val="24"/>
          <w:szCs w:val="24"/>
        </w:rPr>
        <w:t>[6]</w:t>
      </w:r>
      <w:r w:rsidRPr="00F20621">
        <w:rPr>
          <w:rFonts w:asciiTheme="majorBidi" w:hAnsiTheme="majorBidi" w:cstheme="majorBidi"/>
          <w:color w:val="0000FF"/>
          <w:sz w:val="24"/>
          <w:szCs w:val="24"/>
        </w:rPr>
        <w:fldChar w:fldCharType="end"/>
      </w:r>
      <w:r w:rsidRPr="00F20621">
        <w:rPr>
          <w:rFonts w:asciiTheme="majorBidi" w:hAnsiTheme="majorBidi" w:cstheme="majorBidi"/>
          <w:color w:val="000000" w:themeColor="text1"/>
          <w:sz w:val="24"/>
          <w:szCs w:val="24"/>
        </w:rPr>
        <w:t xml:space="preserve">. As illustrated in </w:t>
      </w:r>
      <w:r w:rsidRPr="00F20621">
        <w:rPr>
          <w:rFonts w:asciiTheme="majorBidi" w:hAnsiTheme="majorBidi" w:cstheme="majorBidi"/>
          <w:color w:val="0000FF"/>
          <w:sz w:val="24"/>
          <w:szCs w:val="24"/>
        </w:rPr>
        <w:t xml:space="preserve">Fig. </w:t>
      </w:r>
      <w:r w:rsidR="00AC3407">
        <w:rPr>
          <w:rFonts w:asciiTheme="majorBidi" w:hAnsiTheme="majorBidi" w:cstheme="majorBidi"/>
          <w:color w:val="0000FF"/>
          <w:sz w:val="24"/>
          <w:szCs w:val="24"/>
        </w:rPr>
        <w:t>S1B</w:t>
      </w:r>
      <w:r w:rsidRPr="00F20621">
        <w:rPr>
          <w:rFonts w:asciiTheme="majorBidi" w:hAnsiTheme="majorBidi" w:cstheme="majorBidi"/>
          <w:color w:val="0000FF"/>
          <w:sz w:val="24"/>
          <w:szCs w:val="24"/>
        </w:rPr>
        <w:t xml:space="preserve"> and Table 2</w:t>
      </w:r>
      <w:r w:rsidRPr="00F20621">
        <w:rPr>
          <w:rFonts w:asciiTheme="majorBidi" w:hAnsiTheme="majorBidi" w:cstheme="majorBidi"/>
          <w:color w:val="000000" w:themeColor="text1"/>
          <w:sz w:val="24"/>
          <w:szCs w:val="24"/>
        </w:rPr>
        <w:t>, the adsorbent GO-</w:t>
      </w:r>
      <w:proofErr w:type="spellStart"/>
      <w:r w:rsidRPr="00F20621">
        <w:rPr>
          <w:rFonts w:asciiTheme="majorBidi" w:hAnsiTheme="majorBidi" w:cstheme="majorBidi"/>
          <w:color w:val="000000" w:themeColor="text1"/>
          <w:sz w:val="24"/>
          <w:szCs w:val="24"/>
        </w:rPr>
        <w:t>ZnO</w:t>
      </w:r>
      <w:proofErr w:type="spellEnd"/>
      <w:r w:rsidRPr="00F20621">
        <w:rPr>
          <w:rFonts w:asciiTheme="majorBidi" w:hAnsiTheme="majorBidi" w:cstheme="majorBidi"/>
          <w:color w:val="000000" w:themeColor="text1"/>
          <w:sz w:val="24"/>
          <w:szCs w:val="24"/>
        </w:rPr>
        <w:t xml:space="preserve"> had good K</w:t>
      </w:r>
      <w:r w:rsidRPr="00F20621">
        <w:rPr>
          <w:rFonts w:asciiTheme="majorBidi" w:hAnsiTheme="majorBidi" w:cstheme="majorBidi"/>
          <w:color w:val="000000" w:themeColor="text1"/>
          <w:sz w:val="24"/>
          <w:szCs w:val="24"/>
          <w:vertAlign w:val="subscript"/>
        </w:rPr>
        <w:t>FH</w:t>
      </w:r>
      <w:r w:rsidRPr="00F20621">
        <w:rPr>
          <w:rFonts w:asciiTheme="majorBidi" w:hAnsiTheme="majorBidi" w:cstheme="majorBidi"/>
          <w:color w:val="000000" w:themeColor="text1"/>
          <w:sz w:val="24"/>
          <w:szCs w:val="24"/>
        </w:rPr>
        <w:t xml:space="preserve"> value revealing the synthetic nanocomposites held better adsorbent-adsorbate interactions. Moreover, the obtained </w:t>
      </w:r>
      <w:proofErr w:type="spellStart"/>
      <w:r w:rsidRPr="00F20621">
        <w:rPr>
          <w:rFonts w:asciiTheme="majorBidi" w:hAnsiTheme="majorBidi" w:cstheme="majorBidi"/>
          <w:color w:val="000000" w:themeColor="text1"/>
          <w:sz w:val="24"/>
          <w:szCs w:val="24"/>
        </w:rPr>
        <w:t>n</w:t>
      </w:r>
      <w:r w:rsidRPr="00F20621">
        <w:rPr>
          <w:rFonts w:asciiTheme="majorBidi" w:hAnsiTheme="majorBidi" w:cstheme="majorBidi"/>
          <w:color w:val="000000" w:themeColor="text1"/>
          <w:sz w:val="24"/>
          <w:szCs w:val="24"/>
          <w:vertAlign w:val="subscript"/>
        </w:rPr>
        <w:t>FH</w:t>
      </w:r>
      <w:proofErr w:type="spellEnd"/>
      <w:r w:rsidRPr="00F20621">
        <w:rPr>
          <w:rFonts w:asciiTheme="majorBidi" w:hAnsiTheme="majorBidi" w:cstheme="majorBidi"/>
          <w:color w:val="000000" w:themeColor="text1"/>
          <w:sz w:val="24"/>
          <w:szCs w:val="24"/>
        </w:rPr>
        <w:t xml:space="preserve"> &lt; 1 indicated that more than one active adsorbent site was occupied by the adsorbate. </w:t>
      </w:r>
    </w:p>
    <w:p w14:paraId="6719F2A3" w14:textId="77777777" w:rsidR="00AC3407" w:rsidRDefault="00AC3407" w:rsidP="00AC3407">
      <w:pPr>
        <w:bidi w:val="0"/>
        <w:spacing w:line="480" w:lineRule="auto"/>
        <w:jc w:val="both"/>
        <w:rPr>
          <w:rFonts w:asciiTheme="majorBidi" w:hAnsiTheme="majorBidi" w:cstheme="majorBidi"/>
          <w:color w:val="000000" w:themeColor="text1"/>
          <w:sz w:val="24"/>
          <w:szCs w:val="24"/>
        </w:rPr>
      </w:pPr>
    </w:p>
    <w:tbl>
      <w:tblPr>
        <w:tblStyle w:val="TableGridLight1"/>
        <w:tblpPr w:leftFromText="180" w:rightFromText="180" w:vertAnchor="text" w:horzAnchor="margin" w:tblpXSpec="center" w:tblpY="51"/>
        <w:tblW w:w="14743" w:type="dxa"/>
        <w:tblLook w:val="04A0" w:firstRow="1" w:lastRow="0" w:firstColumn="1" w:lastColumn="0" w:noHBand="0" w:noVBand="1"/>
      </w:tblPr>
      <w:tblGrid>
        <w:gridCol w:w="7575"/>
        <w:gridCol w:w="7168"/>
      </w:tblGrid>
      <w:tr w:rsidR="00AC3407" w14:paraId="236AF5C2" w14:textId="77777777" w:rsidTr="00AC3407">
        <w:trPr>
          <w:trHeight w:val="5104"/>
        </w:trPr>
        <w:tc>
          <w:tcPr>
            <w:tcW w:w="7575" w:type="dxa"/>
          </w:tcPr>
          <w:p w14:paraId="18663A3F" w14:textId="77777777" w:rsidR="00AC3407" w:rsidRDefault="00AC3407" w:rsidP="00AC3407">
            <w:pPr>
              <w:bidi w:val="0"/>
              <w:spacing w:line="480" w:lineRule="auto"/>
              <w:jc w:val="both"/>
              <w:rPr>
                <w:rFonts w:asciiTheme="majorBidi" w:hAnsiTheme="majorBidi" w:cstheme="majorBidi"/>
                <w:sz w:val="24"/>
                <w:szCs w:val="24"/>
              </w:rPr>
            </w:pPr>
            <w:r>
              <w:rPr>
                <w:noProof/>
                <w:lang w:bidi="ar-SA"/>
              </w:rPr>
              <w:drawing>
                <wp:inline distT="0" distB="0" distL="0" distR="0" wp14:anchorId="3C4BFF45" wp14:editId="4A8CBFC0">
                  <wp:extent cx="4518837" cy="3019647"/>
                  <wp:effectExtent l="0" t="0" r="0" b="0"/>
                  <wp:docPr id="1477712619" name="Chart 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7168" w:type="dxa"/>
          </w:tcPr>
          <w:p w14:paraId="24D53BFC" w14:textId="77777777" w:rsidR="00AC3407" w:rsidRDefault="00AC3407" w:rsidP="00AC3407">
            <w:pPr>
              <w:bidi w:val="0"/>
              <w:spacing w:line="480" w:lineRule="auto"/>
              <w:jc w:val="center"/>
              <w:rPr>
                <w:rFonts w:asciiTheme="majorBidi" w:hAnsiTheme="majorBidi" w:cstheme="majorBidi"/>
                <w:sz w:val="24"/>
                <w:szCs w:val="24"/>
              </w:rPr>
            </w:pPr>
            <w:r>
              <w:rPr>
                <w:noProof/>
                <w:lang w:bidi="ar-SA"/>
              </w:rPr>
              <w:drawing>
                <wp:inline distT="0" distB="0" distL="0" distR="0" wp14:anchorId="14A4FFBF" wp14:editId="18F3F172">
                  <wp:extent cx="4221125" cy="3019647"/>
                  <wp:effectExtent l="0" t="0" r="8255" b="0"/>
                  <wp:docPr id="1541787504" name="Chart 1">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AC3407" w14:paraId="1E84344D" w14:textId="77777777" w:rsidTr="00AC3407">
        <w:tc>
          <w:tcPr>
            <w:tcW w:w="7575" w:type="dxa"/>
          </w:tcPr>
          <w:p w14:paraId="5962EAB1" w14:textId="77777777" w:rsidR="00AC3407" w:rsidRDefault="00AC3407" w:rsidP="00AC3407">
            <w:pPr>
              <w:bidi w:val="0"/>
              <w:spacing w:line="480" w:lineRule="auto"/>
              <w:jc w:val="both"/>
              <w:rPr>
                <w:rFonts w:asciiTheme="majorBidi" w:hAnsiTheme="majorBidi" w:cstheme="majorBidi"/>
                <w:sz w:val="24"/>
                <w:szCs w:val="24"/>
              </w:rPr>
            </w:pPr>
            <w:r>
              <w:rPr>
                <w:rFonts w:asciiTheme="majorBidi" w:hAnsiTheme="majorBidi" w:cstheme="majorBidi"/>
                <w:sz w:val="24"/>
                <w:szCs w:val="24"/>
              </w:rPr>
              <w:t>A)</w:t>
            </w:r>
          </w:p>
        </w:tc>
        <w:tc>
          <w:tcPr>
            <w:tcW w:w="7168" w:type="dxa"/>
          </w:tcPr>
          <w:p w14:paraId="42D272A0" w14:textId="77777777" w:rsidR="00AC3407" w:rsidRDefault="00AC3407" w:rsidP="00AC3407">
            <w:pPr>
              <w:bidi w:val="0"/>
              <w:spacing w:line="480" w:lineRule="auto"/>
              <w:jc w:val="both"/>
              <w:rPr>
                <w:rFonts w:asciiTheme="majorBidi" w:hAnsiTheme="majorBidi" w:cstheme="majorBidi"/>
                <w:sz w:val="24"/>
                <w:szCs w:val="24"/>
              </w:rPr>
            </w:pPr>
            <w:r>
              <w:rPr>
                <w:rFonts w:asciiTheme="majorBidi" w:hAnsiTheme="majorBidi" w:cstheme="majorBidi"/>
                <w:sz w:val="24"/>
                <w:szCs w:val="24"/>
              </w:rPr>
              <w:t>B)</w:t>
            </w:r>
          </w:p>
        </w:tc>
      </w:tr>
      <w:tr w:rsidR="00AC3407" w14:paraId="6A3632E9" w14:textId="77777777" w:rsidTr="00AC3407">
        <w:tc>
          <w:tcPr>
            <w:tcW w:w="14743" w:type="dxa"/>
            <w:gridSpan w:val="2"/>
          </w:tcPr>
          <w:p w14:paraId="50D72F16" w14:textId="77777777" w:rsidR="00AC3407" w:rsidRDefault="00AC3407" w:rsidP="00AC3407">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Fig. S1 </w:t>
            </w:r>
            <w:r w:rsidRPr="00771C35">
              <w:rPr>
                <w:rFonts w:asciiTheme="majorBidi" w:hAnsiTheme="majorBidi" w:cstheme="majorBidi"/>
                <w:sz w:val="24"/>
                <w:szCs w:val="24"/>
              </w:rPr>
              <w:t>Linearized</w:t>
            </w:r>
            <w:r w:rsidRPr="004727BF">
              <w:rPr>
                <w:rFonts w:asciiTheme="majorBidi" w:hAnsiTheme="majorBidi" w:cstheme="majorBidi"/>
                <w:sz w:val="24"/>
                <w:szCs w:val="24"/>
              </w:rPr>
              <w:t xml:space="preserve"> </w:t>
            </w:r>
            <w:r>
              <w:rPr>
                <w:rFonts w:asciiTheme="majorBidi" w:hAnsiTheme="majorBidi" w:cstheme="majorBidi"/>
                <w:sz w:val="24"/>
                <w:szCs w:val="24"/>
              </w:rPr>
              <w:t>f</w:t>
            </w:r>
            <w:r w:rsidRPr="004727BF">
              <w:rPr>
                <w:rFonts w:asciiTheme="majorBidi" w:hAnsiTheme="majorBidi" w:cstheme="majorBidi"/>
                <w:sz w:val="24"/>
                <w:szCs w:val="24"/>
              </w:rPr>
              <w:t xml:space="preserve">its of the </w:t>
            </w:r>
            <w:r>
              <w:rPr>
                <w:rFonts w:asciiTheme="majorBidi" w:hAnsiTheme="majorBidi" w:cstheme="majorBidi"/>
                <w:sz w:val="24"/>
                <w:szCs w:val="24"/>
              </w:rPr>
              <w:t xml:space="preserve">A) </w:t>
            </w:r>
            <w:r w:rsidRPr="00771C35">
              <w:rPr>
                <w:rFonts w:asciiTheme="majorBidi" w:hAnsiTheme="majorBidi" w:cstheme="majorBidi"/>
                <w:sz w:val="24"/>
                <w:szCs w:val="24"/>
              </w:rPr>
              <w:t>Temkin</w:t>
            </w:r>
            <w:r>
              <w:rPr>
                <w:rFonts w:asciiTheme="majorBidi" w:hAnsiTheme="majorBidi" w:cstheme="majorBidi"/>
                <w:sz w:val="24"/>
                <w:szCs w:val="24"/>
              </w:rPr>
              <w:t xml:space="preserve">, and B) </w:t>
            </w:r>
            <w:r w:rsidRPr="009827C7">
              <w:rPr>
                <w:rFonts w:asciiTheme="majorBidi" w:hAnsiTheme="majorBidi" w:cstheme="majorBidi"/>
                <w:sz w:val="24"/>
                <w:szCs w:val="24"/>
              </w:rPr>
              <w:t>Flory</w:t>
            </w:r>
            <w:r>
              <w:rPr>
                <w:rFonts w:asciiTheme="majorBidi" w:hAnsiTheme="majorBidi" w:cstheme="majorBidi"/>
                <w:sz w:val="24"/>
                <w:szCs w:val="24"/>
              </w:rPr>
              <w:t>-</w:t>
            </w:r>
            <w:r w:rsidRPr="009827C7">
              <w:rPr>
                <w:rFonts w:asciiTheme="majorBidi" w:hAnsiTheme="majorBidi" w:cstheme="majorBidi"/>
                <w:sz w:val="24"/>
                <w:szCs w:val="24"/>
              </w:rPr>
              <w:t xml:space="preserve">Huggins </w:t>
            </w:r>
            <w:r w:rsidRPr="004727BF">
              <w:rPr>
                <w:rFonts w:asciiTheme="majorBidi" w:hAnsiTheme="majorBidi" w:cstheme="majorBidi"/>
                <w:sz w:val="24"/>
                <w:szCs w:val="24"/>
              </w:rPr>
              <w:t>iso</w:t>
            </w:r>
            <w:r>
              <w:rPr>
                <w:rFonts w:asciiTheme="majorBidi" w:hAnsiTheme="majorBidi" w:cstheme="majorBidi"/>
                <w:sz w:val="24"/>
                <w:szCs w:val="24"/>
              </w:rPr>
              <w:t>therms</w:t>
            </w:r>
            <w:r w:rsidRPr="00771C35">
              <w:rPr>
                <w:rFonts w:asciiTheme="majorBidi" w:hAnsiTheme="majorBidi" w:cstheme="majorBidi"/>
                <w:sz w:val="24"/>
                <w:szCs w:val="24"/>
              </w:rPr>
              <w:t>,</w:t>
            </w:r>
            <w:r>
              <w:rPr>
                <w:rFonts w:asciiTheme="majorBidi" w:hAnsiTheme="majorBidi" w:cstheme="majorBidi"/>
                <w:sz w:val="24"/>
                <w:szCs w:val="24"/>
              </w:rPr>
              <w:t xml:space="preserve"> for the adsorption of the dye pollutants of the MB and MO</w:t>
            </w:r>
            <w:r w:rsidRPr="004727BF">
              <w:rPr>
                <w:rFonts w:asciiTheme="majorBidi" w:hAnsiTheme="majorBidi" w:cstheme="majorBidi"/>
                <w:sz w:val="24"/>
                <w:szCs w:val="24"/>
              </w:rPr>
              <w:t xml:space="preserve"> </w:t>
            </w:r>
            <w:r>
              <w:rPr>
                <w:rFonts w:asciiTheme="majorBidi" w:hAnsiTheme="majorBidi" w:cstheme="majorBidi"/>
                <w:sz w:val="24"/>
                <w:szCs w:val="24"/>
              </w:rPr>
              <w:t>(</w:t>
            </w:r>
            <w:r w:rsidRPr="002A38A8">
              <w:rPr>
                <w:rFonts w:asciiTheme="majorBidi" w:hAnsiTheme="majorBidi" w:cstheme="majorBidi"/>
                <w:sz w:val="24"/>
                <w:szCs w:val="24"/>
              </w:rPr>
              <w:t xml:space="preserve">at pH </w:t>
            </w:r>
            <w:r>
              <w:rPr>
                <w:rFonts w:asciiTheme="majorBidi" w:hAnsiTheme="majorBidi" w:cstheme="majorBidi"/>
                <w:sz w:val="24"/>
                <w:szCs w:val="24"/>
              </w:rPr>
              <w:t>~</w:t>
            </w:r>
            <w:r w:rsidRPr="002A38A8">
              <w:rPr>
                <w:rFonts w:asciiTheme="majorBidi" w:hAnsiTheme="majorBidi" w:cstheme="majorBidi"/>
                <w:sz w:val="24"/>
                <w:szCs w:val="24"/>
              </w:rPr>
              <w:t xml:space="preserve"> </w:t>
            </w:r>
            <w:r w:rsidRPr="004C118E">
              <w:rPr>
                <w:rFonts w:asciiTheme="majorBidi" w:hAnsiTheme="majorBidi" w:cstheme="majorBidi"/>
                <w:sz w:val="24"/>
                <w:szCs w:val="24"/>
              </w:rPr>
              <w:t>6) and the heavy metals of the Cd</w:t>
            </w:r>
            <w:r w:rsidRPr="00AD227B">
              <w:rPr>
                <w:rFonts w:asciiTheme="majorBidi" w:hAnsiTheme="majorBidi" w:cstheme="majorBidi"/>
                <w:color w:val="00B050"/>
                <w:sz w:val="24"/>
                <w:szCs w:val="24"/>
                <w:vertAlign w:val="superscript"/>
              </w:rPr>
              <w:t>2+</w:t>
            </w:r>
            <w:r w:rsidRPr="004C118E">
              <w:rPr>
                <w:rFonts w:asciiTheme="majorBidi" w:hAnsiTheme="majorBidi" w:cstheme="majorBidi"/>
                <w:sz w:val="24"/>
                <w:szCs w:val="24"/>
              </w:rPr>
              <w:t xml:space="preserve"> and Pb</w:t>
            </w:r>
            <w:r w:rsidRPr="00AD227B">
              <w:rPr>
                <w:rFonts w:asciiTheme="majorBidi" w:hAnsiTheme="majorBidi" w:cstheme="majorBidi"/>
                <w:color w:val="00B050"/>
                <w:sz w:val="24"/>
                <w:szCs w:val="24"/>
                <w:vertAlign w:val="superscript"/>
              </w:rPr>
              <w:t>2+</w:t>
            </w:r>
            <w:r w:rsidRPr="004C118E">
              <w:rPr>
                <w:rFonts w:asciiTheme="majorBidi" w:hAnsiTheme="majorBidi" w:cstheme="majorBidi"/>
                <w:sz w:val="24"/>
                <w:szCs w:val="24"/>
              </w:rPr>
              <w:t xml:space="preserve"> (at pH ~ 8</w:t>
            </w:r>
            <w:r>
              <w:rPr>
                <w:rFonts w:asciiTheme="majorBidi" w:hAnsiTheme="majorBidi" w:cstheme="majorBidi"/>
                <w:sz w:val="24"/>
                <w:szCs w:val="24"/>
              </w:rPr>
              <w:t xml:space="preserve">) </w:t>
            </w:r>
            <w:r w:rsidRPr="004727BF">
              <w:rPr>
                <w:rFonts w:asciiTheme="majorBidi" w:hAnsiTheme="majorBidi" w:cstheme="majorBidi"/>
                <w:sz w:val="24"/>
                <w:szCs w:val="24"/>
              </w:rPr>
              <w:t>on</w:t>
            </w:r>
            <w:r>
              <w:rPr>
                <w:rFonts w:asciiTheme="majorBidi" w:hAnsiTheme="majorBidi" w:cstheme="majorBidi"/>
                <w:sz w:val="24"/>
                <w:szCs w:val="24"/>
              </w:rPr>
              <w:t>to</w:t>
            </w:r>
            <w:r w:rsidRPr="004727BF">
              <w:rPr>
                <w:rFonts w:asciiTheme="majorBidi" w:hAnsiTheme="majorBidi" w:cstheme="majorBidi"/>
                <w:sz w:val="24"/>
                <w:szCs w:val="24"/>
              </w:rPr>
              <w:t xml:space="preserve"> </w:t>
            </w:r>
            <w:r>
              <w:rPr>
                <w:rFonts w:asciiTheme="majorBidi" w:hAnsiTheme="majorBidi" w:cstheme="majorBidi"/>
                <w:sz w:val="24"/>
                <w:szCs w:val="24"/>
              </w:rPr>
              <w:t>the synthetic GO-</w:t>
            </w:r>
            <w:proofErr w:type="spellStart"/>
            <w:r>
              <w:rPr>
                <w:rFonts w:asciiTheme="majorBidi" w:hAnsiTheme="majorBidi" w:cstheme="majorBidi"/>
                <w:sz w:val="24"/>
                <w:szCs w:val="24"/>
              </w:rPr>
              <w:t>ZnO</w:t>
            </w:r>
            <w:proofErr w:type="spellEnd"/>
            <w:r>
              <w:rPr>
                <w:rFonts w:asciiTheme="majorBidi" w:hAnsiTheme="majorBidi" w:cstheme="majorBidi"/>
                <w:sz w:val="24"/>
                <w:szCs w:val="24"/>
              </w:rPr>
              <w:t>;</w:t>
            </w:r>
            <w:r w:rsidRPr="009136AC">
              <w:rPr>
                <w:rFonts w:asciiTheme="majorBidi" w:hAnsiTheme="majorBidi" w:cstheme="majorBidi"/>
                <w:sz w:val="24"/>
                <w:szCs w:val="24"/>
              </w:rPr>
              <w:t xml:space="preserve"> Initial condition</w:t>
            </w:r>
            <w:r>
              <w:rPr>
                <w:rFonts w:asciiTheme="majorBidi" w:hAnsiTheme="majorBidi" w:cstheme="majorBidi"/>
                <w:sz w:val="24"/>
                <w:szCs w:val="24"/>
              </w:rPr>
              <w:t>s:</w:t>
            </w:r>
            <w:r w:rsidRPr="004F1A54">
              <w:rPr>
                <w:rFonts w:asciiTheme="majorBidi" w:hAnsiTheme="majorBidi" w:cstheme="majorBidi"/>
                <w:sz w:val="24"/>
                <w:szCs w:val="24"/>
              </w:rPr>
              <w:t xml:space="preserve"> 10 mg of the adsorbent, </w:t>
            </w:r>
            <w:r>
              <w:rPr>
                <w:rFonts w:asciiTheme="majorBidi" w:hAnsiTheme="majorBidi" w:cstheme="majorBidi"/>
                <w:sz w:val="24"/>
                <w:szCs w:val="24"/>
              </w:rPr>
              <w:t>the</w:t>
            </w:r>
            <w:r w:rsidRPr="004F1A54">
              <w:rPr>
                <w:rFonts w:asciiTheme="majorBidi" w:hAnsiTheme="majorBidi" w:cstheme="majorBidi"/>
                <w:sz w:val="24"/>
                <w:szCs w:val="24"/>
              </w:rPr>
              <w:t xml:space="preserve"> initial concentration range: 10 - 175 </w:t>
            </w:r>
            <w:r>
              <w:rPr>
                <w:rFonts w:asciiTheme="majorBidi" w:hAnsiTheme="majorBidi" w:cstheme="majorBidi"/>
                <w:sz w:val="24"/>
                <w:szCs w:val="24"/>
              </w:rPr>
              <w:t>(</w:t>
            </w:r>
            <w:r w:rsidRPr="004F1A54">
              <w:rPr>
                <w:rFonts w:asciiTheme="majorBidi" w:hAnsiTheme="majorBidi" w:cstheme="majorBidi"/>
                <w:sz w:val="24"/>
                <w:szCs w:val="24"/>
              </w:rPr>
              <w:t>mg</w:t>
            </w:r>
            <w:r w:rsidRPr="004F1A54">
              <w:rPr>
                <w:rFonts w:asciiTheme="majorBidi" w:hAnsiTheme="majorBidi" w:cstheme="majorBidi"/>
                <w:i/>
                <w:iCs/>
                <w:sz w:val="24"/>
                <w:szCs w:val="24"/>
              </w:rPr>
              <w:t>.</w:t>
            </w:r>
            <w:r w:rsidRPr="004F1A54">
              <w:rPr>
                <w:rFonts w:asciiTheme="majorBidi" w:hAnsiTheme="majorBidi" w:cstheme="majorBidi"/>
                <w:sz w:val="24"/>
                <w:szCs w:val="24"/>
              </w:rPr>
              <w:t>L</w:t>
            </w:r>
            <w:r w:rsidRPr="004F1A54">
              <w:rPr>
                <w:rFonts w:asciiTheme="majorBidi" w:hAnsiTheme="majorBidi" w:cstheme="majorBidi"/>
                <w:sz w:val="24"/>
                <w:szCs w:val="24"/>
                <w:vertAlign w:val="superscript"/>
              </w:rPr>
              <w:t>-1</w:t>
            </w:r>
            <w:r>
              <w:rPr>
                <w:rFonts w:asciiTheme="majorBidi" w:hAnsiTheme="majorBidi" w:cstheme="majorBidi"/>
                <w:sz w:val="24"/>
                <w:szCs w:val="24"/>
              </w:rPr>
              <w:t>)</w:t>
            </w:r>
            <w:r w:rsidRPr="004F1A54">
              <w:rPr>
                <w:rFonts w:asciiTheme="majorBidi" w:hAnsiTheme="majorBidi" w:cstheme="majorBidi"/>
                <w:sz w:val="24"/>
                <w:szCs w:val="24"/>
              </w:rPr>
              <w:t xml:space="preserve"> at 298 K.</w:t>
            </w:r>
          </w:p>
        </w:tc>
      </w:tr>
    </w:tbl>
    <w:p w14:paraId="2B09E24B" w14:textId="77777777" w:rsidR="00AC3407" w:rsidRDefault="00AC3407" w:rsidP="00AC3407">
      <w:pPr>
        <w:bidi w:val="0"/>
        <w:spacing w:line="480" w:lineRule="auto"/>
        <w:jc w:val="both"/>
        <w:rPr>
          <w:rFonts w:asciiTheme="majorBidi" w:hAnsiTheme="majorBidi" w:cstheme="majorBidi"/>
          <w:color w:val="000000" w:themeColor="text1"/>
          <w:sz w:val="24"/>
          <w:szCs w:val="24"/>
        </w:rPr>
      </w:pPr>
    </w:p>
    <w:p w14:paraId="35FD2289" w14:textId="77777777" w:rsidR="00AC3407" w:rsidRDefault="00AC3407" w:rsidP="00AC3407">
      <w:pPr>
        <w:bidi w:val="0"/>
        <w:spacing w:line="480" w:lineRule="auto"/>
        <w:jc w:val="both"/>
        <w:rPr>
          <w:rFonts w:asciiTheme="majorBidi" w:hAnsiTheme="majorBidi" w:cstheme="majorBidi"/>
          <w:color w:val="000000" w:themeColor="text1"/>
          <w:sz w:val="24"/>
          <w:szCs w:val="24"/>
        </w:rPr>
      </w:pPr>
    </w:p>
    <w:p w14:paraId="0B090970" w14:textId="77777777" w:rsidR="00AC3407" w:rsidRDefault="00AC3407" w:rsidP="00AC3407">
      <w:pPr>
        <w:bidi w:val="0"/>
        <w:spacing w:line="480" w:lineRule="auto"/>
        <w:jc w:val="both"/>
        <w:rPr>
          <w:rFonts w:asciiTheme="majorBidi" w:hAnsiTheme="majorBidi" w:cstheme="majorBidi"/>
          <w:color w:val="000000" w:themeColor="text1"/>
          <w:sz w:val="24"/>
          <w:szCs w:val="24"/>
        </w:rPr>
      </w:pPr>
    </w:p>
    <w:p w14:paraId="238CA076" w14:textId="77777777" w:rsidR="00AF703B" w:rsidRDefault="00AF703B" w:rsidP="00AF703B">
      <w:pPr>
        <w:bidi w:val="0"/>
        <w:spacing w:line="480" w:lineRule="auto"/>
        <w:jc w:val="both"/>
        <w:rPr>
          <w:rFonts w:asciiTheme="majorBidi" w:hAnsiTheme="majorBidi" w:cstheme="majorBidi"/>
          <w:color w:val="000000" w:themeColor="text1"/>
          <w:sz w:val="24"/>
          <w:szCs w:val="24"/>
        </w:rPr>
      </w:pPr>
    </w:p>
    <w:p w14:paraId="16D3F221" w14:textId="77777777" w:rsidR="00AF703B" w:rsidRDefault="00AF703B" w:rsidP="00AF703B">
      <w:pPr>
        <w:bidi w:val="0"/>
        <w:spacing w:line="480" w:lineRule="auto"/>
        <w:jc w:val="both"/>
        <w:rPr>
          <w:rFonts w:asciiTheme="majorBidi" w:hAnsiTheme="majorBidi" w:cstheme="majorBidi"/>
          <w:color w:val="000000" w:themeColor="text1"/>
          <w:sz w:val="24"/>
          <w:szCs w:val="24"/>
        </w:rPr>
      </w:pPr>
    </w:p>
    <w:p w14:paraId="06011869" w14:textId="77777777" w:rsidR="00AF703B" w:rsidRDefault="00AF703B" w:rsidP="00AF703B">
      <w:pPr>
        <w:bidi w:val="0"/>
        <w:spacing w:line="480" w:lineRule="auto"/>
        <w:jc w:val="both"/>
        <w:rPr>
          <w:rFonts w:asciiTheme="majorBidi" w:hAnsiTheme="majorBidi" w:cstheme="majorBidi"/>
          <w:color w:val="000000" w:themeColor="text1"/>
          <w:sz w:val="24"/>
          <w:szCs w:val="24"/>
        </w:rPr>
      </w:pPr>
    </w:p>
    <w:p w14:paraId="4280CD81" w14:textId="12C6D36B" w:rsidR="00AF703B" w:rsidRPr="00AF703B" w:rsidRDefault="00AF703B" w:rsidP="00AF703B">
      <w:pPr>
        <w:widowControl w:val="0"/>
        <w:autoSpaceDE w:val="0"/>
        <w:autoSpaceDN w:val="0"/>
        <w:bidi w:val="0"/>
        <w:adjustRightInd w:val="0"/>
        <w:spacing w:line="480" w:lineRule="auto"/>
        <w:ind w:left="640" w:hanging="640"/>
        <w:jc w:val="both"/>
        <w:rPr>
          <w:rFonts w:ascii="Times New Roman" w:hAnsi="Times New Roman" w:cs="Times New Roman"/>
          <w:noProof/>
          <w:sz w:val="24"/>
          <w:szCs w:val="24"/>
        </w:rPr>
      </w:pPr>
      <w:r>
        <w:rPr>
          <w:rFonts w:asciiTheme="majorBidi" w:hAnsiTheme="majorBidi" w:cstheme="majorBidi"/>
          <w:color w:val="000000" w:themeColor="text1"/>
          <w:sz w:val="24"/>
          <w:szCs w:val="24"/>
        </w:rPr>
        <w:fldChar w:fldCharType="begin" w:fldLock="1"/>
      </w:r>
      <w:r>
        <w:rPr>
          <w:rFonts w:asciiTheme="majorBidi" w:hAnsiTheme="majorBidi" w:cstheme="majorBidi"/>
          <w:color w:val="000000" w:themeColor="text1"/>
          <w:sz w:val="24"/>
          <w:szCs w:val="24"/>
        </w:rPr>
        <w:instrText xml:space="preserve">ADDIN Mendeley Bibliography CSL_BIBLIOGRAPHY </w:instrText>
      </w:r>
      <w:r>
        <w:rPr>
          <w:rFonts w:asciiTheme="majorBidi" w:hAnsiTheme="majorBidi" w:cstheme="majorBidi"/>
          <w:color w:val="000000" w:themeColor="text1"/>
          <w:sz w:val="24"/>
          <w:szCs w:val="24"/>
        </w:rPr>
        <w:fldChar w:fldCharType="separate"/>
      </w:r>
      <w:r w:rsidRPr="00AF703B">
        <w:rPr>
          <w:rFonts w:ascii="Times New Roman" w:hAnsi="Times New Roman" w:cs="Times New Roman"/>
          <w:noProof/>
          <w:sz w:val="24"/>
          <w:szCs w:val="24"/>
        </w:rPr>
        <w:t>[1]</w:t>
      </w:r>
      <w:r w:rsidRPr="00AF703B">
        <w:rPr>
          <w:rFonts w:ascii="Times New Roman" w:hAnsi="Times New Roman" w:cs="Times New Roman"/>
          <w:noProof/>
          <w:sz w:val="24"/>
          <w:szCs w:val="24"/>
        </w:rPr>
        <w:tab/>
        <w:t xml:space="preserve">R. C. Chikate and B. S. Kadu, “Improved photocatalytic activity of CdSe-nanocomposites: Effect of Montmorillonite support towards efficient removal of Indigo Carmine,” </w:t>
      </w:r>
      <w:r w:rsidRPr="00AF703B">
        <w:rPr>
          <w:rFonts w:ascii="Times New Roman" w:hAnsi="Times New Roman" w:cs="Times New Roman"/>
          <w:i/>
          <w:iCs/>
          <w:noProof/>
          <w:sz w:val="24"/>
          <w:szCs w:val="24"/>
        </w:rPr>
        <w:t>Spectrochim. Acta Part A Mol. Biomol. Spectrosc.</w:t>
      </w:r>
      <w:r w:rsidRPr="00AF703B">
        <w:rPr>
          <w:rFonts w:ascii="Times New Roman" w:hAnsi="Times New Roman" w:cs="Times New Roman"/>
          <w:noProof/>
          <w:sz w:val="24"/>
          <w:szCs w:val="24"/>
        </w:rPr>
        <w:t>, vol. 124, pp. 138–147, 2014, doi: https://doi.org/10.1016/j.saa.2013.12.099.</w:t>
      </w:r>
    </w:p>
    <w:p w14:paraId="6258956B" w14:textId="77777777" w:rsidR="00AF703B" w:rsidRPr="00AF703B" w:rsidRDefault="00AF703B" w:rsidP="00AF703B">
      <w:pPr>
        <w:widowControl w:val="0"/>
        <w:autoSpaceDE w:val="0"/>
        <w:autoSpaceDN w:val="0"/>
        <w:bidi w:val="0"/>
        <w:adjustRightInd w:val="0"/>
        <w:spacing w:line="480" w:lineRule="auto"/>
        <w:ind w:left="640" w:hanging="640"/>
        <w:jc w:val="both"/>
        <w:rPr>
          <w:rFonts w:ascii="Times New Roman" w:hAnsi="Times New Roman" w:cs="Times New Roman"/>
          <w:noProof/>
          <w:sz w:val="24"/>
          <w:szCs w:val="24"/>
        </w:rPr>
      </w:pPr>
      <w:r w:rsidRPr="00AF703B">
        <w:rPr>
          <w:rFonts w:ascii="Times New Roman" w:hAnsi="Times New Roman" w:cs="Times New Roman"/>
          <w:noProof/>
          <w:sz w:val="24"/>
          <w:szCs w:val="24"/>
        </w:rPr>
        <w:t>[2]</w:t>
      </w:r>
      <w:r w:rsidRPr="00AF703B">
        <w:rPr>
          <w:rFonts w:ascii="Times New Roman" w:hAnsi="Times New Roman" w:cs="Times New Roman"/>
          <w:noProof/>
          <w:sz w:val="24"/>
          <w:szCs w:val="24"/>
        </w:rPr>
        <w:tab/>
        <w:t xml:space="preserve">N. Ayawei, A. N. Ebelegi, and D. Wankasi, “Modelling and Interpretation of Adsorption Isotherms,” </w:t>
      </w:r>
      <w:r w:rsidRPr="00AF703B">
        <w:rPr>
          <w:rFonts w:ascii="Times New Roman" w:hAnsi="Times New Roman" w:cs="Times New Roman"/>
          <w:i/>
          <w:iCs/>
          <w:noProof/>
          <w:sz w:val="24"/>
          <w:szCs w:val="24"/>
        </w:rPr>
        <w:t>J. Chem.</w:t>
      </w:r>
      <w:r w:rsidRPr="00AF703B">
        <w:rPr>
          <w:rFonts w:ascii="Times New Roman" w:hAnsi="Times New Roman" w:cs="Times New Roman"/>
          <w:noProof/>
          <w:sz w:val="24"/>
          <w:szCs w:val="24"/>
        </w:rPr>
        <w:t>, vol. 2017, p. 3039817, 2017, doi: 10.1155/2017/3039817.</w:t>
      </w:r>
    </w:p>
    <w:p w14:paraId="7B69159D" w14:textId="77777777" w:rsidR="00AF703B" w:rsidRPr="00AF703B" w:rsidRDefault="00AF703B" w:rsidP="00AF703B">
      <w:pPr>
        <w:widowControl w:val="0"/>
        <w:autoSpaceDE w:val="0"/>
        <w:autoSpaceDN w:val="0"/>
        <w:bidi w:val="0"/>
        <w:adjustRightInd w:val="0"/>
        <w:spacing w:line="480" w:lineRule="auto"/>
        <w:ind w:left="640" w:hanging="640"/>
        <w:jc w:val="both"/>
        <w:rPr>
          <w:rFonts w:ascii="Times New Roman" w:hAnsi="Times New Roman" w:cs="Times New Roman"/>
          <w:noProof/>
          <w:sz w:val="24"/>
          <w:szCs w:val="24"/>
        </w:rPr>
      </w:pPr>
      <w:r w:rsidRPr="00AF703B">
        <w:rPr>
          <w:rFonts w:ascii="Times New Roman" w:hAnsi="Times New Roman" w:cs="Times New Roman"/>
          <w:noProof/>
          <w:sz w:val="24"/>
          <w:szCs w:val="24"/>
        </w:rPr>
        <w:t>[3]</w:t>
      </w:r>
      <w:r w:rsidRPr="00AF703B">
        <w:rPr>
          <w:rFonts w:ascii="Times New Roman" w:hAnsi="Times New Roman" w:cs="Times New Roman"/>
          <w:noProof/>
          <w:sz w:val="24"/>
          <w:szCs w:val="24"/>
        </w:rPr>
        <w:tab/>
        <w:t xml:space="preserve">C. Rodríguez, C. Tapia, E. Leiva-Aravena, and E. Leiva, “Graphene Oxide–ZnO Nanocomposites for Removal of Aluminum and Copper Ions from Acid Mine Drainage Wastewater,” </w:t>
      </w:r>
      <w:r w:rsidRPr="00AF703B">
        <w:rPr>
          <w:rFonts w:ascii="Times New Roman" w:hAnsi="Times New Roman" w:cs="Times New Roman"/>
          <w:i/>
          <w:iCs/>
          <w:noProof/>
          <w:sz w:val="24"/>
          <w:szCs w:val="24"/>
        </w:rPr>
        <w:t>Int. J. Environ. Res. Public Health</w:t>
      </w:r>
      <w:r w:rsidRPr="00AF703B">
        <w:rPr>
          <w:rFonts w:ascii="Times New Roman" w:hAnsi="Times New Roman" w:cs="Times New Roman"/>
          <w:noProof/>
          <w:sz w:val="24"/>
          <w:szCs w:val="24"/>
        </w:rPr>
        <w:t>, vol. 17, no. 18, 2020, doi: 10.3390/ijerph17186911.</w:t>
      </w:r>
    </w:p>
    <w:p w14:paraId="096F2FE2" w14:textId="77777777" w:rsidR="00AF703B" w:rsidRPr="00AF703B" w:rsidRDefault="00AF703B" w:rsidP="00AF703B">
      <w:pPr>
        <w:widowControl w:val="0"/>
        <w:autoSpaceDE w:val="0"/>
        <w:autoSpaceDN w:val="0"/>
        <w:bidi w:val="0"/>
        <w:adjustRightInd w:val="0"/>
        <w:spacing w:line="480" w:lineRule="auto"/>
        <w:ind w:left="640" w:hanging="640"/>
        <w:jc w:val="both"/>
        <w:rPr>
          <w:rFonts w:ascii="Times New Roman" w:hAnsi="Times New Roman" w:cs="Times New Roman"/>
          <w:noProof/>
          <w:sz w:val="24"/>
          <w:szCs w:val="24"/>
        </w:rPr>
      </w:pPr>
      <w:r w:rsidRPr="00AF703B">
        <w:rPr>
          <w:rFonts w:ascii="Times New Roman" w:hAnsi="Times New Roman" w:cs="Times New Roman"/>
          <w:noProof/>
          <w:sz w:val="24"/>
          <w:szCs w:val="24"/>
        </w:rPr>
        <w:t>[4]</w:t>
      </w:r>
      <w:r w:rsidRPr="00AF703B">
        <w:rPr>
          <w:rFonts w:ascii="Times New Roman" w:hAnsi="Times New Roman" w:cs="Times New Roman"/>
          <w:noProof/>
          <w:sz w:val="24"/>
          <w:szCs w:val="24"/>
        </w:rPr>
        <w:tab/>
        <w:t xml:space="preserve">R. Ragadhita and A. B. D. Nandiyanto, “How to Calculate Adsorption Isotherms of Particles Using Two-Parameter Monolayer </w:t>
      </w:r>
      <w:r w:rsidRPr="00AF703B">
        <w:rPr>
          <w:rFonts w:ascii="Times New Roman" w:hAnsi="Times New Roman" w:cs="Times New Roman"/>
          <w:noProof/>
          <w:sz w:val="24"/>
          <w:szCs w:val="24"/>
        </w:rPr>
        <w:lastRenderedPageBreak/>
        <w:t xml:space="preserve">Adsorption Models and Equations,” </w:t>
      </w:r>
      <w:r w:rsidRPr="00AF703B">
        <w:rPr>
          <w:rFonts w:ascii="Times New Roman" w:hAnsi="Times New Roman" w:cs="Times New Roman"/>
          <w:i/>
          <w:iCs/>
          <w:noProof/>
          <w:sz w:val="24"/>
          <w:szCs w:val="24"/>
        </w:rPr>
        <w:t>Indones. J. Sci. Technol.</w:t>
      </w:r>
      <w:r w:rsidRPr="00AF703B">
        <w:rPr>
          <w:rFonts w:ascii="Times New Roman" w:hAnsi="Times New Roman" w:cs="Times New Roman"/>
          <w:noProof/>
          <w:sz w:val="24"/>
          <w:szCs w:val="24"/>
        </w:rPr>
        <w:t>, vol. 6, no. 1, pp. 205–234, 2021.</w:t>
      </w:r>
    </w:p>
    <w:p w14:paraId="098CB0B8" w14:textId="77777777" w:rsidR="00AF703B" w:rsidRPr="00AF703B" w:rsidRDefault="00AF703B" w:rsidP="00AF703B">
      <w:pPr>
        <w:widowControl w:val="0"/>
        <w:autoSpaceDE w:val="0"/>
        <w:autoSpaceDN w:val="0"/>
        <w:bidi w:val="0"/>
        <w:adjustRightInd w:val="0"/>
        <w:spacing w:line="480" w:lineRule="auto"/>
        <w:ind w:left="640" w:hanging="640"/>
        <w:jc w:val="both"/>
        <w:rPr>
          <w:rFonts w:ascii="Times New Roman" w:hAnsi="Times New Roman" w:cs="Times New Roman"/>
          <w:noProof/>
          <w:sz w:val="24"/>
          <w:szCs w:val="24"/>
        </w:rPr>
      </w:pPr>
      <w:r w:rsidRPr="00AF703B">
        <w:rPr>
          <w:rFonts w:ascii="Times New Roman" w:hAnsi="Times New Roman" w:cs="Times New Roman"/>
          <w:noProof/>
          <w:sz w:val="24"/>
          <w:szCs w:val="24"/>
        </w:rPr>
        <w:t>[5]</w:t>
      </w:r>
      <w:r w:rsidRPr="00AF703B">
        <w:rPr>
          <w:rFonts w:ascii="Times New Roman" w:hAnsi="Times New Roman" w:cs="Times New Roman"/>
          <w:noProof/>
          <w:sz w:val="24"/>
          <w:szCs w:val="24"/>
        </w:rPr>
        <w:tab/>
        <w:t xml:space="preserve">A. E. Oral, S. Aytas, S. Yusan, S. Sert, C. Gok, and O. Elmastas Gultekin, “Preparation and characterization of a graphene-based magnetic nanocomposite for the adsorption of lanthanum ions from aqueous solution,” </w:t>
      </w:r>
      <w:r w:rsidRPr="00AF703B">
        <w:rPr>
          <w:rFonts w:ascii="Times New Roman" w:hAnsi="Times New Roman" w:cs="Times New Roman"/>
          <w:i/>
          <w:iCs/>
          <w:noProof/>
          <w:sz w:val="24"/>
          <w:szCs w:val="24"/>
        </w:rPr>
        <w:t>Anal. Lett.</w:t>
      </w:r>
      <w:r w:rsidRPr="00AF703B">
        <w:rPr>
          <w:rFonts w:ascii="Times New Roman" w:hAnsi="Times New Roman" w:cs="Times New Roman"/>
          <w:noProof/>
          <w:sz w:val="24"/>
          <w:szCs w:val="24"/>
        </w:rPr>
        <w:t>, vol. 53, no. 11, pp. 1812–1833, 2020.</w:t>
      </w:r>
    </w:p>
    <w:p w14:paraId="75643E7C" w14:textId="77777777" w:rsidR="00AF703B" w:rsidRPr="00AF703B" w:rsidRDefault="00AF703B" w:rsidP="00AF703B">
      <w:pPr>
        <w:widowControl w:val="0"/>
        <w:autoSpaceDE w:val="0"/>
        <w:autoSpaceDN w:val="0"/>
        <w:bidi w:val="0"/>
        <w:adjustRightInd w:val="0"/>
        <w:spacing w:line="480" w:lineRule="auto"/>
        <w:ind w:left="640" w:hanging="640"/>
        <w:jc w:val="both"/>
        <w:rPr>
          <w:rFonts w:ascii="Times New Roman" w:hAnsi="Times New Roman" w:cs="Times New Roman"/>
          <w:noProof/>
          <w:sz w:val="24"/>
        </w:rPr>
      </w:pPr>
      <w:r w:rsidRPr="00AF703B">
        <w:rPr>
          <w:rFonts w:ascii="Times New Roman" w:hAnsi="Times New Roman" w:cs="Times New Roman"/>
          <w:noProof/>
          <w:sz w:val="24"/>
          <w:szCs w:val="24"/>
        </w:rPr>
        <w:t>[6]</w:t>
      </w:r>
      <w:r w:rsidRPr="00AF703B">
        <w:rPr>
          <w:rFonts w:ascii="Times New Roman" w:hAnsi="Times New Roman" w:cs="Times New Roman"/>
          <w:noProof/>
          <w:sz w:val="24"/>
          <w:szCs w:val="24"/>
        </w:rPr>
        <w:tab/>
        <w:t xml:space="preserve">A. Arabpour, S. Dan, and H. Hashemipour, “Preparation and optimization of novel graphene oxide and adsorption isotherm study of methylene blue,” </w:t>
      </w:r>
      <w:r w:rsidRPr="00AF703B">
        <w:rPr>
          <w:rFonts w:ascii="Times New Roman" w:hAnsi="Times New Roman" w:cs="Times New Roman"/>
          <w:i/>
          <w:iCs/>
          <w:noProof/>
          <w:sz w:val="24"/>
          <w:szCs w:val="24"/>
        </w:rPr>
        <w:t>Arab. J. Chem.</w:t>
      </w:r>
      <w:r w:rsidRPr="00AF703B">
        <w:rPr>
          <w:rFonts w:ascii="Times New Roman" w:hAnsi="Times New Roman" w:cs="Times New Roman"/>
          <w:noProof/>
          <w:sz w:val="24"/>
          <w:szCs w:val="24"/>
        </w:rPr>
        <w:t>, vol. 14, no. 3, p. 103003, 2021.</w:t>
      </w:r>
    </w:p>
    <w:p w14:paraId="1B7B2572" w14:textId="3F7A69F7" w:rsidR="00AF703B" w:rsidRPr="00F20621" w:rsidRDefault="00AF703B" w:rsidP="00AF703B">
      <w:pPr>
        <w:bidi w:val="0"/>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fldChar w:fldCharType="end"/>
      </w:r>
    </w:p>
    <w:p w14:paraId="4EFD478D" w14:textId="77777777" w:rsidR="00A0621E" w:rsidRDefault="00A0621E" w:rsidP="00AF703B">
      <w:pPr>
        <w:bidi w:val="0"/>
        <w:jc w:val="both"/>
      </w:pPr>
    </w:p>
    <w:sectPr w:rsidR="00A0621E" w:rsidSect="00AC340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3B"/>
    <w:rsid w:val="002F3EF8"/>
    <w:rsid w:val="00345098"/>
    <w:rsid w:val="00773C4F"/>
    <w:rsid w:val="00A0621E"/>
    <w:rsid w:val="00AC3407"/>
    <w:rsid w:val="00AF70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7C9F"/>
  <w15:chartTrackingRefBased/>
  <w15:docId w15:val="{1199D301-CBB9-4C02-A6CD-B3E4F188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3B"/>
    <w:pPr>
      <w:bidi/>
      <w:spacing w:after="200" w:line="276" w:lineRule="auto"/>
    </w:pPr>
    <w:rPr>
      <w:kern w:val="0"/>
      <w:lang w:bidi="fa-I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03B"/>
    <w:pPr>
      <w:spacing w:after="0" w:line="240" w:lineRule="auto"/>
    </w:pPr>
    <w:rPr>
      <w:kern w:val="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C3407"/>
    <w:pPr>
      <w:spacing w:after="0" w:line="240" w:lineRule="auto"/>
    </w:pPr>
    <w:rPr>
      <w:kern w:val="0"/>
      <w:lang w:bidi="fa-IR"/>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F3EF8"/>
    <w:rPr>
      <w:color w:val="0563C1" w:themeColor="hyperlink"/>
      <w:u w:val="single"/>
    </w:rPr>
  </w:style>
  <w:style w:type="character" w:styleId="UnresolvedMention">
    <w:name w:val="Unresolved Mention"/>
    <w:basedOn w:val="DefaultParagraphFont"/>
    <w:uiPriority w:val="99"/>
    <w:semiHidden/>
    <w:unhideWhenUsed/>
    <w:rsid w:val="002F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hashemipur@yahoo.com" TargetMode="External"/><Relationship Id="rId11" Type="http://schemas.openxmlformats.org/officeDocument/2006/relationships/image" Target="media/image3.wmf"/><Relationship Id="rId5" Type="http://schemas.openxmlformats.org/officeDocument/2006/relationships/hyperlink" Target="mailto:Sasandan@gmail.com" TargetMode="Externa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Files\hosseinkhani\GO-ZNO\Dr%20hashemi%20revised\Dyes%20GO.Zn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iles\hosseinkhani\GO-ZNO\Dr%20hashemi%20revised\Dyes%20GO.Zn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05144509527562"/>
          <c:y val="0.25398875613734401"/>
          <c:w val="0.8180308878259539"/>
          <c:h val="0.59317338114725349"/>
        </c:manualLayout>
      </c:layout>
      <c:scatterChart>
        <c:scatterStyle val="lineMarker"/>
        <c:varyColors val="0"/>
        <c:ser>
          <c:idx val="0"/>
          <c:order val="0"/>
          <c:tx>
            <c:v>MB</c:v>
          </c:tx>
          <c:spPr>
            <a:ln w="28575">
              <a:noFill/>
            </a:ln>
          </c:spPr>
          <c:marker>
            <c:symbol val="circle"/>
            <c:size val="6"/>
            <c:spPr>
              <a:solidFill>
                <a:srgbClr val="00B0F0"/>
              </a:solidFill>
              <a:ln w="15875">
                <a:solidFill>
                  <a:srgbClr val="00B0F0"/>
                </a:solidFill>
              </a:ln>
            </c:spPr>
          </c:marker>
          <c:trendline>
            <c:spPr>
              <a:ln w="15875">
                <a:solidFill>
                  <a:srgbClr val="00B0F0"/>
                </a:solidFill>
                <a:prstDash val="sysDash"/>
              </a:ln>
            </c:spPr>
            <c:trendlineType val="linear"/>
            <c:dispRSqr val="0"/>
            <c:dispEq val="0"/>
          </c:trendline>
          <c:xVal>
            <c:numRef>
              <c:f>temkin!$H$4:$H$11</c:f>
              <c:numCache>
                <c:formatCode>General</c:formatCode>
                <c:ptCount val="8"/>
                <c:pt idx="0">
                  <c:v>-1.3815058443880934</c:v>
                </c:pt>
                <c:pt idx="1">
                  <c:v>0.62754142346195141</c:v>
                </c:pt>
                <c:pt idx="2">
                  <c:v>1.5830939370944985</c:v>
                </c:pt>
                <c:pt idx="3">
                  <c:v>2.3105532626432224</c:v>
                </c:pt>
                <c:pt idx="4">
                  <c:v>2.8112082932048361</c:v>
                </c:pt>
                <c:pt idx="5">
                  <c:v>3.6275358238728841</c:v>
                </c:pt>
                <c:pt idx="6">
                  <c:v>4.1240975203714481</c:v>
                </c:pt>
                <c:pt idx="7">
                  <c:v>4.4605951793798484</c:v>
                </c:pt>
              </c:numCache>
            </c:numRef>
          </c:xVal>
          <c:yVal>
            <c:numRef>
              <c:f>temkin!$E$4:$E$11</c:f>
              <c:numCache>
                <c:formatCode>General</c:formatCode>
                <c:ptCount val="8"/>
                <c:pt idx="0">
                  <c:v>24.372</c:v>
                </c:pt>
                <c:pt idx="1">
                  <c:v>45.317499999999995</c:v>
                </c:pt>
                <c:pt idx="2">
                  <c:v>62.824999999999996</c:v>
                </c:pt>
                <c:pt idx="3">
                  <c:v>74.800000000000011</c:v>
                </c:pt>
                <c:pt idx="4">
                  <c:v>83.425000000000011</c:v>
                </c:pt>
                <c:pt idx="5">
                  <c:v>93.45</c:v>
                </c:pt>
                <c:pt idx="6">
                  <c:v>95.470000000000013</c:v>
                </c:pt>
                <c:pt idx="7">
                  <c:v>96.152499999999989</c:v>
                </c:pt>
              </c:numCache>
            </c:numRef>
          </c:yVal>
          <c:smooth val="0"/>
          <c:extLst>
            <c:ext xmlns:c16="http://schemas.microsoft.com/office/drawing/2014/chart" uri="{C3380CC4-5D6E-409C-BE32-E72D297353CC}">
              <c16:uniqueId val="{00000001-C698-4041-8DB6-71D2D2A0337B}"/>
            </c:ext>
          </c:extLst>
        </c:ser>
        <c:ser>
          <c:idx val="1"/>
          <c:order val="1"/>
          <c:tx>
            <c:v>MO</c:v>
          </c:tx>
          <c:spPr>
            <a:ln w="28575">
              <a:noFill/>
            </a:ln>
          </c:spPr>
          <c:marker>
            <c:symbol val="diamond"/>
            <c:size val="7"/>
            <c:spPr>
              <a:solidFill>
                <a:schemeClr val="accent6">
                  <a:lumMod val="75000"/>
                </a:schemeClr>
              </a:solidFill>
              <a:ln w="15875">
                <a:solidFill>
                  <a:schemeClr val="accent6">
                    <a:lumMod val="75000"/>
                  </a:schemeClr>
                </a:solidFill>
              </a:ln>
            </c:spPr>
          </c:marker>
          <c:trendline>
            <c:spPr>
              <a:ln w="15875">
                <a:solidFill>
                  <a:schemeClr val="accent6">
                    <a:lumMod val="75000"/>
                  </a:schemeClr>
                </a:solidFill>
                <a:prstDash val="sysDash"/>
              </a:ln>
            </c:spPr>
            <c:trendlineType val="linear"/>
            <c:dispRSqr val="0"/>
            <c:dispEq val="0"/>
          </c:trendline>
          <c:xVal>
            <c:numRef>
              <c:f>temkin!$H$23:$H$31</c:f>
              <c:numCache>
                <c:formatCode>General</c:formatCode>
                <c:ptCount val="9"/>
                <c:pt idx="0">
                  <c:v>-1.8115540965562347</c:v>
                </c:pt>
                <c:pt idx="1">
                  <c:v>-3.0459207484708574E-2</c:v>
                </c:pt>
                <c:pt idx="2">
                  <c:v>1.3323660190943349</c:v>
                </c:pt>
                <c:pt idx="3">
                  <c:v>2.1035242121957931</c:v>
                </c:pt>
                <c:pt idx="4">
                  <c:v>2.5143845426075986</c:v>
                </c:pt>
                <c:pt idx="5">
                  <c:v>3.324568285426222</c:v>
                </c:pt>
                <c:pt idx="6">
                  <c:v>3.9364228922516813</c:v>
                </c:pt>
                <c:pt idx="7">
                  <c:v>4.3378004148481883</c:v>
                </c:pt>
                <c:pt idx="8">
                  <c:v>4.6170592303805051</c:v>
                </c:pt>
              </c:numCache>
            </c:numRef>
          </c:xVal>
          <c:yVal>
            <c:numRef>
              <c:f>temkin!$E$23:$E$31</c:f>
              <c:numCache>
                <c:formatCode>General</c:formatCode>
                <c:ptCount val="9"/>
                <c:pt idx="0">
                  <c:v>24.591500000000003</c:v>
                </c:pt>
                <c:pt idx="1">
                  <c:v>47.575000000000003</c:v>
                </c:pt>
                <c:pt idx="2">
                  <c:v>65.525000000000006</c:v>
                </c:pt>
                <c:pt idx="3">
                  <c:v>79.512500000000003</c:v>
                </c:pt>
                <c:pt idx="4">
                  <c:v>94.102499999999992</c:v>
                </c:pt>
                <c:pt idx="5">
                  <c:v>118.0325</c:v>
                </c:pt>
                <c:pt idx="6">
                  <c:v>121.91249999999999</c:v>
                </c:pt>
                <c:pt idx="7">
                  <c:v>121.15249999999999</c:v>
                </c:pt>
                <c:pt idx="8">
                  <c:v>122.01000000000002</c:v>
                </c:pt>
              </c:numCache>
            </c:numRef>
          </c:yVal>
          <c:smooth val="0"/>
          <c:extLst>
            <c:ext xmlns:c16="http://schemas.microsoft.com/office/drawing/2014/chart" uri="{C3380CC4-5D6E-409C-BE32-E72D297353CC}">
              <c16:uniqueId val="{00000003-C698-4041-8DB6-71D2D2A0337B}"/>
            </c:ext>
          </c:extLst>
        </c:ser>
        <c:ser>
          <c:idx val="2"/>
          <c:order val="2"/>
          <c:tx>
            <c:v>Cd (II)</c:v>
          </c:tx>
          <c:spPr>
            <a:ln w="28575">
              <a:noFill/>
            </a:ln>
          </c:spPr>
          <c:marker>
            <c:spPr>
              <a:solidFill>
                <a:srgbClr val="FF00FF"/>
              </a:solidFill>
              <a:ln>
                <a:solidFill>
                  <a:srgbClr val="FF00FF"/>
                </a:solidFill>
              </a:ln>
            </c:spPr>
          </c:marker>
          <c:trendline>
            <c:spPr>
              <a:ln w="12700">
                <a:solidFill>
                  <a:srgbClr val="FF00FF"/>
                </a:solidFill>
                <a:prstDash val="dashDot"/>
              </a:ln>
            </c:spPr>
            <c:trendlineType val="linear"/>
            <c:dispRSqr val="0"/>
            <c:dispEq val="0"/>
          </c:trendline>
          <c:xVal>
            <c:numRef>
              <c:f>temkin!$Q$24:$Q$33</c:f>
              <c:numCache>
                <c:formatCode>General</c:formatCode>
                <c:ptCount val="10"/>
                <c:pt idx="0">
                  <c:v>-0.85097126575351256</c:v>
                </c:pt>
                <c:pt idx="1">
                  <c:v>0.48858001481867092</c:v>
                </c:pt>
                <c:pt idx="2">
                  <c:v>0.89812676124648394</c:v>
                </c:pt>
                <c:pt idx="3">
                  <c:v>1.5602476682433286</c:v>
                </c:pt>
                <c:pt idx="4">
                  <c:v>1.9871891819747489</c:v>
                </c:pt>
                <c:pt idx="5">
                  <c:v>2.6015779565916932</c:v>
                </c:pt>
                <c:pt idx="6">
                  <c:v>3.1567876325547792</c:v>
                </c:pt>
                <c:pt idx="7">
                  <c:v>3.5040848418375834</c:v>
                </c:pt>
                <c:pt idx="8">
                  <c:v>3.7718409748282835</c:v>
                </c:pt>
                <c:pt idx="9">
                  <c:v>3.9601462806098744</c:v>
                </c:pt>
              </c:numCache>
            </c:numRef>
          </c:xVal>
          <c:yVal>
            <c:numRef>
              <c:f>temkin!$N$24:$N$33</c:f>
              <c:numCache>
                <c:formatCode>General</c:formatCode>
                <c:ptCount val="10"/>
                <c:pt idx="0">
                  <c:v>23.932500000000001</c:v>
                </c:pt>
                <c:pt idx="1">
                  <c:v>45.925000000000004</c:v>
                </c:pt>
                <c:pt idx="2">
                  <c:v>68.862499999999997</c:v>
                </c:pt>
                <c:pt idx="3">
                  <c:v>88.100000000000009</c:v>
                </c:pt>
                <c:pt idx="4">
                  <c:v>106.7625</c:v>
                </c:pt>
                <c:pt idx="5">
                  <c:v>116.28750000000001</c:v>
                </c:pt>
                <c:pt idx="6">
                  <c:v>116.2625</c:v>
                </c:pt>
                <c:pt idx="7">
                  <c:v>116.8725</c:v>
                </c:pt>
                <c:pt idx="8">
                  <c:v>116.35</c:v>
                </c:pt>
                <c:pt idx="9">
                  <c:v>118.83749999999999</c:v>
                </c:pt>
              </c:numCache>
            </c:numRef>
          </c:yVal>
          <c:smooth val="0"/>
          <c:extLst>
            <c:ext xmlns:c16="http://schemas.microsoft.com/office/drawing/2014/chart" uri="{C3380CC4-5D6E-409C-BE32-E72D297353CC}">
              <c16:uniqueId val="{00000005-C698-4041-8DB6-71D2D2A0337B}"/>
            </c:ext>
          </c:extLst>
        </c:ser>
        <c:ser>
          <c:idx val="3"/>
          <c:order val="3"/>
          <c:tx>
            <c:v>Pb (II)</c:v>
          </c:tx>
          <c:spPr>
            <a:ln w="28575">
              <a:noFill/>
            </a:ln>
          </c:spPr>
          <c:marker>
            <c:symbol val="plus"/>
            <c:size val="9"/>
            <c:spPr>
              <a:ln w="12700">
                <a:solidFill>
                  <a:srgbClr val="7030A0"/>
                </a:solidFill>
                <a:prstDash val="solid"/>
              </a:ln>
            </c:spPr>
          </c:marker>
          <c:trendline>
            <c:spPr>
              <a:ln w="12700">
                <a:solidFill>
                  <a:srgbClr val="7030A0"/>
                </a:solidFill>
                <a:prstDash val="lgDashDot"/>
              </a:ln>
            </c:spPr>
            <c:trendlineType val="linear"/>
            <c:dispRSqr val="0"/>
            <c:dispEq val="0"/>
          </c:trendline>
          <c:xVal>
            <c:numRef>
              <c:f>temkin!$Z$25:$Z$34</c:f>
              <c:numCache>
                <c:formatCode>General</c:formatCode>
                <c:ptCount val="10"/>
                <c:pt idx="0">
                  <c:v>-1.2378743560016174</c:v>
                </c:pt>
                <c:pt idx="1">
                  <c:v>-0.12783337150988489</c:v>
                </c:pt>
                <c:pt idx="2">
                  <c:v>0.56531380905006046</c:v>
                </c:pt>
                <c:pt idx="3">
                  <c:v>1.3812818192963463</c:v>
                </c:pt>
                <c:pt idx="4">
                  <c:v>1.6695918352538475</c:v>
                </c:pt>
                <c:pt idx="5">
                  <c:v>2.2648832258100344</c:v>
                </c:pt>
                <c:pt idx="6">
                  <c:v>2.8207834710894493</c:v>
                </c:pt>
                <c:pt idx="7">
                  <c:v>3.3558512798952784</c:v>
                </c:pt>
                <c:pt idx="8">
                  <c:v>3.8588331769140267</c:v>
                </c:pt>
                <c:pt idx="9">
                  <c:v>4.2823444114007296</c:v>
                </c:pt>
              </c:numCache>
            </c:numRef>
          </c:xVal>
          <c:yVal>
            <c:numRef>
              <c:f>temkin!$W$25:$W$34</c:f>
              <c:numCache>
                <c:formatCode>General</c:formatCode>
                <c:ptCount val="10"/>
                <c:pt idx="0">
                  <c:v>24.275000000000002</c:v>
                </c:pt>
                <c:pt idx="1">
                  <c:v>47.800000000000004</c:v>
                </c:pt>
                <c:pt idx="2">
                  <c:v>70.599999999999994</c:v>
                </c:pt>
                <c:pt idx="3">
                  <c:v>90.050000000000011</c:v>
                </c:pt>
                <c:pt idx="4">
                  <c:v>111.72500000000001</c:v>
                </c:pt>
                <c:pt idx="5">
                  <c:v>163.42500000000001</c:v>
                </c:pt>
                <c:pt idx="6">
                  <c:v>208.02500000000003</c:v>
                </c:pt>
                <c:pt idx="7">
                  <c:v>240.82500000000002</c:v>
                </c:pt>
                <c:pt idx="8">
                  <c:v>256.47500000000002</c:v>
                </c:pt>
                <c:pt idx="9">
                  <c:v>256.47500000000002</c:v>
                </c:pt>
              </c:numCache>
            </c:numRef>
          </c:yVal>
          <c:smooth val="0"/>
          <c:extLst>
            <c:ext xmlns:c16="http://schemas.microsoft.com/office/drawing/2014/chart" uri="{C3380CC4-5D6E-409C-BE32-E72D297353CC}">
              <c16:uniqueId val="{00000007-C698-4041-8DB6-71D2D2A0337B}"/>
            </c:ext>
          </c:extLst>
        </c:ser>
        <c:dLbls>
          <c:showLegendKey val="0"/>
          <c:showVal val="0"/>
          <c:showCatName val="0"/>
          <c:showSerName val="0"/>
          <c:showPercent val="0"/>
          <c:showBubbleSize val="0"/>
        </c:dLbls>
        <c:axId val="277005440"/>
        <c:axId val="277007360"/>
      </c:scatterChart>
      <c:valAx>
        <c:axId val="277005440"/>
        <c:scaling>
          <c:orientation val="minMax"/>
          <c:min val="-2"/>
        </c:scaling>
        <c:delete val="0"/>
        <c:axPos val="b"/>
        <c:title>
          <c:tx>
            <c:rich>
              <a:bodyPr/>
              <a:lstStyle/>
              <a:p>
                <a:pPr>
                  <a:defRPr/>
                </a:pPr>
                <a:r>
                  <a:rPr lang="en-US" baseline="0">
                    <a:latin typeface="Times New Roman" pitchFamily="18" charset="0"/>
                  </a:rPr>
                  <a:t>lnC</a:t>
                </a:r>
                <a:r>
                  <a:rPr lang="en-US" baseline="-25000">
                    <a:latin typeface="Times New Roman" pitchFamily="18" charset="0"/>
                  </a:rPr>
                  <a:t>e</a:t>
                </a:r>
              </a:p>
            </c:rich>
          </c:tx>
          <c:layout>
            <c:manualLayout>
              <c:xMode val="edge"/>
              <c:yMode val="edge"/>
              <c:x val="0.47443601085854614"/>
              <c:y val="0.93763117149788455"/>
            </c:manualLayout>
          </c:layout>
          <c:overlay val="0"/>
        </c:title>
        <c:numFmt formatCode="General" sourceLinked="1"/>
        <c:majorTickMark val="in"/>
        <c:minorTickMark val="none"/>
        <c:tickLblPos val="low"/>
        <c:spPr>
          <a:ln w="3175">
            <a:noFill/>
          </a:ln>
        </c:spPr>
        <c:txPr>
          <a:bodyPr/>
          <a:lstStyle/>
          <a:p>
            <a:pPr>
              <a:defRPr baseline="0">
                <a:latin typeface="Times New Roman" pitchFamily="18" charset="0"/>
              </a:defRPr>
            </a:pPr>
            <a:endParaRPr lang="en-US"/>
          </a:p>
        </c:txPr>
        <c:crossAx val="277007360"/>
        <c:crossesAt val="0.1"/>
        <c:crossBetween val="midCat"/>
        <c:majorUnit val="1"/>
      </c:valAx>
      <c:valAx>
        <c:axId val="277007360"/>
        <c:scaling>
          <c:orientation val="minMax"/>
          <c:max val="260"/>
          <c:min val="15"/>
        </c:scaling>
        <c:delete val="0"/>
        <c:axPos val="l"/>
        <c:title>
          <c:tx>
            <c:rich>
              <a:bodyPr rot="-5400000" vert="horz"/>
              <a:lstStyle/>
              <a:p>
                <a:pPr>
                  <a:defRPr/>
                </a:pPr>
                <a:r>
                  <a:rPr lang="en-US" baseline="0">
                    <a:latin typeface="Times New Roman" pitchFamily="18" charset="0"/>
                  </a:rPr>
                  <a:t>q</a:t>
                </a:r>
                <a:r>
                  <a:rPr lang="en-US" baseline="-25000">
                    <a:latin typeface="Times New Roman" pitchFamily="18" charset="0"/>
                  </a:rPr>
                  <a:t>e</a:t>
                </a:r>
                <a:r>
                  <a:rPr lang="en-US" baseline="0">
                    <a:latin typeface="Times New Roman" pitchFamily="18" charset="0"/>
                  </a:rPr>
                  <a:t>(mg.g</a:t>
                </a:r>
                <a:r>
                  <a:rPr lang="en-US" baseline="30000">
                    <a:latin typeface="Times New Roman" pitchFamily="18" charset="0"/>
                  </a:rPr>
                  <a:t>-1</a:t>
                </a:r>
                <a:r>
                  <a:rPr lang="en-US" baseline="0">
                    <a:latin typeface="Times New Roman" pitchFamily="18" charset="0"/>
                  </a:rPr>
                  <a:t>)</a:t>
                </a:r>
              </a:p>
            </c:rich>
          </c:tx>
          <c:layout>
            <c:manualLayout>
              <c:xMode val="edge"/>
              <c:yMode val="edge"/>
              <c:x val="5.4248471454048904E-3"/>
              <c:y val="0.37197772729601858"/>
            </c:manualLayout>
          </c:layout>
          <c:overlay val="0"/>
        </c:title>
        <c:numFmt formatCode="General" sourceLinked="1"/>
        <c:majorTickMark val="none"/>
        <c:minorTickMark val="out"/>
        <c:tickLblPos val="low"/>
        <c:spPr>
          <a:ln w="6350">
            <a:noFill/>
          </a:ln>
        </c:spPr>
        <c:txPr>
          <a:bodyPr/>
          <a:lstStyle/>
          <a:p>
            <a:pPr>
              <a:defRPr baseline="0">
                <a:latin typeface="Times New Roman" pitchFamily="18" charset="0"/>
              </a:defRPr>
            </a:pPr>
            <a:endParaRPr lang="en-US"/>
          </a:p>
        </c:txPr>
        <c:crossAx val="277005440"/>
        <c:crosses val="autoZero"/>
        <c:crossBetween val="midCat"/>
      </c:valAx>
      <c:spPr>
        <a:ln>
          <a:solidFill>
            <a:schemeClr val="tx1"/>
          </a:solidFill>
        </a:ln>
      </c:spPr>
    </c:plotArea>
    <c:legend>
      <c:legendPos val="t"/>
      <c:layout>
        <c:manualLayout>
          <c:xMode val="edge"/>
          <c:yMode val="edge"/>
          <c:x val="0.13671438027085286"/>
          <c:y val="2.9445672603227432E-2"/>
          <c:w val="0.84094004718470716"/>
          <c:h val="0.18455531453362256"/>
        </c:manualLayout>
      </c:layout>
      <c:overlay val="0"/>
      <c:spPr>
        <a:ln w="6350">
          <a:solidFill>
            <a:schemeClr val="accent4">
              <a:lumMod val="75000"/>
            </a:schemeClr>
          </a:solidFill>
          <a:prstDash val="sysDash"/>
        </a:ln>
        <a:effectLst>
          <a:outerShdw blurRad="50800" dist="38100" dir="8100000" algn="tr" rotWithShape="0">
            <a:prstClr val="black">
              <a:alpha val="40000"/>
            </a:prstClr>
          </a:outerShdw>
        </a:effectLst>
      </c:spPr>
      <c:txPr>
        <a:bodyPr/>
        <a:lstStyle/>
        <a:p>
          <a:pPr>
            <a:defRPr sz="1000" baseline="0">
              <a:latin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75332458316683"/>
          <c:y val="0.23895178717802232"/>
          <c:w val="0.82279469021009777"/>
          <c:h val="0.58133088253558207"/>
        </c:manualLayout>
      </c:layout>
      <c:scatterChart>
        <c:scatterStyle val="lineMarker"/>
        <c:varyColors val="0"/>
        <c:ser>
          <c:idx val="0"/>
          <c:order val="0"/>
          <c:tx>
            <c:v>MB</c:v>
          </c:tx>
          <c:spPr>
            <a:ln w="28575">
              <a:noFill/>
            </a:ln>
          </c:spPr>
          <c:marker>
            <c:symbol val="circle"/>
            <c:size val="6"/>
            <c:spPr>
              <a:solidFill>
                <a:srgbClr val="00B0F0"/>
              </a:solidFill>
              <a:ln w="15875">
                <a:solidFill>
                  <a:srgbClr val="00B0F0"/>
                </a:solidFill>
              </a:ln>
            </c:spPr>
          </c:marker>
          <c:trendline>
            <c:spPr>
              <a:ln w="15875">
                <a:solidFill>
                  <a:srgbClr val="00B0F0"/>
                </a:solidFill>
                <a:prstDash val="sysDash"/>
              </a:ln>
            </c:spPr>
            <c:trendlineType val="linear"/>
            <c:dispRSqr val="0"/>
            <c:dispEq val="0"/>
          </c:trendline>
          <c:xVal>
            <c:numRef>
              <c:f>'Flory-Huggins'!$L$4:$L$11</c:f>
              <c:numCache>
                <c:formatCode>General</c:formatCode>
                <c:ptCount val="8"/>
                <c:pt idx="0">
                  <c:v>-1.599980364934841</c:v>
                </c:pt>
                <c:pt idx="1">
                  <c:v>-1.0284922182887437</c:v>
                </c:pt>
                <c:pt idx="2">
                  <c:v>-0.78959229350502813</c:v>
                </c:pt>
                <c:pt idx="3">
                  <c:v>-0.59859945921845592</c:v>
                </c:pt>
                <c:pt idx="4">
                  <c:v>-0.47807775511649958</c:v>
                </c:pt>
                <c:pt idx="5">
                  <c:v>-0.29964247217734002</c:v>
                </c:pt>
                <c:pt idx="6">
                  <c:v>-0.20892720407179624</c:v>
                </c:pt>
                <c:pt idx="7">
                  <c:v>-0.15969814059914264</c:v>
                </c:pt>
              </c:numCache>
            </c:numRef>
          </c:xVal>
          <c:yVal>
            <c:numRef>
              <c:f>'Flory-Huggins'!$J$4:$J$11</c:f>
              <c:numCache>
                <c:formatCode>General</c:formatCode>
                <c:ptCount val="8"/>
                <c:pt idx="0">
                  <c:v>-1.011048839219606</c:v>
                </c:pt>
                <c:pt idx="1">
                  <c:v>-1.3437340565789901</c:v>
                </c:pt>
                <c:pt idx="2">
                  <c:v>-1.5540500208467489</c:v>
                </c:pt>
                <c:pt idx="3">
                  <c:v>-1.728158393463501</c:v>
                </c:pt>
                <c:pt idx="4">
                  <c:v>-1.8745838020172449</c:v>
                </c:pt>
                <c:pt idx="5">
                  <c:v>-2.1774832297405866</c:v>
                </c:pt>
                <c:pt idx="6">
                  <c:v>-2.4180730861071349</c:v>
                </c:pt>
                <c:pt idx="7">
                  <c:v>-2.6087994541522388</c:v>
                </c:pt>
              </c:numCache>
            </c:numRef>
          </c:yVal>
          <c:smooth val="0"/>
          <c:extLst>
            <c:ext xmlns:c16="http://schemas.microsoft.com/office/drawing/2014/chart" uri="{C3380CC4-5D6E-409C-BE32-E72D297353CC}">
              <c16:uniqueId val="{00000001-2C26-4356-8564-600570FFF30B}"/>
            </c:ext>
          </c:extLst>
        </c:ser>
        <c:ser>
          <c:idx val="1"/>
          <c:order val="1"/>
          <c:tx>
            <c:v>MO</c:v>
          </c:tx>
          <c:spPr>
            <a:ln w="28575">
              <a:noFill/>
            </a:ln>
          </c:spPr>
          <c:marker>
            <c:symbol val="diamond"/>
            <c:size val="6"/>
            <c:spPr>
              <a:solidFill>
                <a:schemeClr val="accent6">
                  <a:lumMod val="75000"/>
                </a:schemeClr>
              </a:solidFill>
              <a:ln w="15875">
                <a:solidFill>
                  <a:schemeClr val="accent6">
                    <a:lumMod val="75000"/>
                  </a:schemeClr>
                </a:solidFill>
                <a:prstDash val="solid"/>
              </a:ln>
            </c:spPr>
          </c:marker>
          <c:trendline>
            <c:spPr>
              <a:ln w="15875">
                <a:solidFill>
                  <a:schemeClr val="accent6">
                    <a:lumMod val="75000"/>
                  </a:schemeClr>
                </a:solidFill>
                <a:prstDash val="sysDash"/>
              </a:ln>
            </c:spPr>
            <c:trendlineType val="linear"/>
            <c:dispRSqr val="0"/>
            <c:dispEq val="0"/>
          </c:trendline>
          <c:xVal>
            <c:numRef>
              <c:f>'Flory-Huggins'!$L$25:$L$33</c:f>
              <c:numCache>
                <c:formatCode>General</c:formatCode>
                <c:ptCount val="9"/>
                <c:pt idx="0">
                  <c:v>-1.7867479478036028</c:v>
                </c:pt>
                <c:pt idx="1">
                  <c:v>-1.3142582613977365</c:v>
                </c:pt>
                <c:pt idx="2">
                  <c:v>-0.89848204475159021</c:v>
                </c:pt>
                <c:pt idx="3">
                  <c:v>-0.68851103342144448</c:v>
                </c:pt>
                <c:pt idx="4">
                  <c:v>-0.60698667209870716</c:v>
                </c:pt>
                <c:pt idx="5">
                  <c:v>-0.43121960232053663</c:v>
                </c:pt>
                <c:pt idx="6">
                  <c:v>-0.29043325945745602</c:v>
                </c:pt>
                <c:pt idx="7">
                  <c:v>-0.21302722924185147</c:v>
                </c:pt>
                <c:pt idx="8">
                  <c:v>-0.17092791268095325</c:v>
                </c:pt>
              </c:numCache>
            </c:numRef>
          </c:xVal>
          <c:yVal>
            <c:numRef>
              <c:f>'Flory-Huggins'!$J$25:$J$33</c:f>
              <c:numCache>
                <c:formatCode>General</c:formatCode>
                <c:ptCount val="9"/>
                <c:pt idx="0">
                  <c:v>-1.0071549886012929</c:v>
                </c:pt>
                <c:pt idx="1">
                  <c:v>-1.3226212030409419</c:v>
                </c:pt>
                <c:pt idx="2">
                  <c:v>-1.5357754884927244</c:v>
                </c:pt>
                <c:pt idx="3">
                  <c:v>-1.7016245827433736</c:v>
                </c:pt>
                <c:pt idx="4">
                  <c:v>-1.8222788559595136</c:v>
                </c:pt>
                <c:pt idx="5">
                  <c:v>-2.0760609296130847</c:v>
                </c:pt>
                <c:pt idx="6">
                  <c:v>-2.3118917714481921</c:v>
                </c:pt>
                <c:pt idx="7">
                  <c:v>-2.5084276543904198</c:v>
                </c:pt>
                <c:pt idx="8">
                  <c:v>-2.66372709965915</c:v>
                </c:pt>
              </c:numCache>
            </c:numRef>
          </c:yVal>
          <c:smooth val="0"/>
          <c:extLst>
            <c:ext xmlns:c16="http://schemas.microsoft.com/office/drawing/2014/chart" uri="{C3380CC4-5D6E-409C-BE32-E72D297353CC}">
              <c16:uniqueId val="{00000003-2C26-4356-8564-600570FFF30B}"/>
            </c:ext>
          </c:extLst>
        </c:ser>
        <c:ser>
          <c:idx val="2"/>
          <c:order val="2"/>
          <c:tx>
            <c:v>Cd (II)</c:v>
          </c:tx>
          <c:spPr>
            <a:ln w="28575">
              <a:noFill/>
            </a:ln>
          </c:spPr>
          <c:marker>
            <c:symbol val="triangle"/>
            <c:size val="7"/>
            <c:spPr>
              <a:solidFill>
                <a:srgbClr val="FF00FF"/>
              </a:solidFill>
              <a:ln>
                <a:solidFill>
                  <a:srgbClr val="FF00FF"/>
                </a:solidFill>
              </a:ln>
            </c:spPr>
          </c:marker>
          <c:trendline>
            <c:spPr>
              <a:ln>
                <a:solidFill>
                  <a:srgbClr val="FF00FF"/>
                </a:solidFill>
              </a:ln>
            </c:spPr>
            <c:trendlineType val="linear"/>
            <c:dispRSqr val="0"/>
            <c:dispEq val="0"/>
          </c:trendline>
          <c:xVal>
            <c:numRef>
              <c:f>'Flory-Huggins'!$Y$26:$Y$35</c:f>
              <c:numCache>
                <c:formatCode>General</c:formatCode>
                <c:ptCount val="10"/>
                <c:pt idx="0">
                  <c:v>-1.3695721249749766</c:v>
                </c:pt>
                <c:pt idx="1">
                  <c:v>-1.0888423912600234</c:v>
                </c:pt>
                <c:pt idx="2">
                  <c:v>-1.0870697582606752</c:v>
                </c:pt>
                <c:pt idx="3">
                  <c:v>-0.9244530386074693</c:v>
                </c:pt>
                <c:pt idx="4">
                  <c:v>-0.83594470810654831</c:v>
                </c:pt>
                <c:pt idx="5">
                  <c:v>-0.64830029959473356</c:v>
                </c:pt>
                <c:pt idx="6">
                  <c:v>-0.47412259065528617</c:v>
                </c:pt>
                <c:pt idx="7">
                  <c:v>-0.38128527606105206</c:v>
                </c:pt>
                <c:pt idx="8">
                  <c:v>-0.31615278745481912</c:v>
                </c:pt>
                <c:pt idx="9">
                  <c:v>-0.28013032280144484</c:v>
                </c:pt>
              </c:numCache>
            </c:numRef>
          </c:xVal>
          <c:yVal>
            <c:numRef>
              <c:f>'Flory-Huggins'!$W$26:$W$35</c:f>
              <c:numCache>
                <c:formatCode>General</c:formatCode>
                <c:ptCount val="10"/>
                <c:pt idx="0">
                  <c:v>-1.0189519410868271</c:v>
                </c:pt>
                <c:pt idx="1">
                  <c:v>-1.3379508350221541</c:v>
                </c:pt>
                <c:pt idx="2">
                  <c:v>-1.5141997327299848</c:v>
                </c:pt>
                <c:pt idx="3">
                  <c:v>-1.6570840829159146</c:v>
                </c:pt>
                <c:pt idx="4">
                  <c:v>-1.7674612824694012</c:v>
                </c:pt>
                <c:pt idx="5">
                  <c:v>-1.8887094754742797</c:v>
                </c:pt>
                <c:pt idx="6">
                  <c:v>-2.0226964313176552</c:v>
                </c:pt>
                <c:pt idx="7">
                  <c:v>-2.1364076485962453</c:v>
                </c:pt>
                <c:pt idx="8">
                  <c:v>-2.2406586399279385</c:v>
                </c:pt>
                <c:pt idx="9">
                  <c:v>-2.3229865017540186</c:v>
                </c:pt>
              </c:numCache>
            </c:numRef>
          </c:yVal>
          <c:smooth val="0"/>
          <c:extLst>
            <c:ext xmlns:c16="http://schemas.microsoft.com/office/drawing/2014/chart" uri="{C3380CC4-5D6E-409C-BE32-E72D297353CC}">
              <c16:uniqueId val="{00000005-2C26-4356-8564-600570FFF30B}"/>
            </c:ext>
          </c:extLst>
        </c:ser>
        <c:ser>
          <c:idx val="3"/>
          <c:order val="3"/>
          <c:tx>
            <c:v>Pb (II)</c:v>
          </c:tx>
          <c:spPr>
            <a:ln w="28575">
              <a:noFill/>
            </a:ln>
          </c:spPr>
          <c:marker>
            <c:symbol val="plus"/>
            <c:size val="8"/>
            <c:spPr>
              <a:ln>
                <a:solidFill>
                  <a:srgbClr val="7030A0"/>
                </a:solidFill>
              </a:ln>
            </c:spPr>
          </c:marker>
          <c:trendline>
            <c:spPr>
              <a:ln w="12700">
                <a:solidFill>
                  <a:srgbClr val="6600FF"/>
                </a:solidFill>
                <a:prstDash val="lgDashDotDot"/>
              </a:ln>
            </c:spPr>
            <c:trendlineType val="linear"/>
            <c:dispRSqr val="0"/>
            <c:dispEq val="0"/>
          </c:trendline>
          <c:xVal>
            <c:numRef>
              <c:f>'Flory-Huggins'!$AL$27:$AL$36</c:f>
              <c:numCache>
                <c:formatCode>General</c:formatCode>
                <c:ptCount val="10"/>
                <c:pt idx="0">
                  <c:v>-1.5376020021010435</c:v>
                </c:pt>
                <c:pt idx="1">
                  <c:v>-1.3565473235138121</c:v>
                </c:pt>
                <c:pt idx="2">
                  <c:v>-1.2316085869055127</c:v>
                </c:pt>
                <c:pt idx="3">
                  <c:v>-1.0021769192542744</c:v>
                </c:pt>
                <c:pt idx="4">
                  <c:v>-0.97387548325454987</c:v>
                </c:pt>
                <c:pt idx="5">
                  <c:v>-0.89143497626716528</c:v>
                </c:pt>
                <c:pt idx="6">
                  <c:v>-0.77494930386195138</c:v>
                </c:pt>
                <c:pt idx="7">
                  <c:v>-0.63948232006157191</c:v>
                </c:pt>
                <c:pt idx="8">
                  <c:v>-0.50022130373672458</c:v>
                </c:pt>
                <c:pt idx="9">
                  <c:v>-0.38323950120572875</c:v>
                </c:pt>
              </c:numCache>
            </c:numRef>
          </c:xVal>
          <c:yVal>
            <c:numRef>
              <c:f>'Flory-Huggins'!$AJ$27:$AJ$36</c:f>
              <c:numCache>
                <c:formatCode>General</c:formatCode>
                <c:ptCount val="10"/>
                <c:pt idx="0">
                  <c:v>-1.0127807700919951</c:v>
                </c:pt>
                <c:pt idx="1">
                  <c:v>-1.3205721033878812</c:v>
                </c:pt>
                <c:pt idx="2">
                  <c:v>-1.5033778170595589</c:v>
                </c:pt>
                <c:pt idx="3">
                  <c:v>-1.6475762741724103</c:v>
                </c:pt>
                <c:pt idx="4">
                  <c:v>-1.7477296540116785</c:v>
                </c:pt>
                <c:pt idx="5">
                  <c:v>-1.9347440418174822</c:v>
                </c:pt>
                <c:pt idx="6">
                  <c:v>-2.0798244779899773</c:v>
                </c:pt>
                <c:pt idx="7">
                  <c:v>-2.210058465729948</c:v>
                </c:pt>
                <c:pt idx="8">
                  <c:v>-2.3410774882953826</c:v>
                </c:pt>
                <c:pt idx="9">
                  <c:v>-2.4749710675566088</c:v>
                </c:pt>
              </c:numCache>
            </c:numRef>
          </c:yVal>
          <c:smooth val="0"/>
          <c:extLst>
            <c:ext xmlns:c16="http://schemas.microsoft.com/office/drawing/2014/chart" uri="{C3380CC4-5D6E-409C-BE32-E72D297353CC}">
              <c16:uniqueId val="{00000007-2C26-4356-8564-600570FFF30B}"/>
            </c:ext>
          </c:extLst>
        </c:ser>
        <c:dLbls>
          <c:showLegendKey val="0"/>
          <c:showVal val="0"/>
          <c:showCatName val="0"/>
          <c:showSerName val="0"/>
          <c:showPercent val="0"/>
          <c:showBubbleSize val="0"/>
        </c:dLbls>
        <c:axId val="277199104"/>
        <c:axId val="277205376"/>
      </c:scatterChart>
      <c:valAx>
        <c:axId val="277199104"/>
        <c:scaling>
          <c:orientation val="minMax"/>
          <c:max val="0"/>
          <c:min val="-2"/>
        </c:scaling>
        <c:delete val="0"/>
        <c:axPos val="b"/>
        <c:title>
          <c:tx>
            <c:rich>
              <a:bodyPr/>
              <a:lstStyle/>
              <a:p>
                <a:pPr>
                  <a:defRPr/>
                </a:pPr>
                <a:r>
                  <a:rPr lang="en-US" baseline="0">
                    <a:latin typeface="Times New Roman" pitchFamily="18" charset="0"/>
                  </a:rPr>
                  <a:t>log(1-</a:t>
                </a:r>
                <a:r>
                  <a:rPr lang="el-GR" baseline="0">
                    <a:latin typeface="Times New Roman" pitchFamily="18" charset="0"/>
                    <a:cs typeface="Times New Roman"/>
                  </a:rPr>
                  <a:t>θ</a:t>
                </a:r>
                <a:r>
                  <a:rPr lang="en-US" baseline="0">
                    <a:latin typeface="Times New Roman" pitchFamily="18" charset="0"/>
                    <a:cs typeface="Times New Roman"/>
                  </a:rPr>
                  <a:t>)</a:t>
                </a:r>
                <a:endParaRPr lang="en-US" baseline="0">
                  <a:latin typeface="Times New Roman" pitchFamily="18" charset="0"/>
                </a:endParaRPr>
              </a:p>
            </c:rich>
          </c:tx>
          <c:layout>
            <c:manualLayout>
              <c:xMode val="edge"/>
              <c:yMode val="edge"/>
              <c:x val="0.49950526763410241"/>
              <c:y val="0.93695150578170761"/>
            </c:manualLayout>
          </c:layout>
          <c:overlay val="0"/>
        </c:title>
        <c:numFmt formatCode="General" sourceLinked="1"/>
        <c:majorTickMark val="out"/>
        <c:minorTickMark val="none"/>
        <c:tickLblPos val="low"/>
        <c:spPr>
          <a:ln w="6350">
            <a:solidFill>
              <a:schemeClr val="tx1"/>
            </a:solidFill>
          </a:ln>
        </c:spPr>
        <c:txPr>
          <a:bodyPr/>
          <a:lstStyle/>
          <a:p>
            <a:pPr>
              <a:defRPr baseline="0">
                <a:latin typeface="Times New Roman" pitchFamily="18" charset="0"/>
              </a:defRPr>
            </a:pPr>
            <a:endParaRPr lang="en-US"/>
          </a:p>
        </c:txPr>
        <c:crossAx val="277205376"/>
        <c:crosses val="autoZero"/>
        <c:crossBetween val="midCat"/>
        <c:majorUnit val="0.2"/>
        <c:minorUnit val="0.1"/>
      </c:valAx>
      <c:valAx>
        <c:axId val="277205376"/>
        <c:scaling>
          <c:orientation val="minMax"/>
          <c:max val="0"/>
          <c:min val="-3"/>
        </c:scaling>
        <c:delete val="0"/>
        <c:axPos val="l"/>
        <c:title>
          <c:tx>
            <c:rich>
              <a:bodyPr rot="-5400000" vert="horz"/>
              <a:lstStyle/>
              <a:p>
                <a:pPr>
                  <a:defRPr/>
                </a:pPr>
                <a:r>
                  <a:rPr lang="en-US" baseline="0">
                    <a:latin typeface="Times New Roman" pitchFamily="18" charset="0"/>
                  </a:rPr>
                  <a:t>log(</a:t>
                </a:r>
                <a:r>
                  <a:rPr lang="el-GR" baseline="0">
                    <a:latin typeface="Times New Roman" pitchFamily="18" charset="0"/>
                    <a:cs typeface="Times New Roman"/>
                  </a:rPr>
                  <a:t>θ</a:t>
                </a:r>
                <a:r>
                  <a:rPr lang="en-US" baseline="0">
                    <a:latin typeface="Times New Roman" pitchFamily="18" charset="0"/>
                    <a:cs typeface="Times New Roman"/>
                  </a:rPr>
                  <a:t>/C</a:t>
                </a:r>
                <a:r>
                  <a:rPr lang="en-US" baseline="-25000">
                    <a:latin typeface="Times New Roman" pitchFamily="18" charset="0"/>
                    <a:cs typeface="Times New Roman"/>
                  </a:rPr>
                  <a:t>i</a:t>
                </a:r>
                <a:r>
                  <a:rPr lang="en-US" baseline="0">
                    <a:latin typeface="Times New Roman" pitchFamily="18" charset="0"/>
                    <a:cs typeface="Times New Roman"/>
                  </a:rPr>
                  <a:t>)</a:t>
                </a:r>
                <a:endParaRPr lang="en-US" baseline="0">
                  <a:latin typeface="Times New Roman" pitchFamily="18" charset="0"/>
                </a:endParaRPr>
              </a:p>
            </c:rich>
          </c:tx>
          <c:layout>
            <c:manualLayout>
              <c:xMode val="edge"/>
              <c:yMode val="edge"/>
              <c:x val="5.1445262811037097E-3"/>
              <c:y val="0.44083992533700195"/>
            </c:manualLayout>
          </c:layout>
          <c:overlay val="0"/>
        </c:title>
        <c:numFmt formatCode="General" sourceLinked="1"/>
        <c:majorTickMark val="none"/>
        <c:minorTickMark val="out"/>
        <c:tickLblPos val="low"/>
        <c:spPr>
          <a:ln w="6350">
            <a:solidFill>
              <a:schemeClr val="tx1"/>
            </a:solidFill>
          </a:ln>
        </c:spPr>
        <c:txPr>
          <a:bodyPr/>
          <a:lstStyle/>
          <a:p>
            <a:pPr>
              <a:defRPr baseline="0">
                <a:latin typeface="Times New Roman" pitchFamily="18" charset="0"/>
              </a:defRPr>
            </a:pPr>
            <a:endParaRPr lang="en-US"/>
          </a:p>
        </c:txPr>
        <c:crossAx val="277199104"/>
        <c:crosses val="autoZero"/>
        <c:crossBetween val="midCat"/>
        <c:majorUnit val="0.5"/>
        <c:minorUnit val="0.2"/>
      </c:valAx>
      <c:spPr>
        <a:ln>
          <a:solidFill>
            <a:schemeClr val="tx1"/>
          </a:solidFill>
        </a:ln>
      </c:spPr>
    </c:plotArea>
    <c:legend>
      <c:legendPos val="t"/>
      <c:layout>
        <c:manualLayout>
          <c:xMode val="edge"/>
          <c:yMode val="edge"/>
          <c:x val="0.1203891435891489"/>
          <c:y val="3.5779381743948672E-3"/>
          <c:w val="0.85847099336744181"/>
          <c:h val="0.20615923009623796"/>
        </c:manualLayout>
      </c:layout>
      <c:overlay val="0"/>
      <c:spPr>
        <a:ln>
          <a:solidFill>
            <a:srgbClr val="002060"/>
          </a:solidFill>
          <a:prstDash val="sysDash"/>
        </a:ln>
        <a:effectLst>
          <a:outerShdw blurRad="50800" dist="38100" dir="8100000" algn="tr" rotWithShape="0">
            <a:prstClr val="black">
              <a:alpha val="40000"/>
            </a:prstClr>
          </a:outerShdw>
        </a:effectLst>
      </c:spPr>
      <c:txPr>
        <a:bodyPr/>
        <a:lstStyle/>
        <a:p>
          <a:pPr>
            <a:defRPr sz="1000" baseline="0">
              <a:latin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CFEC-915E-4EB1-84C7-BD755D34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3075</Words>
  <Characters>17534</Characters>
  <Application>Microsoft Office Word</Application>
  <DocSecurity>0</DocSecurity>
  <Lines>146</Lines>
  <Paragraphs>41</Paragraphs>
  <ScaleCrop>false</ScaleCrop>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Sasan Dan</dc:creator>
  <cp:keywords/>
  <dc:description/>
  <cp:lastModifiedBy>Sasan Dan</cp:lastModifiedBy>
  <cp:revision>5</cp:revision>
  <dcterms:created xsi:type="dcterms:W3CDTF">2023-07-13T09:55:00Z</dcterms:created>
  <dcterms:modified xsi:type="dcterms:W3CDTF">2023-07-13T11:42:00Z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http://www.zotero.org/styles/arabian-journal-of-chemistry</vt:lpwstr>
  </property>
  <property fmtid="{D5CDD505-2E9C-101B-9397-08002B2CF9AE}" pid="9" name="Mendeley Recent Style Name 3_1">
    <vt:lpwstr>Arabian Journal of Chemistry</vt:lpwstr>
  </property>
  <property fmtid="{D5CDD505-2E9C-101B-9397-08002B2CF9AE}" pid="10" name="Mendeley Recent Style Id 4_1">
    <vt:lpwstr>http://www.zotero.org/styles/chemical-engineering-journal</vt:lpwstr>
  </property>
  <property fmtid="{D5CDD505-2E9C-101B-9397-08002B2CF9AE}" pid="11" name="Mendeley Recent Style Name 4_1">
    <vt:lpwstr>Chemical Engineering Journal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http://www.zotero.org/styles/water-environment-research</vt:lpwstr>
  </property>
  <property fmtid="{D5CDD505-2E9C-101B-9397-08002B2CF9AE}" pid="21" name="Mendeley Recent Style Name 9_1">
    <vt:lpwstr>Water Environment Research</vt:lpwstr>
  </property>
  <property fmtid="{D5CDD505-2E9C-101B-9397-08002B2CF9AE}" pid="22" name="Mendeley Document_1">
    <vt:lpwstr>True</vt:lpwstr>
  </property>
  <property fmtid="{D5CDD505-2E9C-101B-9397-08002B2CF9AE}" pid="23" name="Mendeley Unique User Id_1">
    <vt:lpwstr>5ad230bc-345e-347a-ad7f-98500eeede2d</vt:lpwstr>
  </property>
  <property fmtid="{D5CDD505-2E9C-101B-9397-08002B2CF9AE}" pid="24" name="Mendeley Citation Style_1">
    <vt:lpwstr>http://www.zotero.org/styles/ieee</vt:lpwstr>
  </property>
</Properties>
</file>