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89" w:rsidRPr="00F47111" w:rsidRDefault="005E2A89" w:rsidP="005E2A89">
      <w:pPr>
        <w:spacing w:line="480" w:lineRule="auto"/>
        <w:jc w:val="center"/>
        <w:rPr>
          <w:rFonts w:cs="Times New Roman"/>
          <w:b/>
          <w:bCs/>
          <w:sz w:val="24"/>
          <w:szCs w:val="24"/>
        </w:rPr>
      </w:pPr>
      <w:r w:rsidRPr="00FC745F">
        <w:rPr>
          <w:rFonts w:cs="Times New Roman"/>
          <w:b/>
          <w:bCs/>
          <w:sz w:val="24"/>
          <w:szCs w:val="24"/>
        </w:rPr>
        <w:t>Supplement information</w:t>
      </w:r>
    </w:p>
    <w:p w:rsidR="005E2A89" w:rsidRDefault="005E2A89" w:rsidP="005E2A89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bidi="ar-SA"/>
        </w:rPr>
        <w:drawing>
          <wp:inline distT="0" distB="0" distL="0" distR="0" wp14:anchorId="106BA279" wp14:editId="0C44B97A">
            <wp:extent cx="4044461" cy="2241159"/>
            <wp:effectExtent l="0" t="0" r="0" b="6985"/>
            <wp:docPr id="573460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67" cy="224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A89" w:rsidRPr="008F6058" w:rsidRDefault="005E2A89" w:rsidP="005E2A89">
      <w:pPr>
        <w:spacing w:line="360" w:lineRule="auto"/>
        <w:jc w:val="center"/>
        <w:rPr>
          <w:rFonts w:cs="Times New Roman"/>
          <w:color w:val="0000FF"/>
          <w:sz w:val="24"/>
          <w:szCs w:val="24"/>
        </w:rPr>
      </w:pPr>
      <w:r w:rsidRPr="008F6058">
        <w:rPr>
          <w:rFonts w:cs="Times New Roman"/>
          <w:color w:val="0000FF"/>
          <w:sz w:val="24"/>
          <w:szCs w:val="24"/>
        </w:rPr>
        <w:t>Supplement Figure 1</w:t>
      </w:r>
      <w:r w:rsidRPr="008F6058">
        <w:rPr>
          <w:rFonts w:cs="Angsana New"/>
          <w:color w:val="0000FF"/>
          <w:sz w:val="24"/>
          <w:szCs w:val="24"/>
          <w:cs/>
        </w:rPr>
        <w:t xml:space="preserve">. </w:t>
      </w:r>
      <w:r w:rsidRPr="008F6058">
        <w:rPr>
          <w:rFonts w:cs="Times New Roman"/>
          <w:color w:val="0000FF"/>
          <w:sz w:val="24"/>
          <w:szCs w:val="24"/>
        </w:rPr>
        <w:t>TOC concentration in process water</w:t>
      </w:r>
    </w:p>
    <w:p w:rsidR="005E2A89" w:rsidRPr="00654C7E" w:rsidRDefault="005E2A89" w:rsidP="005E2A89">
      <w:pPr>
        <w:spacing w:line="360" w:lineRule="auto"/>
        <w:rPr>
          <w:sz w:val="24"/>
          <w:szCs w:val="24"/>
        </w:rPr>
      </w:pPr>
    </w:p>
    <w:p w:rsidR="005E2A89" w:rsidRDefault="005E2A89" w:rsidP="005E2A89">
      <w:pPr>
        <w:spacing w:line="360" w:lineRule="auto"/>
        <w:jc w:val="center"/>
        <w:rPr>
          <w:rFonts w:cs="Times New Roman"/>
          <w:sz w:val="24"/>
          <w:szCs w:val="24"/>
        </w:rPr>
      </w:pPr>
      <w:r w:rsidRPr="005F510B">
        <w:rPr>
          <w:noProof/>
          <w:lang w:bidi="ar-SA"/>
        </w:rPr>
        <w:drawing>
          <wp:inline distT="0" distB="0" distL="0" distR="0" wp14:anchorId="438C35AB" wp14:editId="74F3AB5F">
            <wp:extent cx="5943600" cy="1869440"/>
            <wp:effectExtent l="0" t="0" r="0" b="0"/>
            <wp:docPr id="542022353" name="Picture 54202235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A89" w:rsidRDefault="005E2A89" w:rsidP="005E2A89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Supplement Figure 2</w:t>
      </w:r>
      <w:r>
        <w:rPr>
          <w:rFonts w:cs="Angsana New"/>
          <w:sz w:val="24"/>
          <w:szCs w:val="24"/>
          <w:cs/>
        </w:rPr>
        <w:t xml:space="preserve">. </w:t>
      </w:r>
      <w:r>
        <w:rPr>
          <w:rFonts w:cs="Times New Roman"/>
          <w:sz w:val="24"/>
          <w:szCs w:val="24"/>
        </w:rPr>
        <w:t xml:space="preserve">Effect of maxing ratio of sludge and spent coffee grounds on </w:t>
      </w:r>
      <w:r>
        <w:rPr>
          <w:rFonts w:cs="Angsana New"/>
          <w:sz w:val="24"/>
          <w:szCs w:val="24"/>
          <w:cs/>
        </w:rPr>
        <w:t>(</w:t>
      </w:r>
      <w:r>
        <w:rPr>
          <w:rFonts w:cs="Times New Roman"/>
          <w:sz w:val="24"/>
          <w:szCs w:val="24"/>
        </w:rPr>
        <w:t>a</w:t>
      </w:r>
      <w:r>
        <w:rPr>
          <w:rFonts w:cs="Angsana New"/>
          <w:sz w:val="24"/>
          <w:szCs w:val="24"/>
          <w:cs/>
        </w:rPr>
        <w:t xml:space="preserve">) </w:t>
      </w:r>
      <w:r>
        <w:rPr>
          <w:rFonts w:cs="Times New Roman"/>
          <w:sz w:val="24"/>
          <w:szCs w:val="24"/>
        </w:rPr>
        <w:t xml:space="preserve">hydrochar yield </w:t>
      </w:r>
      <w:r>
        <w:rPr>
          <w:rFonts w:cs="Angsana New"/>
          <w:sz w:val="24"/>
          <w:szCs w:val="24"/>
          <w:cs/>
        </w:rPr>
        <w:t>(</w:t>
      </w:r>
      <w:r>
        <w:rPr>
          <w:rFonts w:cs="Times New Roman"/>
          <w:sz w:val="24"/>
          <w:szCs w:val="24"/>
        </w:rPr>
        <w:t>b</w:t>
      </w:r>
      <w:r>
        <w:rPr>
          <w:rFonts w:cs="Angsana New"/>
          <w:sz w:val="24"/>
          <w:szCs w:val="24"/>
          <w:cs/>
        </w:rPr>
        <w:t xml:space="preserve">) </w:t>
      </w:r>
      <w:r>
        <w:rPr>
          <w:rFonts w:cs="Times New Roman"/>
          <w:sz w:val="24"/>
          <w:szCs w:val="24"/>
        </w:rPr>
        <w:t xml:space="preserve">fixed carbon </w:t>
      </w:r>
      <w:r>
        <w:rPr>
          <w:rFonts w:cs="Angsana New"/>
          <w:sz w:val="24"/>
          <w:szCs w:val="24"/>
          <w:cs/>
        </w:rPr>
        <w:t>(</w:t>
      </w:r>
      <w:r>
        <w:rPr>
          <w:rFonts w:cs="Times New Roman"/>
          <w:sz w:val="24"/>
          <w:szCs w:val="24"/>
        </w:rPr>
        <w:t>c</w:t>
      </w:r>
      <w:r>
        <w:rPr>
          <w:rFonts w:cs="Angsana New"/>
          <w:sz w:val="24"/>
          <w:szCs w:val="24"/>
          <w:cs/>
        </w:rPr>
        <w:t xml:space="preserve">) </w:t>
      </w:r>
      <w:r>
        <w:rPr>
          <w:rFonts w:cs="Times New Roman"/>
          <w:sz w:val="24"/>
          <w:szCs w:val="24"/>
        </w:rPr>
        <w:t>carbon retention</w:t>
      </w:r>
    </w:p>
    <w:p w:rsidR="005E2A89" w:rsidRDefault="005E2A89" w:rsidP="005E2A89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5E2A89" w:rsidRDefault="005E2A89" w:rsidP="005E2A89">
      <w:pPr>
        <w:spacing w:line="360" w:lineRule="auto"/>
        <w:jc w:val="center"/>
        <w:rPr>
          <w:rFonts w:cs="Times New Roman"/>
          <w:sz w:val="24"/>
          <w:szCs w:val="24"/>
        </w:rPr>
      </w:pPr>
      <w:r w:rsidRPr="003563AE">
        <w:rPr>
          <w:noProof/>
          <w:lang w:bidi="ar-SA"/>
        </w:rPr>
        <w:lastRenderedPageBreak/>
        <w:drawing>
          <wp:inline distT="0" distB="0" distL="0" distR="0" wp14:anchorId="43025BF0" wp14:editId="4C8DECEA">
            <wp:extent cx="5943600" cy="1870075"/>
            <wp:effectExtent l="0" t="0" r="0" b="0"/>
            <wp:docPr id="96003568" name="Picture 96003568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ar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A89" w:rsidRDefault="005E2A89" w:rsidP="005E2A89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Supplement Figure 3</w:t>
      </w:r>
      <w:r>
        <w:rPr>
          <w:rFonts w:cs="Angsana New"/>
          <w:sz w:val="24"/>
          <w:szCs w:val="24"/>
          <w:cs/>
        </w:rPr>
        <w:t xml:space="preserve">. </w:t>
      </w:r>
      <w:r>
        <w:rPr>
          <w:rFonts w:cs="Times New Roman"/>
          <w:sz w:val="24"/>
          <w:szCs w:val="24"/>
        </w:rPr>
        <w:t xml:space="preserve">Effect of maxing ratio of sludge and bagasse on </w:t>
      </w:r>
      <w:r>
        <w:rPr>
          <w:rFonts w:cs="Angsana New"/>
          <w:sz w:val="24"/>
          <w:szCs w:val="24"/>
          <w:cs/>
        </w:rPr>
        <w:t>(</w:t>
      </w:r>
      <w:r>
        <w:rPr>
          <w:rFonts w:cs="Times New Roman"/>
          <w:sz w:val="24"/>
          <w:szCs w:val="24"/>
        </w:rPr>
        <w:t>a</w:t>
      </w:r>
      <w:r>
        <w:rPr>
          <w:rFonts w:cs="Angsana New"/>
          <w:sz w:val="24"/>
          <w:szCs w:val="24"/>
          <w:cs/>
        </w:rPr>
        <w:t xml:space="preserve">) </w:t>
      </w:r>
      <w:r>
        <w:rPr>
          <w:rFonts w:cs="Times New Roman"/>
          <w:sz w:val="24"/>
          <w:szCs w:val="24"/>
        </w:rPr>
        <w:t xml:space="preserve">hydrochar yield </w:t>
      </w:r>
      <w:r>
        <w:rPr>
          <w:rFonts w:cs="Angsana New"/>
          <w:sz w:val="24"/>
          <w:szCs w:val="24"/>
          <w:cs/>
        </w:rPr>
        <w:t>(</w:t>
      </w:r>
      <w:r>
        <w:rPr>
          <w:rFonts w:cs="Times New Roman"/>
          <w:sz w:val="24"/>
          <w:szCs w:val="24"/>
        </w:rPr>
        <w:t>b</w:t>
      </w:r>
      <w:r>
        <w:rPr>
          <w:rFonts w:cs="Angsana New"/>
          <w:sz w:val="24"/>
          <w:szCs w:val="24"/>
          <w:cs/>
        </w:rPr>
        <w:t xml:space="preserve">) </w:t>
      </w:r>
      <w:r>
        <w:rPr>
          <w:rFonts w:cs="Times New Roman"/>
          <w:sz w:val="24"/>
          <w:szCs w:val="24"/>
        </w:rPr>
        <w:t xml:space="preserve">fixed carbon </w:t>
      </w:r>
      <w:r>
        <w:rPr>
          <w:rFonts w:cs="Angsana New"/>
          <w:sz w:val="24"/>
          <w:szCs w:val="24"/>
          <w:cs/>
        </w:rPr>
        <w:t>(</w:t>
      </w:r>
      <w:r>
        <w:rPr>
          <w:rFonts w:cs="Times New Roman"/>
          <w:sz w:val="24"/>
          <w:szCs w:val="24"/>
        </w:rPr>
        <w:t>c</w:t>
      </w:r>
      <w:r>
        <w:rPr>
          <w:rFonts w:cs="Angsana New"/>
          <w:sz w:val="24"/>
          <w:szCs w:val="24"/>
          <w:cs/>
        </w:rPr>
        <w:t xml:space="preserve">) </w:t>
      </w:r>
      <w:r>
        <w:rPr>
          <w:rFonts w:cs="Times New Roman"/>
          <w:sz w:val="24"/>
          <w:szCs w:val="24"/>
        </w:rPr>
        <w:t>carbon retention</w:t>
      </w:r>
    </w:p>
    <w:p w:rsidR="005E2A89" w:rsidRPr="00940508" w:rsidRDefault="005E2A89" w:rsidP="005E2A89">
      <w:pPr>
        <w:spacing w:line="480" w:lineRule="auto"/>
        <w:jc w:val="center"/>
        <w:rPr>
          <w:rFonts w:cs="Times New Roman"/>
          <w:sz w:val="24"/>
          <w:szCs w:val="24"/>
        </w:rPr>
      </w:pPr>
      <w:r w:rsidRPr="00940508">
        <w:rPr>
          <w:rFonts w:cs="Times New Roman"/>
          <w:noProof/>
          <w:lang w:bidi="ar-SA"/>
        </w:rPr>
        <w:drawing>
          <wp:inline distT="0" distB="0" distL="0" distR="0" wp14:anchorId="7BC6A7F8" wp14:editId="0F26C291">
            <wp:extent cx="3899140" cy="2955925"/>
            <wp:effectExtent l="0" t="0" r="6350" b="0"/>
            <wp:docPr id="1643844206" name="Chart 164384420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2FA237-594E-4BE8-9C58-2162606DBA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2A89" w:rsidRPr="00940508" w:rsidRDefault="005E2A89" w:rsidP="005E2A89">
      <w:pPr>
        <w:spacing w:line="48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Supplement </w:t>
      </w:r>
      <w:r w:rsidRPr="00940508">
        <w:rPr>
          <w:rFonts w:cs="Times New Roman"/>
          <w:sz w:val="24"/>
          <w:szCs w:val="24"/>
        </w:rPr>
        <w:t xml:space="preserve">Figure </w:t>
      </w:r>
      <w:r>
        <w:rPr>
          <w:rFonts w:cs="Times New Roman"/>
          <w:sz w:val="24"/>
          <w:szCs w:val="24"/>
        </w:rPr>
        <w:t>4</w:t>
      </w:r>
      <w:r w:rsidRPr="00940508">
        <w:rPr>
          <w:rFonts w:cs="Times New Roman"/>
          <w:sz w:val="24"/>
          <w:szCs w:val="24"/>
          <w:cs/>
        </w:rPr>
        <w:t xml:space="preserve">. </w:t>
      </w:r>
      <w:r w:rsidRPr="00940508">
        <w:rPr>
          <w:rFonts w:cs="Times New Roman"/>
          <w:sz w:val="24"/>
          <w:szCs w:val="24"/>
        </w:rPr>
        <w:t>Inorganic composition of the raw sewage sludge feedstock determined by XRF</w:t>
      </w:r>
    </w:p>
    <w:p w:rsidR="005E2A89" w:rsidRDefault="005E2A89" w:rsidP="005E2A89">
      <w:pPr>
        <w:spacing w:line="360" w:lineRule="auto"/>
        <w:jc w:val="center"/>
        <w:rPr>
          <w:sz w:val="24"/>
          <w:szCs w:val="24"/>
        </w:rPr>
      </w:pPr>
    </w:p>
    <w:p w:rsidR="005E2A89" w:rsidRDefault="005E2A89" w:rsidP="005E2A89">
      <w:pPr>
        <w:spacing w:line="360" w:lineRule="auto"/>
        <w:jc w:val="center"/>
        <w:rPr>
          <w:sz w:val="24"/>
          <w:szCs w:val="24"/>
        </w:rPr>
      </w:pPr>
    </w:p>
    <w:p w:rsidR="005E2A89" w:rsidRPr="00580A2D" w:rsidRDefault="005E2A89" w:rsidP="005E2A89">
      <w:pPr>
        <w:spacing w:line="360" w:lineRule="auto"/>
        <w:jc w:val="center"/>
        <w:rPr>
          <w:sz w:val="24"/>
          <w:szCs w:val="24"/>
          <w:cs/>
        </w:rPr>
      </w:pPr>
    </w:p>
    <w:p w:rsidR="005E2A89" w:rsidRDefault="005E2A89" w:rsidP="005E2A89">
      <w:pPr>
        <w:spacing w:line="360" w:lineRule="auto"/>
        <w:rPr>
          <w:rFonts w:cs="Times New Roman"/>
          <w:sz w:val="24"/>
          <w:szCs w:val="24"/>
        </w:rPr>
      </w:pPr>
    </w:p>
    <w:p w:rsidR="005E2A89" w:rsidRDefault="005E2A89" w:rsidP="005E2A89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bidi="ar-SA"/>
        </w:rPr>
        <w:lastRenderedPageBreak/>
        <w:drawing>
          <wp:inline distT="0" distB="0" distL="0" distR="0" wp14:anchorId="5D02F6B0" wp14:editId="55BE98C0">
            <wp:extent cx="5759694" cy="3458953"/>
            <wp:effectExtent l="0" t="0" r="0" b="8255"/>
            <wp:docPr id="2127741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62" cy="3469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A89" w:rsidRPr="00F47347" w:rsidRDefault="005E2A89" w:rsidP="005E2A89">
      <w:pPr>
        <w:spacing w:line="360" w:lineRule="auto"/>
        <w:jc w:val="center"/>
        <w:rPr>
          <w:rFonts w:cs="Angsana New"/>
          <w:color w:val="0000FF"/>
          <w:sz w:val="24"/>
          <w:szCs w:val="30"/>
        </w:rPr>
      </w:pPr>
      <w:r w:rsidRPr="006B37E2">
        <w:rPr>
          <w:rFonts w:cs="Times New Roman"/>
          <w:color w:val="0000FF"/>
          <w:sz w:val="24"/>
          <w:szCs w:val="24"/>
        </w:rPr>
        <w:t>Supplement Figure 5</w:t>
      </w:r>
      <w:r>
        <w:rPr>
          <w:rFonts w:cs="Times New Roman"/>
          <w:color w:val="0000FF"/>
          <w:sz w:val="24"/>
          <w:szCs w:val="24"/>
        </w:rPr>
        <w:t>.</w:t>
      </w:r>
      <w:r w:rsidRPr="006B37E2">
        <w:rPr>
          <w:rFonts w:cs="Times New Roman"/>
          <w:color w:val="0000FF"/>
          <w:sz w:val="24"/>
          <w:szCs w:val="24"/>
        </w:rPr>
        <w:t xml:space="preserve"> </w:t>
      </w:r>
      <w:r>
        <w:rPr>
          <w:rFonts w:cs="Times New Roman"/>
          <w:color w:val="0000FF"/>
          <w:sz w:val="24"/>
          <w:szCs w:val="24"/>
        </w:rPr>
        <w:t>Research</w:t>
      </w:r>
      <w:r w:rsidRPr="006B37E2">
        <w:rPr>
          <w:rFonts w:cs="Times New Roman"/>
          <w:color w:val="0000FF"/>
          <w:sz w:val="24"/>
          <w:szCs w:val="24"/>
        </w:rPr>
        <w:t xml:space="preserve"> </w:t>
      </w:r>
      <w:r>
        <w:rPr>
          <w:rFonts w:cs="Angsana New"/>
          <w:color w:val="0000FF"/>
          <w:sz w:val="24"/>
          <w:szCs w:val="30"/>
        </w:rPr>
        <w:t>diagram</w:t>
      </w:r>
    </w:p>
    <w:p w:rsidR="005E2A89" w:rsidRDefault="005E2A89" w:rsidP="005E2A89">
      <w:pPr>
        <w:spacing w:line="360" w:lineRule="auto"/>
        <w:rPr>
          <w:rFonts w:cs="Times New Roman"/>
          <w:sz w:val="24"/>
          <w:szCs w:val="24"/>
        </w:rPr>
      </w:pPr>
    </w:p>
    <w:p w:rsidR="005E2A89" w:rsidRPr="00D469CF" w:rsidRDefault="005E2A89" w:rsidP="005E2A89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Supplement Table 1</w:t>
      </w:r>
      <w:r>
        <w:rPr>
          <w:rFonts w:cs="Angsana New"/>
          <w:sz w:val="24"/>
          <w:szCs w:val="24"/>
          <w:cs/>
        </w:rPr>
        <w:t xml:space="preserve">. </w:t>
      </w:r>
      <w:r>
        <w:rPr>
          <w:rFonts w:cs="Times New Roman"/>
          <w:sz w:val="24"/>
          <w:szCs w:val="24"/>
        </w:rPr>
        <w:t xml:space="preserve">Metal EPA industrial wastewater standard of EPA compared with process water from HTC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260"/>
        <w:gridCol w:w="1260"/>
        <w:gridCol w:w="1890"/>
        <w:gridCol w:w="1546"/>
      </w:tblGrid>
      <w:tr w:rsidR="005E2A89" w:rsidTr="00C46709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A89" w:rsidRPr="00580A2D" w:rsidRDefault="005E2A89" w:rsidP="00C4670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 xml:space="preserve">Metal </w:t>
            </w:r>
            <w:r w:rsidRPr="00580A2D">
              <w:rPr>
                <w:rFonts w:cs="Times New Roman"/>
                <w:sz w:val="24"/>
                <w:szCs w:val="24"/>
                <w:cs/>
              </w:rPr>
              <w:t>(</w:t>
            </w:r>
            <w:r w:rsidRPr="00580A2D">
              <w:rPr>
                <w:rFonts w:cs="Times New Roman"/>
                <w:sz w:val="24"/>
                <w:szCs w:val="24"/>
              </w:rPr>
              <w:t>mg</w:t>
            </w:r>
            <w:r w:rsidRPr="00580A2D">
              <w:rPr>
                <w:rFonts w:cs="Times New Roman"/>
                <w:sz w:val="24"/>
                <w:szCs w:val="24"/>
                <w:cs/>
              </w:rPr>
              <w:t>/</w:t>
            </w:r>
            <w:r w:rsidRPr="00580A2D">
              <w:rPr>
                <w:rFonts w:cs="Times New Roman"/>
                <w:sz w:val="24"/>
                <w:szCs w:val="24"/>
              </w:rPr>
              <w:t>L</w:t>
            </w:r>
            <w:r w:rsidRPr="00580A2D">
              <w:rPr>
                <w:rFonts w:cs="Times New Roman"/>
                <w:sz w:val="24"/>
                <w:szCs w:val="24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A89" w:rsidRPr="00580A2D" w:rsidRDefault="005E2A89" w:rsidP="00C4670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EPA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A89" w:rsidRPr="00580A2D" w:rsidRDefault="005E2A89" w:rsidP="00C4670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HTC</w:t>
            </w:r>
            <w:r w:rsidRPr="00580A2D">
              <w:rPr>
                <w:rFonts w:cs="Times New Roman"/>
                <w:sz w:val="24"/>
                <w:szCs w:val="24"/>
                <w:cs/>
              </w:rPr>
              <w:t>-</w:t>
            </w:r>
            <w:r w:rsidRPr="00580A2D"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A89" w:rsidRPr="00580A2D" w:rsidRDefault="005E2A89" w:rsidP="00C4670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HTC</w:t>
            </w:r>
            <w:r w:rsidRPr="00580A2D">
              <w:rPr>
                <w:rFonts w:cs="Times New Roman"/>
                <w:sz w:val="24"/>
                <w:szCs w:val="24"/>
                <w:cs/>
              </w:rPr>
              <w:t>-</w:t>
            </w:r>
            <w:r w:rsidRPr="00580A2D">
              <w:rPr>
                <w:rFonts w:cs="Times New Roman"/>
                <w:sz w:val="24"/>
                <w:szCs w:val="24"/>
              </w:rPr>
              <w:t>50</w:t>
            </w:r>
            <w:r w:rsidRPr="00580A2D">
              <w:rPr>
                <w:rFonts w:cs="Times New Roman"/>
                <w:sz w:val="24"/>
                <w:szCs w:val="24"/>
                <w:cs/>
              </w:rPr>
              <w:t>%</w:t>
            </w:r>
            <w:r w:rsidRPr="00580A2D">
              <w:rPr>
                <w:rFonts w:cs="Times New Roman"/>
                <w:sz w:val="24"/>
                <w:szCs w:val="24"/>
              </w:rPr>
              <w:t>SB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A89" w:rsidRPr="00580A2D" w:rsidRDefault="005E2A89" w:rsidP="00C4670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HTC</w:t>
            </w:r>
            <w:r w:rsidRPr="00580A2D">
              <w:rPr>
                <w:rFonts w:cs="Times New Roman"/>
                <w:sz w:val="24"/>
                <w:szCs w:val="24"/>
                <w:cs/>
              </w:rPr>
              <w:t>-</w:t>
            </w:r>
            <w:r w:rsidRPr="00580A2D">
              <w:rPr>
                <w:rFonts w:cs="Times New Roman"/>
                <w:sz w:val="24"/>
                <w:szCs w:val="24"/>
              </w:rPr>
              <w:t>50</w:t>
            </w:r>
            <w:r w:rsidRPr="00580A2D">
              <w:rPr>
                <w:rFonts w:cs="Times New Roman"/>
                <w:sz w:val="24"/>
                <w:szCs w:val="24"/>
                <w:cs/>
              </w:rPr>
              <w:t>%</w:t>
            </w:r>
            <w:r w:rsidRPr="00580A2D">
              <w:rPr>
                <w:rFonts w:cs="Times New Roman"/>
                <w:sz w:val="24"/>
                <w:szCs w:val="24"/>
              </w:rPr>
              <w:t>SC</w:t>
            </w:r>
          </w:p>
        </w:tc>
      </w:tr>
      <w:tr w:rsidR="005E2A89" w:rsidTr="00C46709"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Mercury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  <w:cs/>
              </w:rPr>
              <w:t xml:space="preserve"> (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Hg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  <w:cs/>
              </w:rPr>
              <w:t>.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285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071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5E2A89" w:rsidTr="00C46709">
        <w:tc>
          <w:tcPr>
            <w:tcW w:w="1800" w:type="dxa"/>
            <w:vAlign w:val="bottom"/>
          </w:tcPr>
          <w:p w:rsidR="005E2A89" w:rsidRPr="00580A2D" w:rsidRDefault="005E2A89" w:rsidP="00C46709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Lead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  <w:cs/>
              </w:rPr>
              <w:t xml:space="preserve"> (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Pb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260" w:type="dxa"/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044</w:t>
            </w:r>
          </w:p>
        </w:tc>
        <w:tc>
          <w:tcPr>
            <w:tcW w:w="1890" w:type="dxa"/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084</w:t>
            </w:r>
          </w:p>
        </w:tc>
        <w:tc>
          <w:tcPr>
            <w:tcW w:w="1546" w:type="dxa"/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060</w:t>
            </w:r>
          </w:p>
        </w:tc>
      </w:tr>
      <w:tr w:rsidR="005E2A89" w:rsidTr="00C46709">
        <w:tc>
          <w:tcPr>
            <w:tcW w:w="1800" w:type="dxa"/>
            <w:vAlign w:val="bottom"/>
          </w:tcPr>
          <w:p w:rsidR="005E2A89" w:rsidRPr="00580A2D" w:rsidRDefault="005E2A89" w:rsidP="00C46709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Cadmium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  <w:cs/>
              </w:rPr>
              <w:t xml:space="preserve"> (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Cd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260" w:type="dxa"/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1890" w:type="dxa"/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015</w:t>
            </w:r>
          </w:p>
        </w:tc>
        <w:tc>
          <w:tcPr>
            <w:tcW w:w="1546" w:type="dxa"/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010</w:t>
            </w:r>
          </w:p>
        </w:tc>
      </w:tr>
      <w:tr w:rsidR="005E2A89" w:rsidTr="00C46709"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Arsenic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  <w:cs/>
              </w:rPr>
              <w:t xml:space="preserve"> (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As</w:t>
            </w:r>
            <w:r w:rsidRPr="00580A2D">
              <w:rPr>
                <w:rFonts w:eastAsia="Times New Roman" w:cs="Times New Roman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067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044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bottom"/>
          </w:tcPr>
          <w:p w:rsidR="005E2A89" w:rsidRPr="00580A2D" w:rsidRDefault="005E2A89" w:rsidP="00C46709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0A2D">
              <w:rPr>
                <w:rFonts w:cs="Times New Roman"/>
                <w:sz w:val="24"/>
                <w:szCs w:val="24"/>
              </w:rPr>
              <w:t>0</w:t>
            </w:r>
            <w:r w:rsidRPr="00580A2D">
              <w:rPr>
                <w:rFonts w:cs="Times New Roman"/>
                <w:sz w:val="24"/>
                <w:szCs w:val="24"/>
                <w:cs/>
              </w:rPr>
              <w:t>.</w:t>
            </w:r>
            <w:r w:rsidRPr="00580A2D">
              <w:rPr>
                <w:rFonts w:cs="Times New Roman"/>
                <w:sz w:val="24"/>
                <w:szCs w:val="24"/>
              </w:rPr>
              <w:t>029</w:t>
            </w:r>
          </w:p>
        </w:tc>
      </w:tr>
    </w:tbl>
    <w:p w:rsidR="005E2A89" w:rsidRDefault="005E2A89" w:rsidP="005E2A89">
      <w:pPr>
        <w:rPr>
          <w:rFonts w:cs="Times New Roman"/>
        </w:rPr>
        <w:sectPr w:rsidR="005E2A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5E2A89" w:rsidRDefault="005E2A89" w:rsidP="005E2A89">
      <w:pPr>
        <w:tabs>
          <w:tab w:val="left" w:pos="1351"/>
        </w:tabs>
        <w:spacing w:line="360" w:lineRule="auto"/>
        <w:rPr>
          <w:rFonts w:cs="Times New Roman"/>
          <w:sz w:val="24"/>
          <w:szCs w:val="24"/>
        </w:rPr>
      </w:pPr>
    </w:p>
    <w:p w:rsidR="00655347" w:rsidRDefault="00655347"/>
    <w:sectPr w:rsidR="00655347" w:rsidSect="000A73A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89"/>
    <w:rsid w:val="000D05B2"/>
    <w:rsid w:val="005E2A89"/>
    <w:rsid w:val="00655347"/>
    <w:rsid w:val="008D2AE1"/>
    <w:rsid w:val="00C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D155-4514-4337-B198-20184458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A89"/>
    <w:rPr>
      <w:rFonts w:ascii="Times New Roman" w:hAnsi="Times New Roman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A89"/>
    <w:pPr>
      <w:spacing w:after="0" w:line="240" w:lineRule="auto"/>
    </w:pPr>
    <w:rPr>
      <w:rFonts w:ascii="Times New Roman" w:hAnsi="Times New Roman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khonkaenuniversity-my.sharepoint.com/personal/rattakh_kku_ac_th/Documents/%5b12%5d%20My%20Research/Siridech%20HTC/%5b2%5d%20Results/XRF/XR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82246040537707"/>
          <c:y val="5.0925925925925923E-2"/>
          <c:w val="0.56220137121643066"/>
          <c:h val="0.834849100258392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SiO2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(Sheet1!$B$2,Sheet1!$E$2)</c:f>
              <c:numCache>
                <c:formatCode>General</c:formatCode>
                <c:ptCount val="2"/>
                <c:pt idx="0">
                  <c:v>29.82</c:v>
                </c:pt>
                <c:pt idx="1">
                  <c:v>39.83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5-421B-A5CC-6E29FC338D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CaO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(Sheet1!$B$3,Sheet1!$E$3)</c:f>
              <c:numCache>
                <c:formatCode>General</c:formatCode>
                <c:ptCount val="2"/>
                <c:pt idx="0">
                  <c:v>35.69</c:v>
                </c:pt>
                <c:pt idx="1">
                  <c:v>28.98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05-421B-A5CC-6E29FC338DF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P2O5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rgbClr val="FF0000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(Sheet1!$B$4,Sheet1!$E$4)</c:f>
              <c:numCache>
                <c:formatCode>General</c:formatCode>
                <c:ptCount val="2"/>
                <c:pt idx="0">
                  <c:v>13.5</c:v>
                </c:pt>
                <c:pt idx="1">
                  <c:v>13.38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05-421B-A5CC-6E29FC338DF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SO3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(Sheet1!$B$5,Sheet1!$E$5)</c:f>
              <c:numCache>
                <c:formatCode>General</c:formatCode>
                <c:ptCount val="2"/>
                <c:pt idx="0">
                  <c:v>6.55</c:v>
                </c:pt>
                <c:pt idx="1">
                  <c:v>6.16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05-421B-A5CC-6E29FC338DF6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Al2O3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(Sheet1!$B$6,Sheet1!$E$6)</c:f>
              <c:numCache>
                <c:formatCode>General</c:formatCode>
                <c:ptCount val="2"/>
                <c:pt idx="0">
                  <c:v>1.8</c:v>
                </c:pt>
                <c:pt idx="1">
                  <c:v>2.52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505-421B-A5CC-6E29FC338DF6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Fe2O3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(Sheet1!$B$7,Sheet1!$E$7)</c:f>
              <c:numCache>
                <c:formatCode>General</c:formatCode>
                <c:ptCount val="2"/>
                <c:pt idx="0">
                  <c:v>5.38</c:v>
                </c:pt>
                <c:pt idx="1">
                  <c:v>3.67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505-421B-A5CC-6E29FC338DF6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Na2O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(Sheet1!$B$8,Sheet1!$E$8)</c:f>
              <c:numCache>
                <c:formatCode>General</c:formatCode>
                <c:ptCount val="2"/>
                <c:pt idx="0">
                  <c:v>1.37</c:v>
                </c:pt>
                <c:pt idx="1">
                  <c:v>1.3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505-421B-A5CC-6E29FC338DF6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MgO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(Sheet1!$B$9,Sheet1!$E$9)</c:f>
              <c:numCache>
                <c:formatCode>General</c:formatCode>
                <c:ptCount val="2"/>
                <c:pt idx="0">
                  <c:v>1.34</c:v>
                </c:pt>
                <c:pt idx="1">
                  <c:v>1.29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505-421B-A5CC-6E29FC338DF6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K2O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(Sheet1!$B$10,Sheet1!$E$10)</c:f>
              <c:numCache>
                <c:formatCode>General</c:formatCode>
                <c:ptCount val="2"/>
                <c:pt idx="0">
                  <c:v>1.55</c:v>
                </c:pt>
                <c:pt idx="1">
                  <c:v>0.92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505-421B-A5CC-6E29FC338DF6}"/>
            </c:ext>
          </c:extLst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others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(Sheet1!$B$1,Sheet1!$E$1)</c:f>
              <c:strCache>
                <c:ptCount val="2"/>
                <c:pt idx="0">
                  <c:v>Sludge</c:v>
                </c:pt>
                <c:pt idx="1">
                  <c:v>HTC-S</c:v>
                </c:pt>
              </c:strCache>
              <c:extLst xmlns:c16r2="http://schemas.microsoft.com/office/drawing/2015/06/chart"/>
            </c:strRef>
          </c:cat>
          <c:val>
            <c:numRef>
              <c:f>(Sheet1!$B$11,Sheet1!$E$11)</c:f>
              <c:numCache>
                <c:formatCode>General</c:formatCode>
                <c:ptCount val="2"/>
                <c:pt idx="0">
                  <c:v>3</c:v>
                </c:pt>
                <c:pt idx="1">
                  <c:v>1.9500000000000028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505-421B-A5CC-6E29FC338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748204656"/>
        <c:axId val="-748181808"/>
      </c:barChart>
      <c:catAx>
        <c:axId val="-74820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748181808"/>
        <c:crosses val="autoZero"/>
        <c:auto val="1"/>
        <c:lblAlgn val="ctr"/>
        <c:lblOffset val="100"/>
        <c:noMultiLvlLbl val="0"/>
      </c:catAx>
      <c:valAx>
        <c:axId val="-748181808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 Inorganic</a:t>
                </a:r>
                <a:r>
                  <a:rPr lang="en-US" sz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composition</a:t>
                </a:r>
                <a:endParaRPr lang="en-US" sz="120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748204656"/>
        <c:crosses val="autoZero"/>
        <c:crossBetween val="between"/>
        <c:minorUnit val="5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7304753749887728"/>
          <c:y val="6.216463543560815E-2"/>
          <c:w val="0.2047529115894734"/>
          <c:h val="0.591560582900369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Vindhya Sri M.</dc:creator>
  <cp:keywords/>
  <dc:description/>
  <cp:lastModifiedBy>Vindhya Sri M.</cp:lastModifiedBy>
  <cp:revision>1</cp:revision>
  <dcterms:created xsi:type="dcterms:W3CDTF">2023-10-06T03:57:00Z</dcterms:created>
  <dcterms:modified xsi:type="dcterms:W3CDTF">2023-10-06T03:57:00Z</dcterms:modified>
</cp:coreProperties>
</file>