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65" w:rsidRPr="00FB5B8E" w:rsidRDefault="00354365" w:rsidP="00354365">
      <w:pPr>
        <w:spacing w:line="480" w:lineRule="auto"/>
        <w:rPr>
          <w:rFonts w:cs="Times New Roman"/>
          <w:b/>
          <w:bCs/>
          <w:szCs w:val="24"/>
        </w:rPr>
      </w:pPr>
      <w:r w:rsidRPr="004F5F66">
        <w:rPr>
          <w:rFonts w:cs="Times New Roman"/>
          <w:b/>
          <w:bCs/>
          <w:sz w:val="28"/>
        </w:rPr>
        <w:t>Bioanalytical method validation</w:t>
      </w:r>
      <w:r>
        <w:rPr>
          <w:rFonts w:cs="Times New Roman"/>
          <w:b/>
          <w:bCs/>
          <w:sz w:val="28"/>
        </w:rPr>
        <w:t>,</w:t>
      </w:r>
      <w:r w:rsidRPr="004F5F66">
        <w:rPr>
          <w:rFonts w:cs="Times New Roman"/>
          <w:b/>
          <w:bCs/>
          <w:sz w:val="28"/>
        </w:rPr>
        <w:t xml:space="preserve"> biopharmaceutical </w:t>
      </w:r>
      <w:r w:rsidRPr="004F5F66">
        <w:rPr>
          <w:rFonts w:cs="Times New Roman" w:hint="eastAsia"/>
          <w:b/>
          <w:bCs/>
          <w:sz w:val="28"/>
        </w:rPr>
        <w:t>a</w:t>
      </w:r>
      <w:r w:rsidRPr="004F5F66">
        <w:rPr>
          <w:rFonts w:cs="Times New Roman"/>
          <w:b/>
          <w:bCs/>
          <w:sz w:val="28"/>
        </w:rPr>
        <w:t>nd pharmacokinetic evaluation of GSK-650394, a serum- and glucocorticoid-regulated kinase 1 inhibitor</w:t>
      </w:r>
    </w:p>
    <w:p w:rsidR="00354365" w:rsidRPr="00BF051F" w:rsidRDefault="00354365" w:rsidP="00354365">
      <w:pPr>
        <w:spacing w:line="480" w:lineRule="auto"/>
        <w:jc w:val="center"/>
        <w:rPr>
          <w:rFonts w:cs="Times New Roman"/>
          <w:bCs/>
          <w:szCs w:val="24"/>
          <w:vertAlign w:val="superscript"/>
        </w:rPr>
      </w:pPr>
      <w:r w:rsidRPr="00BF051F">
        <w:rPr>
          <w:rFonts w:cs="Times New Roman"/>
          <w:bCs/>
          <w:szCs w:val="24"/>
        </w:rPr>
        <w:t>Qui-Dong Le</w:t>
      </w:r>
      <w:r>
        <w:rPr>
          <w:rFonts w:cs="Times New Roman"/>
          <w:bCs/>
          <w:szCs w:val="24"/>
          <w:vertAlign w:val="superscript"/>
        </w:rPr>
        <w:t>a</w:t>
      </w:r>
      <w:r w:rsidRPr="00BF051F">
        <w:rPr>
          <w:rFonts w:cs="Times New Roman"/>
          <w:bCs/>
          <w:szCs w:val="24"/>
          <w:vertAlign w:val="superscript"/>
        </w:rPr>
        <w:t>,#</w:t>
      </w:r>
      <w:r w:rsidRPr="00BF051F">
        <w:rPr>
          <w:rFonts w:cs="Times New Roman"/>
          <w:bCs/>
          <w:szCs w:val="24"/>
        </w:rPr>
        <w:t>, Van-An Duong</w:t>
      </w:r>
      <w:r w:rsidRPr="009B768D">
        <w:rPr>
          <w:rFonts w:cs="Times New Roman"/>
          <w:bCs/>
          <w:szCs w:val="24"/>
          <w:vertAlign w:val="superscript"/>
        </w:rPr>
        <w:t>a</w:t>
      </w:r>
      <w:r w:rsidRPr="00BF051F">
        <w:rPr>
          <w:rFonts w:cs="Times New Roman"/>
          <w:bCs/>
          <w:szCs w:val="24"/>
          <w:vertAlign w:val="superscript"/>
        </w:rPr>
        <w:t>,</w:t>
      </w:r>
      <w:r w:rsidRPr="000D1B95">
        <w:rPr>
          <w:rFonts w:cs="Times New Roman"/>
          <w:bCs/>
          <w:szCs w:val="24"/>
          <w:vertAlign w:val="superscript"/>
        </w:rPr>
        <w:t>#</w:t>
      </w:r>
      <w:r w:rsidRPr="00BF051F">
        <w:rPr>
          <w:rFonts w:cs="Times New Roman"/>
          <w:bCs/>
          <w:szCs w:val="24"/>
        </w:rPr>
        <w:t xml:space="preserve">, </w:t>
      </w:r>
      <w:r w:rsidRPr="000D1B95">
        <w:rPr>
          <w:rFonts w:cs="Times New Roman"/>
          <w:bCs/>
          <w:szCs w:val="24"/>
        </w:rPr>
        <w:t>Sang-Hun Lee</w:t>
      </w:r>
      <w:r>
        <w:rPr>
          <w:rFonts w:cs="Times New Roman"/>
          <w:bCs/>
          <w:szCs w:val="24"/>
          <w:vertAlign w:val="superscript"/>
        </w:rPr>
        <w:t>b</w:t>
      </w:r>
      <w:r w:rsidRPr="00BF051F">
        <w:rPr>
          <w:rFonts w:cs="Times New Roman"/>
          <w:bCs/>
          <w:szCs w:val="24"/>
        </w:rPr>
        <w:t>, Thi-Thao-Linh Nguyen</w:t>
      </w:r>
      <w:r w:rsidRPr="009B768D">
        <w:rPr>
          <w:rFonts w:cs="Times New Roman"/>
          <w:bCs/>
          <w:szCs w:val="24"/>
          <w:vertAlign w:val="superscript"/>
        </w:rPr>
        <w:t>a</w:t>
      </w:r>
      <w:r>
        <w:rPr>
          <w:rFonts w:cs="Times New Roman"/>
          <w:bCs/>
          <w:szCs w:val="24"/>
          <w:vertAlign w:val="superscript"/>
        </w:rPr>
        <w:t>,*</w:t>
      </w:r>
      <w:r w:rsidRPr="00BF051F">
        <w:rPr>
          <w:rFonts w:cs="Times New Roman"/>
          <w:bCs/>
          <w:szCs w:val="24"/>
        </w:rPr>
        <w:t>, Han-Joo Maeng</w:t>
      </w:r>
      <w:r w:rsidRPr="009B768D">
        <w:rPr>
          <w:rFonts w:cs="Times New Roman"/>
          <w:bCs/>
          <w:szCs w:val="24"/>
          <w:vertAlign w:val="superscript"/>
        </w:rPr>
        <w:t>a</w:t>
      </w:r>
      <w:r w:rsidRPr="00BF051F">
        <w:rPr>
          <w:rFonts w:cs="Times New Roman"/>
          <w:bCs/>
          <w:szCs w:val="24"/>
          <w:vertAlign w:val="superscript"/>
        </w:rPr>
        <w:t>,*</w:t>
      </w:r>
    </w:p>
    <w:p w:rsidR="00354365" w:rsidRDefault="00354365" w:rsidP="00354365">
      <w:pPr>
        <w:spacing w:line="480" w:lineRule="auto"/>
        <w:rPr>
          <w:rFonts w:cs="Times New Roman"/>
          <w:bCs/>
          <w:szCs w:val="24"/>
          <w:vertAlign w:val="superscript"/>
        </w:rPr>
      </w:pPr>
    </w:p>
    <w:p w:rsidR="00354365" w:rsidRPr="00BF051F" w:rsidRDefault="00354365" w:rsidP="00354365">
      <w:pPr>
        <w:spacing w:line="480" w:lineRule="auto"/>
        <w:rPr>
          <w:rFonts w:cs="Times New Roman"/>
          <w:bCs/>
          <w:szCs w:val="24"/>
        </w:rPr>
      </w:pPr>
      <w:r>
        <w:rPr>
          <w:rFonts w:cs="Times New Roman"/>
          <w:bCs/>
          <w:szCs w:val="24"/>
          <w:vertAlign w:val="superscript"/>
        </w:rPr>
        <w:t>a</w:t>
      </w:r>
      <w:r w:rsidRPr="00BF051F">
        <w:rPr>
          <w:rFonts w:cs="Times New Roman"/>
          <w:bCs/>
          <w:szCs w:val="24"/>
        </w:rPr>
        <w:t>College of Pharmacy, Gachon University, 191 Hambakmoe-ro, Yeonsu-gu, Incheon 21936, Korea</w:t>
      </w:r>
    </w:p>
    <w:p w:rsidR="00354365" w:rsidRPr="00BF051F" w:rsidRDefault="00354365" w:rsidP="00354365">
      <w:pPr>
        <w:spacing w:line="480" w:lineRule="auto"/>
        <w:rPr>
          <w:rFonts w:cs="Times New Roman"/>
          <w:bCs/>
          <w:szCs w:val="24"/>
        </w:rPr>
      </w:pPr>
      <w:r>
        <w:rPr>
          <w:rFonts w:cs="Times New Roman"/>
          <w:bCs/>
          <w:szCs w:val="24"/>
          <w:vertAlign w:val="superscript"/>
        </w:rPr>
        <w:t>b</w:t>
      </w:r>
      <w:r w:rsidRPr="008A36C8">
        <w:rPr>
          <w:rFonts w:cs="Times New Roman"/>
          <w:bCs/>
          <w:szCs w:val="24"/>
        </w:rPr>
        <w:t>Department of Biochemistry and Molecular Biology, College of Medicine, Hanyang University, Seoul 04763, Korea</w:t>
      </w:r>
    </w:p>
    <w:p w:rsidR="00354365" w:rsidRPr="00BF051F" w:rsidRDefault="00354365" w:rsidP="00354365">
      <w:pPr>
        <w:spacing w:line="480" w:lineRule="auto"/>
        <w:rPr>
          <w:rFonts w:cs="Times New Roman"/>
          <w:bCs/>
          <w:szCs w:val="24"/>
        </w:rPr>
      </w:pPr>
    </w:p>
    <w:p w:rsidR="00354365" w:rsidRPr="00BF051F" w:rsidRDefault="00354365" w:rsidP="00354365">
      <w:pPr>
        <w:spacing w:line="480" w:lineRule="auto"/>
        <w:rPr>
          <w:rFonts w:cs="Times New Roman"/>
          <w:bCs/>
          <w:szCs w:val="24"/>
        </w:rPr>
      </w:pPr>
      <w:r w:rsidRPr="00BF051F">
        <w:rPr>
          <w:rFonts w:cs="Times New Roman"/>
          <w:bCs/>
          <w:szCs w:val="24"/>
          <w:vertAlign w:val="superscript"/>
        </w:rPr>
        <w:t xml:space="preserve"># </w:t>
      </w:r>
      <w:r w:rsidRPr="00BF051F">
        <w:rPr>
          <w:rFonts w:cs="Times New Roman"/>
          <w:bCs/>
          <w:szCs w:val="24"/>
        </w:rPr>
        <w:t>These authors contributed equally to this work</w:t>
      </w:r>
    </w:p>
    <w:p w:rsidR="00354365" w:rsidRPr="00BF051F" w:rsidRDefault="00354365" w:rsidP="00354365">
      <w:pPr>
        <w:spacing w:line="480" w:lineRule="auto"/>
        <w:rPr>
          <w:rFonts w:cs="Times New Roman"/>
          <w:bCs/>
          <w:szCs w:val="24"/>
        </w:rPr>
      </w:pPr>
    </w:p>
    <w:p w:rsidR="00354365" w:rsidRPr="00BF051F" w:rsidRDefault="00354365" w:rsidP="00354365">
      <w:pPr>
        <w:spacing w:line="480" w:lineRule="auto"/>
        <w:rPr>
          <w:rFonts w:cs="Times New Roman"/>
          <w:b/>
          <w:bCs/>
          <w:szCs w:val="24"/>
        </w:rPr>
      </w:pPr>
      <w:r>
        <w:rPr>
          <w:rFonts w:cs="Times New Roman"/>
          <w:b/>
          <w:bCs/>
          <w:szCs w:val="24"/>
        </w:rPr>
        <w:t>*</w:t>
      </w:r>
      <w:r w:rsidRPr="00BF051F">
        <w:rPr>
          <w:rFonts w:cs="Times New Roman"/>
          <w:b/>
          <w:bCs/>
          <w:szCs w:val="24"/>
        </w:rPr>
        <w:t>Corresponding author:</w:t>
      </w:r>
    </w:p>
    <w:p w:rsidR="00354365" w:rsidRPr="00BF051F" w:rsidRDefault="00354365" w:rsidP="00354365">
      <w:pPr>
        <w:spacing w:line="480" w:lineRule="auto"/>
        <w:rPr>
          <w:rFonts w:cs="Times New Roman"/>
          <w:bCs/>
          <w:szCs w:val="24"/>
        </w:rPr>
      </w:pPr>
      <w:r w:rsidRPr="00BF051F">
        <w:rPr>
          <w:rFonts w:cs="Times New Roman"/>
          <w:bCs/>
          <w:szCs w:val="24"/>
        </w:rPr>
        <w:t>Han-Joo Maeng</w:t>
      </w:r>
    </w:p>
    <w:p w:rsidR="00354365" w:rsidRPr="00D439D0" w:rsidRDefault="00354365" w:rsidP="00354365">
      <w:pPr>
        <w:spacing w:line="480" w:lineRule="auto"/>
        <w:rPr>
          <w:rFonts w:cs="Times New Roman"/>
          <w:bCs/>
          <w:szCs w:val="24"/>
        </w:rPr>
      </w:pPr>
      <w:r w:rsidRPr="00BF051F">
        <w:rPr>
          <w:rFonts w:cs="Times New Roman"/>
          <w:bCs/>
          <w:szCs w:val="24"/>
        </w:rPr>
        <w:t>E</w:t>
      </w:r>
      <w:r>
        <w:rPr>
          <w:rFonts w:cs="Times New Roman"/>
          <w:bCs/>
          <w:szCs w:val="24"/>
        </w:rPr>
        <w:t>-</w:t>
      </w:r>
      <w:r w:rsidRPr="00BF051F">
        <w:rPr>
          <w:rFonts w:cs="Times New Roman"/>
          <w:bCs/>
          <w:szCs w:val="24"/>
        </w:rPr>
        <w:t>mail: hjmaeng@gachon.ac.kr; Tel.: +82-32-820-4935</w:t>
      </w:r>
    </w:p>
    <w:p w:rsidR="00354365" w:rsidRPr="00BF051F" w:rsidRDefault="00354365" w:rsidP="00354365">
      <w:pPr>
        <w:spacing w:line="480" w:lineRule="auto"/>
        <w:rPr>
          <w:rFonts w:cs="Times New Roman"/>
          <w:b/>
          <w:bCs/>
          <w:szCs w:val="24"/>
        </w:rPr>
      </w:pPr>
      <w:r>
        <w:rPr>
          <w:rFonts w:cs="Times New Roman"/>
          <w:b/>
          <w:bCs/>
          <w:szCs w:val="24"/>
        </w:rPr>
        <w:t>*</w:t>
      </w:r>
      <w:r w:rsidRPr="00BF051F">
        <w:rPr>
          <w:rFonts w:cs="Times New Roman"/>
          <w:b/>
          <w:bCs/>
          <w:szCs w:val="24"/>
        </w:rPr>
        <w:t>Co-corresponding author:</w:t>
      </w:r>
    </w:p>
    <w:p w:rsidR="00354365" w:rsidRPr="00BF051F" w:rsidRDefault="00354365" w:rsidP="00354365">
      <w:pPr>
        <w:spacing w:line="480" w:lineRule="auto"/>
        <w:rPr>
          <w:rFonts w:cs="Times New Roman"/>
          <w:bCs/>
          <w:szCs w:val="24"/>
        </w:rPr>
      </w:pPr>
      <w:r w:rsidRPr="00BF051F">
        <w:rPr>
          <w:rFonts w:cs="Times New Roman"/>
          <w:bCs/>
          <w:szCs w:val="24"/>
        </w:rPr>
        <w:t>Thi-Thao-Linh Nguyen</w:t>
      </w:r>
    </w:p>
    <w:p w:rsidR="00354365" w:rsidRPr="00D439D0" w:rsidRDefault="00354365" w:rsidP="00354365">
      <w:pPr>
        <w:spacing w:line="480" w:lineRule="auto"/>
        <w:rPr>
          <w:rFonts w:cs="Times New Roman"/>
          <w:bCs/>
          <w:szCs w:val="24"/>
        </w:rPr>
      </w:pPr>
      <w:r w:rsidRPr="00BF051F">
        <w:rPr>
          <w:rFonts w:cs="Times New Roman"/>
          <w:bCs/>
          <w:szCs w:val="24"/>
        </w:rPr>
        <w:t>E</w:t>
      </w:r>
      <w:r>
        <w:rPr>
          <w:rFonts w:cs="Times New Roman"/>
          <w:bCs/>
          <w:szCs w:val="24"/>
        </w:rPr>
        <w:t>-</w:t>
      </w:r>
      <w:r w:rsidRPr="00BF051F">
        <w:rPr>
          <w:rFonts w:cs="Times New Roman"/>
          <w:bCs/>
          <w:szCs w:val="24"/>
        </w:rPr>
        <w:t>mail: linh.nguyen@gachon.ac.kr; Tel.: +82-32-820-4936</w:t>
      </w:r>
    </w:p>
    <w:p w:rsidR="00AB198B" w:rsidRPr="00354365" w:rsidRDefault="00AB198B" w:rsidP="00AB198B">
      <w:pPr>
        <w:spacing w:after="160" w:line="240" w:lineRule="auto"/>
        <w:rPr>
          <w:rFonts w:cs="Times New Roman"/>
          <w:bCs/>
          <w:szCs w:val="24"/>
        </w:rPr>
      </w:pPr>
    </w:p>
    <w:p w:rsidR="00AB198B" w:rsidRPr="00AB198B" w:rsidRDefault="00AB198B" w:rsidP="00AB198B">
      <w:pPr>
        <w:spacing w:after="160" w:line="240" w:lineRule="auto"/>
        <w:jc w:val="center"/>
        <w:rPr>
          <w:rFonts w:cs="Times New Roman"/>
          <w:b/>
          <w:szCs w:val="24"/>
        </w:rPr>
      </w:pPr>
      <w:r w:rsidRPr="00AB198B">
        <w:rPr>
          <w:rFonts w:cs="Times New Roman"/>
          <w:b/>
          <w:bCs/>
          <w:szCs w:val="24"/>
        </w:rPr>
        <w:t>Supplementary materials</w:t>
      </w:r>
    </w:p>
    <w:p w:rsidR="00AB198B" w:rsidRDefault="00AB198B">
      <w:pPr>
        <w:spacing w:after="160" w:line="259" w:lineRule="auto"/>
        <w:jc w:val="left"/>
        <w:rPr>
          <w:rFonts w:cs="Times New Roman"/>
          <w:b/>
          <w:szCs w:val="24"/>
        </w:rPr>
      </w:pPr>
      <w:r>
        <w:rPr>
          <w:rFonts w:cs="Times New Roman"/>
          <w:b/>
          <w:szCs w:val="24"/>
        </w:rPr>
        <w:br w:type="page"/>
      </w:r>
    </w:p>
    <w:p w:rsidR="00C43365" w:rsidRDefault="00C43365" w:rsidP="00AB198B">
      <w:pPr>
        <w:spacing w:after="160" w:line="240" w:lineRule="auto"/>
        <w:rPr>
          <w:rFonts w:cs="Times New Roman"/>
          <w:szCs w:val="24"/>
        </w:rPr>
      </w:pPr>
      <w:r>
        <w:rPr>
          <w:rFonts w:cs="Times New Roman" w:hint="eastAsia"/>
          <w:b/>
          <w:szCs w:val="24"/>
        </w:rPr>
        <w:lastRenderedPageBreak/>
        <w:t>Table</w:t>
      </w:r>
      <w:r>
        <w:rPr>
          <w:rFonts w:cs="Times New Roman"/>
          <w:b/>
          <w:szCs w:val="24"/>
        </w:rPr>
        <w:t xml:space="preserve"> </w:t>
      </w:r>
      <w:r>
        <w:rPr>
          <w:rFonts w:cs="Times New Roman" w:hint="eastAsia"/>
          <w:b/>
          <w:szCs w:val="24"/>
        </w:rPr>
        <w:t>S1.</w:t>
      </w:r>
      <w:r w:rsidRPr="00C43365">
        <w:rPr>
          <w:rFonts w:cs="Times New Roman"/>
          <w:b/>
          <w:szCs w:val="24"/>
        </w:rPr>
        <w:t xml:space="preserve"> </w:t>
      </w:r>
      <w:r w:rsidRPr="00C43365">
        <w:rPr>
          <w:rFonts w:cs="Times New Roman"/>
          <w:szCs w:val="24"/>
        </w:rPr>
        <w:t>LC–MS/MS working parameters</w:t>
      </w:r>
    </w:p>
    <w:tbl>
      <w:tblPr>
        <w:tblW w:w="0" w:type="auto"/>
        <w:jc w:val="center"/>
        <w:tblBorders>
          <w:top w:val="single" w:sz="8" w:space="0" w:color="auto"/>
          <w:bottom w:val="single" w:sz="8" w:space="0" w:color="auto"/>
        </w:tblBorders>
        <w:tblLook w:val="04A0" w:firstRow="1" w:lastRow="0" w:firstColumn="1" w:lastColumn="0" w:noHBand="0" w:noVBand="1"/>
      </w:tblPr>
      <w:tblGrid>
        <w:gridCol w:w="3600"/>
        <w:gridCol w:w="1599"/>
        <w:gridCol w:w="1599"/>
      </w:tblGrid>
      <w:tr w:rsidR="00C43365" w:rsidRPr="008D684C" w:rsidTr="002E5CF8">
        <w:trPr>
          <w:jc w:val="center"/>
        </w:trPr>
        <w:tc>
          <w:tcPr>
            <w:tcW w:w="3600" w:type="dxa"/>
            <w:tcBorders>
              <w:bottom w:val="single" w:sz="4" w:space="0" w:color="auto"/>
            </w:tcBorders>
            <w:shd w:val="clear" w:color="auto" w:fill="auto"/>
            <w:vAlign w:val="center"/>
          </w:tcPr>
          <w:p w:rsidR="00C43365" w:rsidRPr="008D684C" w:rsidRDefault="00C43365" w:rsidP="00D641A2">
            <w:pPr>
              <w:pStyle w:val="MDPI42tablebody"/>
              <w:spacing w:line="360" w:lineRule="auto"/>
              <w:rPr>
                <w:rFonts w:ascii="Times New Roman" w:hAnsi="Times New Roman"/>
                <w:b/>
                <w:sz w:val="24"/>
                <w:szCs w:val="24"/>
              </w:rPr>
            </w:pPr>
            <w:r w:rsidRPr="008D684C">
              <w:rPr>
                <w:rFonts w:ascii="Times New Roman" w:hAnsi="Times New Roman"/>
                <w:b/>
                <w:sz w:val="24"/>
                <w:szCs w:val="24"/>
              </w:rPr>
              <w:t>Source parameters</w:t>
            </w:r>
          </w:p>
        </w:tc>
        <w:tc>
          <w:tcPr>
            <w:tcW w:w="1599" w:type="dxa"/>
            <w:tcBorders>
              <w:bottom w:val="single" w:sz="4" w:space="0" w:color="auto"/>
            </w:tcBorders>
            <w:shd w:val="clear" w:color="auto" w:fill="auto"/>
            <w:vAlign w:val="center"/>
          </w:tcPr>
          <w:p w:rsidR="00C43365" w:rsidRPr="008D684C" w:rsidRDefault="00C43365" w:rsidP="00D641A2">
            <w:pPr>
              <w:pStyle w:val="MDPI42tablebody"/>
              <w:spacing w:line="360" w:lineRule="auto"/>
              <w:rPr>
                <w:rFonts w:ascii="Times New Roman" w:hAnsi="Times New Roman"/>
                <w:b/>
                <w:sz w:val="24"/>
                <w:szCs w:val="24"/>
              </w:rPr>
            </w:pPr>
            <w:r w:rsidRPr="008D684C">
              <w:rPr>
                <w:rFonts w:ascii="Times New Roman" w:eastAsiaTheme="minorEastAsia" w:hAnsi="Times New Roman"/>
                <w:b/>
                <w:sz w:val="24"/>
                <w:szCs w:val="24"/>
                <w:lang w:eastAsia="ko-KR"/>
              </w:rPr>
              <w:t>GSK-650394</w:t>
            </w:r>
          </w:p>
        </w:tc>
        <w:tc>
          <w:tcPr>
            <w:tcW w:w="1599" w:type="dxa"/>
            <w:tcBorders>
              <w:bottom w:val="single" w:sz="4" w:space="0" w:color="auto"/>
            </w:tcBorders>
            <w:shd w:val="clear" w:color="auto" w:fill="auto"/>
            <w:vAlign w:val="center"/>
          </w:tcPr>
          <w:p w:rsidR="00C43365" w:rsidRPr="008D684C" w:rsidRDefault="00C43365" w:rsidP="00D641A2">
            <w:pPr>
              <w:pStyle w:val="MDPI42tablebody"/>
              <w:spacing w:line="360" w:lineRule="auto"/>
              <w:rPr>
                <w:rFonts w:ascii="Times New Roman" w:hAnsi="Times New Roman"/>
                <w:b/>
                <w:sz w:val="24"/>
                <w:szCs w:val="24"/>
              </w:rPr>
            </w:pPr>
            <w:r w:rsidRPr="008D684C">
              <w:rPr>
                <w:rFonts w:ascii="Times New Roman" w:hAnsi="Times New Roman"/>
                <w:b/>
                <w:sz w:val="24"/>
                <w:szCs w:val="24"/>
              </w:rPr>
              <w:t>IS</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Declustering potential (V)</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19</w:t>
            </w:r>
            <w:r w:rsidRPr="008D684C">
              <w:rPr>
                <w:rFonts w:ascii="Times New Roman" w:hAnsi="Times New Roman"/>
                <w:sz w:val="24"/>
                <w:szCs w:val="24"/>
              </w:rPr>
              <w:t>6</w:t>
            </w:r>
          </w:p>
        </w:tc>
        <w:tc>
          <w:tcPr>
            <w:tcW w:w="1599" w:type="dxa"/>
            <w:shd w:val="clear" w:color="auto" w:fill="auto"/>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66</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Entrance potential (V)</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10</w:t>
            </w:r>
          </w:p>
        </w:tc>
        <w:tc>
          <w:tcPr>
            <w:tcW w:w="1599" w:type="dxa"/>
            <w:shd w:val="clear" w:color="auto" w:fill="auto"/>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10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Collision energy (V)</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47</w:t>
            </w:r>
          </w:p>
        </w:tc>
        <w:tc>
          <w:tcPr>
            <w:tcW w:w="1599" w:type="dxa"/>
            <w:shd w:val="clear" w:color="auto" w:fill="auto"/>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35</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Collision cell exit potential (V)</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22</w:t>
            </w:r>
          </w:p>
        </w:tc>
        <w:tc>
          <w:tcPr>
            <w:tcW w:w="1599" w:type="dxa"/>
            <w:shd w:val="clear" w:color="auto" w:fill="auto"/>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24</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Ionspray voltage (V)</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5500</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5500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Temperature of ion source (°C)</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500</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eastAsiaTheme="minorEastAsia" w:hAnsi="Times New Roman"/>
                <w:sz w:val="24"/>
                <w:szCs w:val="24"/>
                <w:lang w:eastAsia="ko-KR"/>
              </w:rPr>
            </w:pPr>
            <w:r w:rsidRPr="008D684C">
              <w:rPr>
                <w:rFonts w:ascii="Times New Roman" w:eastAsiaTheme="minorEastAsia" w:hAnsi="Times New Roman"/>
                <w:sz w:val="24"/>
                <w:szCs w:val="24"/>
                <w:lang w:eastAsia="ko-KR"/>
              </w:rPr>
              <w:t>Nebulizing gas (GS1) (psi</w:t>
            </w:r>
            <w:r w:rsidRPr="008D684C">
              <w:rPr>
                <w:rFonts w:ascii="Times New Roman" w:hAnsi="Times New Roman"/>
                <w:sz w:val="24"/>
                <w:szCs w:val="24"/>
              </w:rPr>
              <w:t>)</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Drying gas (GS2) (</w:t>
            </w:r>
            <w:r w:rsidRPr="008D684C">
              <w:rPr>
                <w:rFonts w:ascii="Times New Roman" w:eastAsiaTheme="minorEastAsia" w:hAnsi="Times New Roman"/>
                <w:sz w:val="24"/>
                <w:szCs w:val="24"/>
                <w:lang w:eastAsia="ko-KR"/>
              </w:rPr>
              <w:t>psi</w:t>
            </w:r>
            <w:r w:rsidRPr="008D684C">
              <w:rPr>
                <w:rFonts w:ascii="Times New Roman" w:hAnsi="Times New Roman"/>
                <w:sz w:val="24"/>
                <w:szCs w:val="24"/>
              </w:rPr>
              <w:t xml:space="preserve">) </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50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Curtain gas (</w:t>
            </w:r>
            <w:r w:rsidRPr="008D684C">
              <w:rPr>
                <w:rFonts w:ascii="Times New Roman" w:eastAsiaTheme="minorEastAsia" w:hAnsi="Times New Roman"/>
                <w:sz w:val="24"/>
                <w:szCs w:val="24"/>
                <w:lang w:eastAsia="ko-KR"/>
              </w:rPr>
              <w:t>psi</w:t>
            </w:r>
            <w:r w:rsidRPr="008D684C">
              <w:rPr>
                <w:rFonts w:ascii="Times New Roman" w:hAnsi="Times New Roman"/>
                <w:sz w:val="24"/>
                <w:szCs w:val="24"/>
              </w:rPr>
              <w:t>)</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30</w:t>
            </w:r>
          </w:p>
        </w:tc>
        <w:tc>
          <w:tcPr>
            <w:tcW w:w="1599" w:type="dxa"/>
            <w:shd w:val="clear" w:color="auto" w:fill="auto"/>
            <w:vAlign w:val="center"/>
          </w:tcPr>
          <w:p w:rsidR="00C43365" w:rsidRPr="008D684C" w:rsidRDefault="00C43365" w:rsidP="00D641A2">
            <w:pPr>
              <w:pStyle w:val="MDPI42tablebody"/>
              <w:spacing w:line="360" w:lineRule="auto"/>
              <w:rPr>
                <w:rFonts w:ascii="Times New Roman" w:hAnsi="Times New Roman"/>
                <w:sz w:val="24"/>
                <w:szCs w:val="24"/>
              </w:rPr>
            </w:pPr>
            <w:r w:rsidRPr="008D684C">
              <w:rPr>
                <w:rFonts w:ascii="Times New Roman" w:eastAsiaTheme="minorEastAsia" w:hAnsi="Times New Roman"/>
                <w:sz w:val="24"/>
                <w:szCs w:val="24"/>
                <w:lang w:eastAsia="ko-KR"/>
              </w:rPr>
              <w:t>30</w:t>
            </w:r>
          </w:p>
        </w:tc>
      </w:tr>
      <w:tr w:rsidR="00C43365" w:rsidRPr="008D684C" w:rsidTr="002E5CF8">
        <w:trPr>
          <w:jc w:val="center"/>
        </w:trPr>
        <w:tc>
          <w:tcPr>
            <w:tcW w:w="3600" w:type="dxa"/>
            <w:shd w:val="clear" w:color="auto" w:fill="auto"/>
            <w:vAlign w:val="center"/>
          </w:tcPr>
          <w:p w:rsidR="00C43365" w:rsidRPr="008D684C" w:rsidRDefault="00C43365" w:rsidP="00D641A2">
            <w:pPr>
              <w:pStyle w:val="MDPI42tablebody"/>
              <w:spacing w:line="360" w:lineRule="auto"/>
              <w:jc w:val="left"/>
              <w:rPr>
                <w:rFonts w:ascii="Times New Roman" w:hAnsi="Times New Roman"/>
                <w:sz w:val="24"/>
                <w:szCs w:val="24"/>
              </w:rPr>
            </w:pPr>
            <w:r w:rsidRPr="008D684C">
              <w:rPr>
                <w:rFonts w:ascii="Times New Roman" w:hAnsi="Times New Roman"/>
                <w:sz w:val="24"/>
                <w:szCs w:val="24"/>
              </w:rPr>
              <w:t>Collision gas (</w:t>
            </w:r>
            <w:r w:rsidRPr="008D684C">
              <w:rPr>
                <w:rFonts w:ascii="Times New Roman" w:eastAsiaTheme="minorEastAsia" w:hAnsi="Times New Roman"/>
                <w:sz w:val="24"/>
                <w:szCs w:val="24"/>
                <w:lang w:eastAsia="ko-KR"/>
              </w:rPr>
              <w:t>psi)</w:t>
            </w:r>
          </w:p>
        </w:tc>
        <w:tc>
          <w:tcPr>
            <w:tcW w:w="1599" w:type="dxa"/>
            <w:shd w:val="clear" w:color="auto" w:fill="auto"/>
            <w:vAlign w:val="center"/>
          </w:tcPr>
          <w:p w:rsidR="00C43365" w:rsidRPr="008D684C" w:rsidRDefault="00C43365" w:rsidP="00D641A2">
            <w:pPr>
              <w:pStyle w:val="MDPI42tablebody"/>
              <w:spacing w:line="360" w:lineRule="auto"/>
              <w:rPr>
                <w:rFonts w:ascii="Times New Roman" w:eastAsiaTheme="minorEastAsia" w:hAnsi="Times New Roman"/>
                <w:sz w:val="24"/>
                <w:szCs w:val="24"/>
                <w:lang w:eastAsia="ko-KR"/>
              </w:rPr>
            </w:pPr>
            <w:r w:rsidRPr="008D684C">
              <w:rPr>
                <w:rFonts w:ascii="Times New Roman" w:eastAsiaTheme="minorEastAsia" w:hAnsi="Times New Roman"/>
                <w:sz w:val="24"/>
                <w:szCs w:val="24"/>
                <w:lang w:eastAsia="ko-KR"/>
              </w:rPr>
              <w:t>9</w:t>
            </w:r>
          </w:p>
        </w:tc>
        <w:tc>
          <w:tcPr>
            <w:tcW w:w="1599" w:type="dxa"/>
            <w:shd w:val="clear" w:color="auto" w:fill="auto"/>
            <w:vAlign w:val="center"/>
          </w:tcPr>
          <w:p w:rsidR="00C43365" w:rsidRPr="008D684C" w:rsidRDefault="00C43365" w:rsidP="00D641A2">
            <w:pPr>
              <w:pStyle w:val="MDPI42tablebody"/>
              <w:spacing w:line="360" w:lineRule="auto"/>
              <w:rPr>
                <w:rFonts w:ascii="Times New Roman" w:eastAsiaTheme="minorEastAsia" w:hAnsi="Times New Roman"/>
                <w:sz w:val="24"/>
                <w:szCs w:val="24"/>
                <w:lang w:eastAsia="ko-KR"/>
              </w:rPr>
            </w:pPr>
            <w:r w:rsidRPr="008D684C">
              <w:rPr>
                <w:rFonts w:ascii="Times New Roman" w:eastAsiaTheme="minorEastAsia" w:hAnsi="Times New Roman"/>
                <w:sz w:val="24"/>
                <w:szCs w:val="24"/>
                <w:lang w:eastAsia="ko-KR"/>
              </w:rPr>
              <w:t>9</w:t>
            </w:r>
          </w:p>
        </w:tc>
      </w:tr>
    </w:tbl>
    <w:p w:rsidR="00C43365" w:rsidRDefault="00C43365" w:rsidP="00AB198B">
      <w:pPr>
        <w:spacing w:after="160" w:line="240" w:lineRule="auto"/>
        <w:rPr>
          <w:rFonts w:cs="Times New Roman"/>
          <w:b/>
          <w:szCs w:val="24"/>
        </w:rPr>
      </w:pPr>
    </w:p>
    <w:p w:rsidR="00B4655E" w:rsidRPr="00B14917" w:rsidRDefault="00B4655E" w:rsidP="00AB198B">
      <w:pPr>
        <w:spacing w:after="160" w:line="240" w:lineRule="auto"/>
        <w:rPr>
          <w:color w:val="FF0000"/>
          <w:szCs w:val="24"/>
        </w:rPr>
      </w:pPr>
      <w:bookmarkStart w:id="0" w:name="_GoBack"/>
      <w:r w:rsidRPr="00B14917">
        <w:rPr>
          <w:b/>
          <w:color w:val="FF0000"/>
          <w:szCs w:val="24"/>
        </w:rPr>
        <w:t>Method S1. Preparation of simulated gastrointestinal solutions</w:t>
      </w:r>
    </w:p>
    <w:p w:rsidR="00B4655E" w:rsidRPr="00B14917" w:rsidRDefault="00B4655E" w:rsidP="00B4655E">
      <w:pPr>
        <w:rPr>
          <w:color w:val="FF0000"/>
          <w:szCs w:val="24"/>
        </w:rPr>
      </w:pPr>
      <w:r w:rsidRPr="00B14917">
        <w:rPr>
          <w:color w:val="FF0000"/>
          <w:szCs w:val="24"/>
        </w:rPr>
        <w:t xml:space="preserve">The simulated gastrointestinal solutions were made by using biorelevant powder, following </w:t>
      </w:r>
      <w:r w:rsidR="0066003C" w:rsidRPr="00B14917">
        <w:rPr>
          <w:color w:val="FF0000"/>
          <w:szCs w:val="24"/>
        </w:rPr>
        <w:t xml:space="preserve">the </w:t>
      </w:r>
      <w:r w:rsidRPr="00B14917">
        <w:rPr>
          <w:color w:val="FF0000"/>
          <w:szCs w:val="24"/>
        </w:rPr>
        <w:t xml:space="preserve">instructions of </w:t>
      </w:r>
      <w:r w:rsidR="0066003C" w:rsidRPr="00B14917">
        <w:rPr>
          <w:color w:val="FF0000"/>
          <w:szCs w:val="24"/>
        </w:rPr>
        <w:t xml:space="preserve">the </w:t>
      </w:r>
      <w:r w:rsidRPr="00B14917">
        <w:rPr>
          <w:color w:val="FF0000"/>
          <w:szCs w:val="24"/>
        </w:rPr>
        <w:t>producer. For blank fasted state simulated gastric buffer (FaSSGF), 2.0 g of sodium chloride (NaCl) was dissolved in 900 mL of filtrated water, and after modifying pH to 1.6 with hydrochloric acid (HCl), adding water to 1000 mL. For blank fasted state simulated intestinal buffer (FaSSIF), 0.105 g of sodium hydroxide (NaOH) pellets, 0.8510 g of monobasic sodium phosphate anhydrous (NaH</w:t>
      </w:r>
      <w:r w:rsidRPr="00B14917">
        <w:rPr>
          <w:color w:val="FF0000"/>
          <w:szCs w:val="24"/>
          <w:vertAlign w:val="subscript"/>
        </w:rPr>
        <w:t>2</w:t>
      </w:r>
      <w:r w:rsidRPr="00B14917">
        <w:rPr>
          <w:color w:val="FF0000"/>
          <w:szCs w:val="24"/>
        </w:rPr>
        <w:t>PO</w:t>
      </w:r>
      <w:r w:rsidRPr="00B14917">
        <w:rPr>
          <w:color w:val="FF0000"/>
          <w:szCs w:val="24"/>
          <w:vertAlign w:val="subscript"/>
        </w:rPr>
        <w:t>4</w:t>
      </w:r>
      <w:r w:rsidRPr="00B14917">
        <w:rPr>
          <w:color w:val="FF0000"/>
          <w:szCs w:val="24"/>
        </w:rPr>
        <w:t>), and 1.547 g of NaCl were dissolved in 230 mL of water, and after modifying the pH to 6.5 with NaOH or HCl, adding water to 250 mL. For blank fed state simulated intestinal buffer (FeSSIF), 0.202 g of NaOH pellets, 0.433 g of glacial acetic acid (CH</w:t>
      </w:r>
      <w:r w:rsidRPr="00B14917">
        <w:rPr>
          <w:color w:val="FF0000"/>
          <w:szCs w:val="24"/>
          <w:vertAlign w:val="subscript"/>
        </w:rPr>
        <w:t>3</w:t>
      </w:r>
      <w:r w:rsidR="00526BD4" w:rsidRPr="00B14917">
        <w:rPr>
          <w:color w:val="FF0000"/>
          <w:szCs w:val="24"/>
        </w:rPr>
        <w:t>COOH), and 0.594 g of NaC</w:t>
      </w:r>
      <w:r w:rsidR="00526BD4" w:rsidRPr="00B14917">
        <w:rPr>
          <w:rFonts w:hint="eastAsia"/>
          <w:color w:val="FF0000"/>
          <w:szCs w:val="24"/>
        </w:rPr>
        <w:t>l</w:t>
      </w:r>
      <w:r w:rsidRPr="00B14917">
        <w:rPr>
          <w:color w:val="FF0000"/>
          <w:szCs w:val="24"/>
        </w:rPr>
        <w:t xml:space="preserve"> were dissolved in 45 mL of water, modifying pH to 5.0 with NaOH or HCl, adding water to </w:t>
      </w:r>
      <w:r w:rsidR="00526BD4" w:rsidRPr="00B14917">
        <w:rPr>
          <w:color w:val="FF0000"/>
          <w:szCs w:val="24"/>
        </w:rPr>
        <w:t xml:space="preserve">a </w:t>
      </w:r>
      <w:r w:rsidRPr="00B14917">
        <w:rPr>
          <w:color w:val="FF0000"/>
          <w:szCs w:val="24"/>
        </w:rPr>
        <w:t>volume of 50 mL. Finally, FaSSGF, FaSSIF and FeSSIF solution were freshly made on the day of studies by dispensing biorelevant powder</w:t>
      </w:r>
      <w:r w:rsidR="00230526" w:rsidRPr="00B14917">
        <w:rPr>
          <w:color w:val="FF0000"/>
          <w:szCs w:val="24"/>
        </w:rPr>
        <w:t xml:space="preserve"> (Biorelevant, London, United Kingdom)</w:t>
      </w:r>
      <w:r w:rsidRPr="00B14917">
        <w:rPr>
          <w:color w:val="FF0000"/>
          <w:szCs w:val="24"/>
        </w:rPr>
        <w:t xml:space="preserve"> into the prepared blank fluids. FaSSGF solution was made by adding 0.0597 g of biorelevant powder to 1000 mL of blank FaSSGF buffer. FaSSIF solution was made by adding 0.5600 g of biorelevant powder to 250 mL of blank FaSSIF buffer. FeSSIF solution was prepared by adding 0.5510 g of biorelevant powder to 50 mL of blank FeSSIF buffer. </w:t>
      </w:r>
      <w:r w:rsidR="00526BD4" w:rsidRPr="00B14917">
        <w:rPr>
          <w:color w:val="FF0000"/>
          <w:szCs w:val="24"/>
        </w:rPr>
        <w:t>The c</w:t>
      </w:r>
      <w:r w:rsidRPr="00B14917">
        <w:rPr>
          <w:color w:val="FF0000"/>
          <w:szCs w:val="24"/>
        </w:rPr>
        <w:t>omponents of each simulated fluid were summarized in table S2.</w:t>
      </w:r>
    </w:p>
    <w:p w:rsidR="00B4655E" w:rsidRPr="00B14917" w:rsidRDefault="00B4655E" w:rsidP="00AB198B">
      <w:pPr>
        <w:spacing w:after="160" w:line="240" w:lineRule="auto"/>
        <w:rPr>
          <w:color w:val="FF0000"/>
          <w:szCs w:val="24"/>
        </w:rPr>
      </w:pPr>
      <w:r w:rsidRPr="00B14917">
        <w:rPr>
          <w:b/>
          <w:color w:val="FF0000"/>
          <w:szCs w:val="24"/>
        </w:rPr>
        <w:lastRenderedPageBreak/>
        <w:t>Table S2.</w:t>
      </w:r>
      <w:r w:rsidRPr="00B14917">
        <w:rPr>
          <w:color w:val="FF0000"/>
          <w:szCs w:val="24"/>
        </w:rPr>
        <w:t xml:space="preserve"> Components of simulated gastrointestinal solutions</w:t>
      </w:r>
    </w:p>
    <w:tbl>
      <w:tblPr>
        <w:tblW w:w="7938" w:type="dxa"/>
        <w:jc w:val="center"/>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2835"/>
        <w:gridCol w:w="1701"/>
        <w:gridCol w:w="1701"/>
        <w:gridCol w:w="1701"/>
      </w:tblGrid>
      <w:tr w:rsidR="00B14917" w:rsidRPr="00B14917" w:rsidTr="002E5CF8">
        <w:trPr>
          <w:trHeight w:val="330"/>
          <w:jc w:val="center"/>
        </w:trPr>
        <w:tc>
          <w:tcPr>
            <w:tcW w:w="2835" w:type="dxa"/>
            <w:tcBorders>
              <w:top w:val="single" w:sz="4" w:space="0" w:color="auto"/>
              <w:bottom w:val="single" w:sz="4" w:space="0" w:color="auto"/>
            </w:tcBorders>
            <w:shd w:val="clear" w:color="auto" w:fill="auto"/>
            <w:noWrap/>
            <w:vAlign w:val="bottom"/>
            <w:hideMark/>
          </w:tcPr>
          <w:p w:rsidR="00B4655E" w:rsidRPr="00B14917" w:rsidRDefault="00B4655E" w:rsidP="00B4655E">
            <w:pPr>
              <w:jc w:val="center"/>
              <w:rPr>
                <w:rFonts w:eastAsia="맑은 고딕" w:cs="Times New Roman"/>
                <w:b/>
                <w:color w:val="FF0000"/>
                <w:szCs w:val="24"/>
              </w:rPr>
            </w:pPr>
            <w:r w:rsidRPr="00B14917">
              <w:rPr>
                <w:rFonts w:eastAsia="맑은 고딕" w:cs="Times New Roman"/>
                <w:b/>
                <w:color w:val="FF0000"/>
                <w:szCs w:val="24"/>
              </w:rPr>
              <w:t>Components</w:t>
            </w:r>
          </w:p>
        </w:tc>
        <w:tc>
          <w:tcPr>
            <w:tcW w:w="1701" w:type="dxa"/>
            <w:tcBorders>
              <w:top w:val="single" w:sz="4" w:space="0" w:color="auto"/>
              <w:bottom w:val="single" w:sz="4" w:space="0" w:color="auto"/>
            </w:tcBorders>
            <w:shd w:val="clear" w:color="auto" w:fill="auto"/>
            <w:noWrap/>
            <w:vAlign w:val="bottom"/>
            <w:hideMark/>
          </w:tcPr>
          <w:p w:rsidR="00B4655E" w:rsidRPr="00B14917" w:rsidRDefault="00B4655E" w:rsidP="00B4655E">
            <w:pPr>
              <w:jc w:val="center"/>
              <w:rPr>
                <w:rFonts w:eastAsia="맑은 고딕" w:cs="Times New Roman"/>
                <w:b/>
                <w:color w:val="FF0000"/>
                <w:szCs w:val="24"/>
              </w:rPr>
            </w:pPr>
            <w:r w:rsidRPr="00B14917">
              <w:rPr>
                <w:rFonts w:eastAsia="맑은 고딕" w:cs="Times New Roman"/>
                <w:b/>
                <w:color w:val="FF0000"/>
                <w:szCs w:val="24"/>
              </w:rPr>
              <w:t>FaSSGF</w:t>
            </w:r>
          </w:p>
        </w:tc>
        <w:tc>
          <w:tcPr>
            <w:tcW w:w="1701" w:type="dxa"/>
            <w:tcBorders>
              <w:top w:val="single" w:sz="4" w:space="0" w:color="auto"/>
              <w:bottom w:val="single" w:sz="4" w:space="0" w:color="auto"/>
            </w:tcBorders>
            <w:shd w:val="clear" w:color="auto" w:fill="auto"/>
            <w:noWrap/>
            <w:vAlign w:val="bottom"/>
            <w:hideMark/>
          </w:tcPr>
          <w:p w:rsidR="00B4655E" w:rsidRPr="00B14917" w:rsidRDefault="00B4655E" w:rsidP="00B4655E">
            <w:pPr>
              <w:jc w:val="center"/>
              <w:rPr>
                <w:rFonts w:eastAsia="맑은 고딕" w:cs="Times New Roman"/>
                <w:b/>
                <w:color w:val="FF0000"/>
                <w:szCs w:val="24"/>
              </w:rPr>
            </w:pPr>
            <w:r w:rsidRPr="00B14917">
              <w:rPr>
                <w:rFonts w:eastAsia="맑은 고딕" w:cs="Times New Roman"/>
                <w:b/>
                <w:color w:val="FF0000"/>
                <w:szCs w:val="24"/>
              </w:rPr>
              <w:t>FaSSIF</w:t>
            </w:r>
          </w:p>
        </w:tc>
        <w:tc>
          <w:tcPr>
            <w:tcW w:w="1701" w:type="dxa"/>
            <w:tcBorders>
              <w:top w:val="single" w:sz="4" w:space="0" w:color="auto"/>
              <w:bottom w:val="single" w:sz="4" w:space="0" w:color="auto"/>
            </w:tcBorders>
            <w:shd w:val="clear" w:color="auto" w:fill="auto"/>
            <w:noWrap/>
            <w:vAlign w:val="bottom"/>
            <w:hideMark/>
          </w:tcPr>
          <w:p w:rsidR="00B4655E" w:rsidRPr="00B14917" w:rsidRDefault="00B4655E" w:rsidP="00B4655E">
            <w:pPr>
              <w:jc w:val="center"/>
              <w:rPr>
                <w:rFonts w:eastAsia="맑은 고딕" w:cs="Times New Roman"/>
                <w:b/>
                <w:color w:val="FF0000"/>
                <w:szCs w:val="24"/>
              </w:rPr>
            </w:pPr>
            <w:r w:rsidRPr="00B14917">
              <w:rPr>
                <w:rFonts w:eastAsia="맑은 고딕" w:cs="Times New Roman"/>
                <w:b/>
                <w:color w:val="FF0000"/>
                <w:szCs w:val="24"/>
              </w:rPr>
              <w:t>FeSSIF</w:t>
            </w:r>
          </w:p>
        </w:tc>
      </w:tr>
      <w:tr w:rsidR="00B14917" w:rsidRPr="00B14917" w:rsidTr="002E5CF8">
        <w:trPr>
          <w:trHeight w:val="330"/>
          <w:jc w:val="center"/>
        </w:trPr>
        <w:tc>
          <w:tcPr>
            <w:tcW w:w="2835" w:type="dxa"/>
            <w:tcBorders>
              <w:top w:val="single" w:sz="4" w:space="0" w:color="auto"/>
            </w:tcBorders>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NaCl (g)</w:t>
            </w:r>
          </w:p>
        </w:tc>
        <w:tc>
          <w:tcPr>
            <w:tcW w:w="1701" w:type="dxa"/>
            <w:tcBorders>
              <w:top w:val="single" w:sz="4" w:space="0" w:color="auto"/>
            </w:tcBorders>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1.999</w:t>
            </w:r>
          </w:p>
        </w:tc>
        <w:tc>
          <w:tcPr>
            <w:tcW w:w="1701" w:type="dxa"/>
            <w:tcBorders>
              <w:top w:val="single" w:sz="4" w:space="0" w:color="auto"/>
            </w:tcBorders>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1.547</w:t>
            </w:r>
          </w:p>
        </w:tc>
        <w:tc>
          <w:tcPr>
            <w:tcW w:w="1701" w:type="dxa"/>
            <w:tcBorders>
              <w:top w:val="single" w:sz="4" w:space="0" w:color="auto"/>
            </w:tcBorders>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0.594</w:t>
            </w:r>
          </w:p>
        </w:tc>
      </w:tr>
      <w:tr w:rsidR="00B14917" w:rsidRPr="00B14917" w:rsidTr="002E5CF8">
        <w:trPr>
          <w:trHeight w:val="330"/>
          <w:jc w:val="center"/>
        </w:trPr>
        <w:tc>
          <w:tcPr>
            <w:tcW w:w="2835" w:type="dxa"/>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NaOH  (g)</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0.105</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0.202</w:t>
            </w:r>
          </w:p>
        </w:tc>
      </w:tr>
      <w:tr w:rsidR="00B14917" w:rsidRPr="00B14917" w:rsidTr="002E5CF8">
        <w:trPr>
          <w:trHeight w:val="330"/>
          <w:jc w:val="center"/>
        </w:trPr>
        <w:tc>
          <w:tcPr>
            <w:tcW w:w="2835" w:type="dxa"/>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NaH</w:t>
            </w:r>
            <w:r w:rsidRPr="00B14917">
              <w:rPr>
                <w:rFonts w:eastAsia="맑은 고딕" w:cs="Times New Roman"/>
                <w:color w:val="FF0000"/>
                <w:szCs w:val="24"/>
                <w:vertAlign w:val="subscript"/>
              </w:rPr>
              <w:t>2</w:t>
            </w:r>
            <w:r w:rsidRPr="00B14917">
              <w:rPr>
                <w:rFonts w:eastAsia="맑은 고딕" w:cs="Times New Roman"/>
                <w:color w:val="FF0000"/>
                <w:szCs w:val="24"/>
              </w:rPr>
              <w:t>PO</w:t>
            </w:r>
            <w:r w:rsidRPr="00B14917">
              <w:rPr>
                <w:rFonts w:eastAsia="맑은 고딕" w:cs="Times New Roman"/>
                <w:color w:val="FF0000"/>
                <w:szCs w:val="24"/>
                <w:vertAlign w:val="subscript"/>
              </w:rPr>
              <w:t>4</w:t>
            </w:r>
            <w:r w:rsidRPr="00B14917">
              <w:rPr>
                <w:rFonts w:eastAsia="맑은 고딕" w:cs="Times New Roman"/>
                <w:color w:val="FF0000"/>
                <w:szCs w:val="24"/>
              </w:rPr>
              <w:t xml:space="preserve">  (g)</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0.851</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p>
        </w:tc>
      </w:tr>
      <w:tr w:rsidR="00B14917" w:rsidRPr="00B14917" w:rsidTr="002E5CF8">
        <w:trPr>
          <w:trHeight w:val="330"/>
          <w:jc w:val="center"/>
        </w:trPr>
        <w:tc>
          <w:tcPr>
            <w:tcW w:w="2835" w:type="dxa"/>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CH</w:t>
            </w:r>
            <w:r w:rsidRPr="00B14917">
              <w:rPr>
                <w:rFonts w:eastAsia="맑은 고딕" w:cs="Times New Roman"/>
                <w:color w:val="FF0000"/>
                <w:szCs w:val="24"/>
                <w:vertAlign w:val="subscript"/>
              </w:rPr>
              <w:t>3</w:t>
            </w:r>
            <w:r w:rsidRPr="00B14917">
              <w:rPr>
                <w:rFonts w:eastAsia="맑은 고딕" w:cs="Times New Roman"/>
                <w:color w:val="FF0000"/>
                <w:szCs w:val="24"/>
              </w:rPr>
              <w:t>COOH  (g)</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0.433</w:t>
            </w:r>
          </w:p>
        </w:tc>
      </w:tr>
      <w:tr w:rsidR="00B14917" w:rsidRPr="00B14917" w:rsidTr="002E5CF8">
        <w:trPr>
          <w:trHeight w:val="330"/>
          <w:jc w:val="center"/>
        </w:trPr>
        <w:tc>
          <w:tcPr>
            <w:tcW w:w="2835" w:type="dxa"/>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 xml:space="preserve">pH </w:t>
            </w:r>
            <w:r w:rsidR="00230526" w:rsidRPr="00B14917">
              <w:rPr>
                <w:rFonts w:eastAsia="맑은 고딕" w:cs="Times New Roman"/>
                <w:color w:val="FF0000"/>
                <w:szCs w:val="24"/>
              </w:rPr>
              <w:t>adjustment to</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1.6</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6.5</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5</w:t>
            </w:r>
          </w:p>
        </w:tc>
      </w:tr>
      <w:tr w:rsidR="00B14917" w:rsidRPr="00B14917" w:rsidTr="002E5CF8">
        <w:trPr>
          <w:trHeight w:val="330"/>
          <w:jc w:val="center"/>
        </w:trPr>
        <w:tc>
          <w:tcPr>
            <w:tcW w:w="2835" w:type="dxa"/>
            <w:shd w:val="clear" w:color="auto" w:fill="auto"/>
            <w:noWrap/>
            <w:vAlign w:val="bottom"/>
            <w:hideMark/>
          </w:tcPr>
          <w:p w:rsidR="00B4655E" w:rsidRPr="00B14917" w:rsidRDefault="00230526" w:rsidP="00B4655E">
            <w:pPr>
              <w:jc w:val="left"/>
              <w:rPr>
                <w:rFonts w:eastAsia="맑은 고딕" w:cs="Times New Roman"/>
                <w:color w:val="FF0000"/>
                <w:szCs w:val="24"/>
              </w:rPr>
            </w:pPr>
            <w:r w:rsidRPr="00B14917">
              <w:rPr>
                <w:rFonts w:eastAsia="맑은 고딕" w:cs="Times New Roman"/>
                <w:color w:val="FF0000"/>
                <w:szCs w:val="24"/>
              </w:rPr>
              <w:t>Bior</w:t>
            </w:r>
            <w:r w:rsidR="00B4655E" w:rsidRPr="00B14917">
              <w:rPr>
                <w:rFonts w:eastAsia="맑은 고딕" w:cs="Times New Roman"/>
                <w:color w:val="FF0000"/>
                <w:szCs w:val="24"/>
              </w:rPr>
              <w:t>elevant powder (g)</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0.0597</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0.56</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0.551</w:t>
            </w:r>
          </w:p>
        </w:tc>
      </w:tr>
      <w:tr w:rsidR="00B14917" w:rsidRPr="00B14917" w:rsidTr="002E5CF8">
        <w:trPr>
          <w:trHeight w:val="330"/>
          <w:jc w:val="center"/>
        </w:trPr>
        <w:tc>
          <w:tcPr>
            <w:tcW w:w="2835" w:type="dxa"/>
            <w:shd w:val="clear" w:color="auto" w:fill="auto"/>
            <w:noWrap/>
            <w:vAlign w:val="bottom"/>
            <w:hideMark/>
          </w:tcPr>
          <w:p w:rsidR="00B4655E" w:rsidRPr="00B14917" w:rsidRDefault="00B4655E" w:rsidP="00B4655E">
            <w:pPr>
              <w:jc w:val="left"/>
              <w:rPr>
                <w:rFonts w:eastAsia="맑은 고딕" w:cs="Times New Roman"/>
                <w:color w:val="FF0000"/>
                <w:szCs w:val="24"/>
              </w:rPr>
            </w:pPr>
            <w:r w:rsidRPr="00B14917">
              <w:rPr>
                <w:rFonts w:eastAsia="맑은 고딕" w:cs="Times New Roman"/>
                <w:color w:val="FF0000"/>
                <w:szCs w:val="24"/>
              </w:rPr>
              <w:t>Total volume (L)</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1</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0.25</w:t>
            </w:r>
          </w:p>
        </w:tc>
        <w:tc>
          <w:tcPr>
            <w:tcW w:w="1701" w:type="dxa"/>
            <w:shd w:val="clear" w:color="auto" w:fill="auto"/>
            <w:noWrap/>
            <w:vAlign w:val="bottom"/>
            <w:hideMark/>
          </w:tcPr>
          <w:p w:rsidR="00B4655E" w:rsidRPr="00B14917" w:rsidRDefault="00B4655E" w:rsidP="00B4655E">
            <w:pPr>
              <w:jc w:val="center"/>
              <w:rPr>
                <w:rFonts w:eastAsia="맑은 고딕" w:cs="Times New Roman"/>
                <w:color w:val="FF0000"/>
                <w:szCs w:val="24"/>
              </w:rPr>
            </w:pPr>
            <w:r w:rsidRPr="00B14917">
              <w:rPr>
                <w:rFonts w:eastAsia="맑은 고딕" w:cs="Times New Roman"/>
                <w:color w:val="FF0000"/>
                <w:szCs w:val="24"/>
              </w:rPr>
              <w:t>0.05</w:t>
            </w:r>
          </w:p>
        </w:tc>
      </w:tr>
      <w:bookmarkEnd w:id="0"/>
    </w:tbl>
    <w:p w:rsidR="00B4655E" w:rsidRPr="00B4655E" w:rsidRDefault="00B4655E" w:rsidP="00AB198B">
      <w:pPr>
        <w:spacing w:after="160" w:line="240" w:lineRule="auto"/>
        <w:rPr>
          <w:szCs w:val="24"/>
        </w:rPr>
      </w:pPr>
    </w:p>
    <w:p w:rsidR="00AB198B" w:rsidRPr="00BF051F" w:rsidRDefault="00C43365" w:rsidP="00AB198B">
      <w:pPr>
        <w:spacing w:after="160" w:line="240" w:lineRule="auto"/>
        <w:rPr>
          <w:rFonts w:cs="Times New Roman"/>
          <w:b/>
          <w:bCs/>
          <w:szCs w:val="24"/>
        </w:rPr>
      </w:pPr>
      <w:r>
        <w:rPr>
          <w:rFonts w:cs="Times New Roman"/>
          <w:b/>
          <w:szCs w:val="24"/>
        </w:rPr>
        <w:t>Table S</w:t>
      </w:r>
      <w:r w:rsidR="00B4655E">
        <w:rPr>
          <w:rFonts w:cs="Times New Roman" w:hint="eastAsia"/>
          <w:b/>
          <w:szCs w:val="24"/>
        </w:rPr>
        <w:t>3</w:t>
      </w:r>
      <w:r w:rsidR="00AB198B" w:rsidRPr="00BF051F">
        <w:rPr>
          <w:rFonts w:cs="Times New Roman"/>
          <w:b/>
          <w:szCs w:val="24"/>
        </w:rPr>
        <w:t>.</w:t>
      </w:r>
      <w:r w:rsidR="00AB198B" w:rsidRPr="00BF051F">
        <w:rPr>
          <w:rFonts w:cs="Times New Roman"/>
          <w:szCs w:val="24"/>
        </w:rPr>
        <w:t xml:space="preserve">  List of glucuronosyltransferase inhibitors us</w:t>
      </w:r>
      <w:r w:rsidR="00AB198B">
        <w:rPr>
          <w:rFonts w:cs="Times New Roman"/>
          <w:szCs w:val="24"/>
        </w:rPr>
        <w:t>ed</w:t>
      </w:r>
      <w:r w:rsidR="00AB198B" w:rsidRPr="00BF051F">
        <w:rPr>
          <w:rFonts w:cs="Times New Roman"/>
          <w:szCs w:val="24"/>
        </w:rPr>
        <w:t xml:space="preserve"> for UGT phenotyping study.</w:t>
      </w:r>
      <w:r w:rsidR="00AB198B" w:rsidRPr="00BF051F">
        <w:rPr>
          <w:rFonts w:cs="Times New Roman"/>
          <w:b/>
          <w:bCs/>
          <w:szCs w:val="24"/>
        </w:rPr>
        <w:t xml:space="preserve"> </w:t>
      </w:r>
    </w:p>
    <w:tbl>
      <w:tblPr>
        <w:tblW w:w="8794" w:type="dxa"/>
        <w:jc w:val="center"/>
        <w:tblLook w:val="04A0" w:firstRow="1" w:lastRow="0" w:firstColumn="1" w:lastColumn="0" w:noHBand="0" w:noVBand="1"/>
      </w:tblPr>
      <w:tblGrid>
        <w:gridCol w:w="1940"/>
        <w:gridCol w:w="1893"/>
        <w:gridCol w:w="2409"/>
        <w:gridCol w:w="2552"/>
      </w:tblGrid>
      <w:tr w:rsidR="0050674B" w:rsidRPr="00BF051F" w:rsidTr="002E5CF8">
        <w:trPr>
          <w:trHeight w:val="144"/>
          <w:jc w:val="center"/>
        </w:trPr>
        <w:tc>
          <w:tcPr>
            <w:tcW w:w="1940" w:type="dxa"/>
            <w:tcBorders>
              <w:top w:val="single" w:sz="4" w:space="0" w:color="auto"/>
              <w:bottom w:val="single" w:sz="4" w:space="0" w:color="auto"/>
            </w:tcBorders>
            <w:shd w:val="clear" w:color="auto" w:fill="auto"/>
            <w:vAlign w:val="center"/>
            <w:hideMark/>
          </w:tcPr>
          <w:p w:rsidR="0050674B" w:rsidRPr="00BF051F" w:rsidRDefault="0050674B" w:rsidP="005F642F">
            <w:pPr>
              <w:jc w:val="center"/>
              <w:rPr>
                <w:rFonts w:eastAsia="Times New Roman" w:cs="Times New Roman"/>
                <w:b/>
                <w:bCs/>
                <w:color w:val="000000"/>
                <w:sz w:val="23"/>
                <w:szCs w:val="23"/>
              </w:rPr>
            </w:pPr>
            <w:r w:rsidRPr="00BF051F">
              <w:rPr>
                <w:rFonts w:eastAsia="Times New Roman" w:cs="Times New Roman"/>
                <w:b/>
                <w:bCs/>
                <w:color w:val="000000"/>
                <w:sz w:val="23"/>
                <w:szCs w:val="23"/>
              </w:rPr>
              <w:t>Substrate</w:t>
            </w:r>
          </w:p>
        </w:tc>
        <w:tc>
          <w:tcPr>
            <w:tcW w:w="1893" w:type="dxa"/>
            <w:tcBorders>
              <w:top w:val="single" w:sz="4" w:space="0" w:color="auto"/>
              <w:bottom w:val="single" w:sz="4" w:space="0" w:color="auto"/>
            </w:tcBorders>
            <w:shd w:val="clear" w:color="auto" w:fill="auto"/>
            <w:vAlign w:val="center"/>
            <w:hideMark/>
          </w:tcPr>
          <w:p w:rsidR="0050674B" w:rsidRPr="00BF051F" w:rsidRDefault="0050674B" w:rsidP="005F642F">
            <w:pPr>
              <w:jc w:val="center"/>
              <w:rPr>
                <w:rFonts w:eastAsia="Times New Roman" w:cs="Times New Roman"/>
                <w:b/>
                <w:bCs/>
                <w:color w:val="000000"/>
                <w:sz w:val="23"/>
                <w:szCs w:val="23"/>
              </w:rPr>
            </w:pPr>
            <w:r w:rsidRPr="00BF051F">
              <w:rPr>
                <w:rFonts w:eastAsia="Times New Roman" w:cs="Times New Roman"/>
                <w:b/>
                <w:bCs/>
                <w:color w:val="000000"/>
                <w:sz w:val="23"/>
                <w:szCs w:val="23"/>
              </w:rPr>
              <w:t>UGT types</w:t>
            </w:r>
          </w:p>
        </w:tc>
        <w:tc>
          <w:tcPr>
            <w:tcW w:w="2409" w:type="dxa"/>
            <w:tcBorders>
              <w:top w:val="single" w:sz="4" w:space="0" w:color="auto"/>
              <w:bottom w:val="single" w:sz="4" w:space="0" w:color="auto"/>
            </w:tcBorders>
            <w:shd w:val="clear" w:color="auto" w:fill="auto"/>
            <w:noWrap/>
            <w:vAlign w:val="center"/>
            <w:hideMark/>
          </w:tcPr>
          <w:p w:rsidR="0050674B" w:rsidRPr="00BF051F" w:rsidRDefault="0050674B" w:rsidP="005F642F">
            <w:pPr>
              <w:jc w:val="center"/>
              <w:rPr>
                <w:rFonts w:eastAsia="Times New Roman" w:cs="Times New Roman"/>
                <w:b/>
                <w:bCs/>
                <w:color w:val="000000"/>
                <w:sz w:val="23"/>
                <w:szCs w:val="23"/>
              </w:rPr>
            </w:pPr>
            <w:r w:rsidRPr="00BF051F">
              <w:rPr>
                <w:rFonts w:eastAsia="Times New Roman" w:cs="Times New Roman"/>
                <w:b/>
                <w:bCs/>
                <w:color w:val="000000"/>
                <w:sz w:val="23"/>
                <w:szCs w:val="23"/>
              </w:rPr>
              <w:t>Inhibitor</w:t>
            </w:r>
          </w:p>
        </w:tc>
        <w:tc>
          <w:tcPr>
            <w:tcW w:w="2552" w:type="dxa"/>
            <w:tcBorders>
              <w:top w:val="single" w:sz="4" w:space="0" w:color="auto"/>
              <w:bottom w:val="single" w:sz="4" w:space="0" w:color="auto"/>
            </w:tcBorders>
            <w:shd w:val="clear" w:color="auto" w:fill="auto"/>
            <w:noWrap/>
            <w:vAlign w:val="center"/>
            <w:hideMark/>
          </w:tcPr>
          <w:p w:rsidR="0050674B" w:rsidRPr="00BF051F" w:rsidRDefault="0050674B" w:rsidP="005F642F">
            <w:pPr>
              <w:jc w:val="center"/>
              <w:rPr>
                <w:rFonts w:eastAsia="Times New Roman" w:cs="Times New Roman"/>
                <w:b/>
                <w:bCs/>
                <w:color w:val="000000"/>
                <w:sz w:val="23"/>
                <w:szCs w:val="23"/>
              </w:rPr>
            </w:pPr>
            <w:r w:rsidRPr="00BF051F">
              <w:rPr>
                <w:rFonts w:eastAsia="Times New Roman" w:cs="Times New Roman"/>
                <w:b/>
                <w:bCs/>
                <w:color w:val="000000"/>
                <w:sz w:val="23"/>
                <w:szCs w:val="23"/>
              </w:rPr>
              <w:t>Final concentration</w:t>
            </w:r>
          </w:p>
        </w:tc>
      </w:tr>
      <w:tr w:rsidR="00D641A2" w:rsidRPr="00BF051F" w:rsidTr="002E5CF8">
        <w:trPr>
          <w:trHeight w:val="144"/>
          <w:jc w:val="center"/>
        </w:trPr>
        <w:tc>
          <w:tcPr>
            <w:tcW w:w="1940" w:type="dxa"/>
            <w:vMerge w:val="restart"/>
            <w:tcBorders>
              <w:top w:val="single" w:sz="4" w:space="0" w:color="auto"/>
            </w:tcBorders>
            <w:shd w:val="clear" w:color="auto" w:fill="auto"/>
            <w:vAlign w:val="center"/>
            <w:hideMark/>
          </w:tcPr>
          <w:p w:rsidR="00D641A2" w:rsidRPr="00BF051F" w:rsidRDefault="0050674B" w:rsidP="0050674B">
            <w:pPr>
              <w:jc w:val="center"/>
              <w:rPr>
                <w:rFonts w:eastAsia="Times New Roman" w:cs="Times New Roman"/>
                <w:color w:val="000000"/>
                <w:szCs w:val="24"/>
              </w:rPr>
            </w:pPr>
            <w:r>
              <w:rPr>
                <w:rFonts w:eastAsia="Times New Roman" w:cs="Times New Roman"/>
                <w:color w:val="000000"/>
                <w:szCs w:val="24"/>
              </w:rPr>
              <w:t>GSK-650394</w:t>
            </w:r>
          </w:p>
        </w:tc>
        <w:tc>
          <w:tcPr>
            <w:tcW w:w="1893" w:type="dxa"/>
            <w:tcBorders>
              <w:top w:val="single" w:sz="4"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1A1</w:t>
            </w:r>
          </w:p>
        </w:tc>
        <w:tc>
          <w:tcPr>
            <w:tcW w:w="2409" w:type="dxa"/>
            <w:tcBorders>
              <w:top w:val="single" w:sz="4"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Atazanavir </w:t>
            </w:r>
          </w:p>
        </w:tc>
        <w:tc>
          <w:tcPr>
            <w:tcW w:w="2552" w:type="dxa"/>
            <w:tcBorders>
              <w:top w:val="single" w:sz="4"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50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1A3</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Celastrol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50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1A4</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Hecogenin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10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1A6</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Troglitazone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50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1A9</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Niflumic acid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50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UGT 2B7</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 xml:space="preserve">Mefenamic acid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50 µM</w:t>
            </w:r>
            <w:r w:rsidR="00E57852">
              <w:rPr>
                <w:rFonts w:eastAsia="Times New Roman" w:cs="Times New Roman"/>
                <w:color w:val="000000"/>
                <w:szCs w:val="24"/>
              </w:rPr>
              <w:t xml:space="preserve"> and </w:t>
            </w:r>
            <w:r w:rsidR="00E57852" w:rsidRPr="00BF051F">
              <w:rPr>
                <w:rFonts w:eastAsia="Times New Roman" w:cs="Times New Roman"/>
                <w:color w:val="000000"/>
                <w:szCs w:val="24"/>
              </w:rPr>
              <w:t>200 µM</w:t>
            </w:r>
          </w:p>
        </w:tc>
      </w:tr>
      <w:tr w:rsidR="00D641A2" w:rsidRPr="00BF051F" w:rsidTr="002E5CF8">
        <w:trPr>
          <w:trHeight w:val="144"/>
          <w:jc w:val="center"/>
        </w:trPr>
        <w:tc>
          <w:tcPr>
            <w:tcW w:w="1940" w:type="dxa"/>
            <w:vMerge/>
            <w:vAlign w:val="center"/>
            <w:hideMark/>
          </w:tcPr>
          <w:p w:rsidR="00D641A2" w:rsidRPr="00BF051F" w:rsidRDefault="00D641A2" w:rsidP="005F642F">
            <w:pPr>
              <w:jc w:val="center"/>
              <w:rPr>
                <w:rFonts w:eastAsia="Times New Roman" w:cs="Times New Roman"/>
                <w:color w:val="000000"/>
                <w:szCs w:val="24"/>
              </w:rPr>
            </w:pPr>
          </w:p>
        </w:tc>
        <w:tc>
          <w:tcPr>
            <w:tcW w:w="1893"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Non-selective</w:t>
            </w:r>
          </w:p>
        </w:tc>
        <w:tc>
          <w:tcPr>
            <w:tcW w:w="2409"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Quinidine</w:t>
            </w:r>
            <w:r>
              <w:rPr>
                <w:rFonts w:eastAsia="Times New Roman" w:cs="Times New Roman"/>
                <w:color w:val="000000"/>
                <w:szCs w:val="24"/>
              </w:rPr>
              <w:t xml:space="preserve"> </w:t>
            </w:r>
          </w:p>
        </w:tc>
        <w:tc>
          <w:tcPr>
            <w:tcW w:w="2552" w:type="dxa"/>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200 µM</w:t>
            </w:r>
            <w:r w:rsidR="00E57852">
              <w:rPr>
                <w:rFonts w:eastAsia="Times New Roman" w:cs="Times New Roman"/>
                <w:color w:val="000000"/>
                <w:szCs w:val="24"/>
              </w:rPr>
              <w:t xml:space="preserve"> and 1 m</w:t>
            </w:r>
            <w:r w:rsidR="00E57852" w:rsidRPr="00BF051F">
              <w:rPr>
                <w:rFonts w:eastAsia="Times New Roman" w:cs="Times New Roman"/>
                <w:color w:val="000000"/>
                <w:szCs w:val="24"/>
              </w:rPr>
              <w:t>M</w:t>
            </w:r>
          </w:p>
        </w:tc>
      </w:tr>
      <w:tr w:rsidR="00D641A2" w:rsidRPr="00BF051F" w:rsidTr="002E5CF8">
        <w:trPr>
          <w:trHeight w:val="144"/>
          <w:jc w:val="center"/>
        </w:trPr>
        <w:tc>
          <w:tcPr>
            <w:tcW w:w="1940" w:type="dxa"/>
            <w:vMerge/>
            <w:tcBorders>
              <w:bottom w:val="single" w:sz="8" w:space="0" w:color="auto"/>
            </w:tcBorders>
            <w:vAlign w:val="center"/>
            <w:hideMark/>
          </w:tcPr>
          <w:p w:rsidR="00D641A2" w:rsidRPr="00BF051F" w:rsidRDefault="00D641A2" w:rsidP="005F642F">
            <w:pPr>
              <w:jc w:val="center"/>
              <w:rPr>
                <w:rFonts w:eastAsia="Times New Roman" w:cs="Times New Roman"/>
                <w:color w:val="000000"/>
                <w:szCs w:val="24"/>
              </w:rPr>
            </w:pPr>
          </w:p>
        </w:tc>
        <w:tc>
          <w:tcPr>
            <w:tcW w:w="1893" w:type="dxa"/>
            <w:tcBorders>
              <w:bottom w:val="single" w:sz="8"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Non-selective</w:t>
            </w:r>
          </w:p>
        </w:tc>
        <w:tc>
          <w:tcPr>
            <w:tcW w:w="2409" w:type="dxa"/>
            <w:tcBorders>
              <w:bottom w:val="single" w:sz="8"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Diclofenac</w:t>
            </w:r>
          </w:p>
        </w:tc>
        <w:tc>
          <w:tcPr>
            <w:tcW w:w="2552" w:type="dxa"/>
            <w:tcBorders>
              <w:bottom w:val="single" w:sz="8" w:space="0" w:color="auto"/>
            </w:tcBorders>
            <w:shd w:val="clear" w:color="auto" w:fill="auto"/>
            <w:noWrap/>
            <w:vAlign w:val="center"/>
            <w:hideMark/>
          </w:tcPr>
          <w:p w:rsidR="00D641A2" w:rsidRPr="00BF051F" w:rsidRDefault="00D641A2" w:rsidP="005F642F">
            <w:pPr>
              <w:jc w:val="center"/>
              <w:rPr>
                <w:rFonts w:eastAsia="Times New Roman" w:cs="Times New Roman"/>
                <w:color w:val="000000"/>
                <w:szCs w:val="24"/>
              </w:rPr>
            </w:pPr>
            <w:r w:rsidRPr="00BF051F">
              <w:rPr>
                <w:rFonts w:eastAsia="Times New Roman" w:cs="Times New Roman"/>
                <w:color w:val="000000"/>
                <w:szCs w:val="24"/>
              </w:rPr>
              <w:t>200 µM</w:t>
            </w:r>
          </w:p>
        </w:tc>
      </w:tr>
    </w:tbl>
    <w:p w:rsidR="008D0ABC" w:rsidRDefault="00CC68E4"/>
    <w:sectPr w:rsidR="008D0ABC">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E4" w:rsidRDefault="00CC68E4" w:rsidP="00C43365">
      <w:pPr>
        <w:spacing w:line="240" w:lineRule="auto"/>
      </w:pPr>
      <w:r>
        <w:separator/>
      </w:r>
    </w:p>
  </w:endnote>
  <w:endnote w:type="continuationSeparator" w:id="0">
    <w:p w:rsidR="00CC68E4" w:rsidRDefault="00CC68E4" w:rsidP="00C43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E4" w:rsidRDefault="00CC68E4" w:rsidP="00C43365">
      <w:pPr>
        <w:spacing w:line="240" w:lineRule="auto"/>
      </w:pPr>
      <w:r>
        <w:separator/>
      </w:r>
    </w:p>
  </w:footnote>
  <w:footnote w:type="continuationSeparator" w:id="0">
    <w:p w:rsidR="00CC68E4" w:rsidRDefault="00CC68E4" w:rsidP="00C433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MTMxNTc2NzYwMzRV0lEKTi0uzszPAymwrAUAQoN3TiwAAAA="/>
  </w:docVars>
  <w:rsids>
    <w:rsidRoot w:val="00AB198B"/>
    <w:rsid w:val="000578CD"/>
    <w:rsid w:val="00064513"/>
    <w:rsid w:val="001608BF"/>
    <w:rsid w:val="001A34D7"/>
    <w:rsid w:val="001A4354"/>
    <w:rsid w:val="00206B01"/>
    <w:rsid w:val="00225D25"/>
    <w:rsid w:val="00230526"/>
    <w:rsid w:val="002E5CF8"/>
    <w:rsid w:val="00354365"/>
    <w:rsid w:val="003B321D"/>
    <w:rsid w:val="004844FE"/>
    <w:rsid w:val="0050674B"/>
    <w:rsid w:val="00526BD4"/>
    <w:rsid w:val="00622F07"/>
    <w:rsid w:val="0066003C"/>
    <w:rsid w:val="007024FF"/>
    <w:rsid w:val="00A55853"/>
    <w:rsid w:val="00AB198B"/>
    <w:rsid w:val="00B14917"/>
    <w:rsid w:val="00B4655E"/>
    <w:rsid w:val="00C34DD8"/>
    <w:rsid w:val="00C43365"/>
    <w:rsid w:val="00CC68E4"/>
    <w:rsid w:val="00D641A2"/>
    <w:rsid w:val="00DF2015"/>
    <w:rsid w:val="00E57852"/>
    <w:rsid w:val="00EB14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96D1B-390A-43A0-8B60-33F30B47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8B"/>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608BF"/>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608BF"/>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1608BF"/>
    <w:pPr>
      <w:keepNext/>
      <w:keepLines/>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BF"/>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608BF"/>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1608BF"/>
    <w:rPr>
      <w:rFonts w:ascii="Times New Roman" w:eastAsiaTheme="majorEastAsia" w:hAnsi="Times New Roman" w:cstheme="majorBidi"/>
      <w:i/>
      <w:color w:val="000000" w:themeColor="text1"/>
      <w:sz w:val="24"/>
      <w:szCs w:val="24"/>
    </w:rPr>
  </w:style>
  <w:style w:type="character" w:styleId="CommentReference">
    <w:name w:val="annotation reference"/>
    <w:basedOn w:val="DefaultParagraphFont"/>
    <w:uiPriority w:val="99"/>
    <w:semiHidden/>
    <w:unhideWhenUsed/>
    <w:rsid w:val="00AB198B"/>
    <w:rPr>
      <w:sz w:val="16"/>
      <w:szCs w:val="16"/>
    </w:rPr>
  </w:style>
  <w:style w:type="paragraph" w:styleId="CommentText">
    <w:name w:val="annotation text"/>
    <w:basedOn w:val="Normal"/>
    <w:link w:val="CommentTextChar"/>
    <w:uiPriority w:val="99"/>
    <w:semiHidden/>
    <w:unhideWhenUsed/>
    <w:rsid w:val="00AB198B"/>
    <w:pPr>
      <w:spacing w:line="240" w:lineRule="auto"/>
    </w:pPr>
    <w:rPr>
      <w:sz w:val="20"/>
      <w:szCs w:val="20"/>
    </w:rPr>
  </w:style>
  <w:style w:type="character" w:customStyle="1" w:styleId="CommentTextChar">
    <w:name w:val="Comment Text Char"/>
    <w:basedOn w:val="DefaultParagraphFont"/>
    <w:link w:val="CommentText"/>
    <w:uiPriority w:val="99"/>
    <w:semiHidden/>
    <w:rsid w:val="00AB198B"/>
    <w:rPr>
      <w:rFonts w:ascii="Times New Roman" w:hAnsi="Times New Roman"/>
      <w:sz w:val="20"/>
      <w:szCs w:val="20"/>
    </w:rPr>
  </w:style>
  <w:style w:type="paragraph" w:styleId="BalloonText">
    <w:name w:val="Balloon Text"/>
    <w:basedOn w:val="Normal"/>
    <w:link w:val="BalloonTextChar"/>
    <w:uiPriority w:val="99"/>
    <w:semiHidden/>
    <w:unhideWhenUsed/>
    <w:rsid w:val="00AB19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B"/>
    <w:rPr>
      <w:rFonts w:ascii="Segoe UI" w:hAnsi="Segoe UI" w:cs="Segoe UI"/>
      <w:sz w:val="18"/>
      <w:szCs w:val="18"/>
    </w:rPr>
  </w:style>
  <w:style w:type="paragraph" w:styleId="Header">
    <w:name w:val="header"/>
    <w:basedOn w:val="Normal"/>
    <w:link w:val="HeaderChar"/>
    <w:uiPriority w:val="99"/>
    <w:unhideWhenUsed/>
    <w:rsid w:val="00C43365"/>
    <w:pPr>
      <w:tabs>
        <w:tab w:val="center" w:pos="4513"/>
        <w:tab w:val="right" w:pos="9026"/>
      </w:tabs>
      <w:snapToGrid w:val="0"/>
    </w:pPr>
  </w:style>
  <w:style w:type="character" w:customStyle="1" w:styleId="HeaderChar">
    <w:name w:val="Header Char"/>
    <w:basedOn w:val="DefaultParagraphFont"/>
    <w:link w:val="Header"/>
    <w:uiPriority w:val="99"/>
    <w:rsid w:val="00C43365"/>
    <w:rPr>
      <w:rFonts w:ascii="Times New Roman" w:hAnsi="Times New Roman"/>
      <w:sz w:val="24"/>
    </w:rPr>
  </w:style>
  <w:style w:type="paragraph" w:styleId="Footer">
    <w:name w:val="footer"/>
    <w:basedOn w:val="Normal"/>
    <w:link w:val="FooterChar"/>
    <w:uiPriority w:val="99"/>
    <w:unhideWhenUsed/>
    <w:rsid w:val="00C43365"/>
    <w:pPr>
      <w:tabs>
        <w:tab w:val="center" w:pos="4513"/>
        <w:tab w:val="right" w:pos="9026"/>
      </w:tabs>
      <w:snapToGrid w:val="0"/>
    </w:pPr>
  </w:style>
  <w:style w:type="character" w:customStyle="1" w:styleId="FooterChar">
    <w:name w:val="Footer Char"/>
    <w:basedOn w:val="DefaultParagraphFont"/>
    <w:link w:val="Footer"/>
    <w:uiPriority w:val="99"/>
    <w:rsid w:val="00C43365"/>
    <w:rPr>
      <w:rFonts w:ascii="Times New Roman" w:hAnsi="Times New Roman"/>
      <w:sz w:val="24"/>
    </w:rPr>
  </w:style>
  <w:style w:type="paragraph" w:customStyle="1" w:styleId="MDPI42tablebody">
    <w:name w:val="MDPI_4.2_table_body"/>
    <w:qFormat/>
    <w:rsid w:val="00C4336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Hyperlink">
    <w:name w:val="Hyperlink"/>
    <w:basedOn w:val="DefaultParagraphFont"/>
    <w:uiPriority w:val="99"/>
    <w:semiHidden/>
    <w:unhideWhenUsed/>
    <w:rsid w:val="00A55853"/>
    <w:rPr>
      <w:color w:val="0000FF"/>
      <w:u w:val="single"/>
    </w:rPr>
  </w:style>
  <w:style w:type="character" w:styleId="Emphasis">
    <w:name w:val="Emphasis"/>
    <w:basedOn w:val="DefaultParagraphFont"/>
    <w:uiPriority w:val="20"/>
    <w:qFormat/>
    <w:rsid w:val="00A55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An</dc:creator>
  <cp:keywords/>
  <dc:description/>
  <cp:lastModifiedBy>User</cp:lastModifiedBy>
  <cp:revision>2</cp:revision>
  <dcterms:created xsi:type="dcterms:W3CDTF">2022-11-18T02:23:00Z</dcterms:created>
  <dcterms:modified xsi:type="dcterms:W3CDTF">2022-11-18T02:23:00Z</dcterms:modified>
</cp:coreProperties>
</file>