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2E56" w14:textId="2A39AE16" w:rsidR="007A5A30" w:rsidRDefault="007A5A30" w:rsidP="00AA2AC2">
      <w:pPr>
        <w:spacing w:after="0" w:line="48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Supplementary Information</w:t>
      </w:r>
    </w:p>
    <w:p w14:paraId="01D840C9" w14:textId="77777777" w:rsidR="007A5A30" w:rsidRDefault="007A5A30" w:rsidP="00AA2AC2">
      <w:pPr>
        <w:spacing w:after="0" w:line="48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616F502B" w14:textId="77777777" w:rsidR="007A5A30" w:rsidRDefault="007A5A30" w:rsidP="00AA2AC2">
      <w:pPr>
        <w:spacing w:after="0" w:line="48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729D15A6" w14:textId="77777777" w:rsidR="00473556" w:rsidRPr="0050688A" w:rsidRDefault="00473556" w:rsidP="00AA2AC2">
      <w:pPr>
        <w:spacing w:after="120" w:line="480" w:lineRule="auto"/>
        <w:jc w:val="center"/>
        <w:rPr>
          <w:rFonts w:asciiTheme="majorBidi" w:eastAsia="Times New Roman" w:hAnsiTheme="majorBidi" w:cstheme="majorBidi"/>
          <w:sz w:val="30"/>
          <w:szCs w:val="30"/>
        </w:rPr>
      </w:pPr>
      <w:r w:rsidRPr="0050688A">
        <w:rPr>
          <w:rFonts w:asciiTheme="majorBidi" w:eastAsia="Times New Roman" w:hAnsiTheme="majorBidi" w:cstheme="majorBidi"/>
          <w:sz w:val="30"/>
          <w:szCs w:val="30"/>
        </w:rPr>
        <w:t xml:space="preserve">COVID-19 Chloroquine Drug </w:t>
      </w:r>
      <w:r>
        <w:rPr>
          <w:rFonts w:asciiTheme="majorBidi" w:eastAsia="Times New Roman" w:hAnsiTheme="majorBidi" w:cstheme="majorBidi"/>
          <w:sz w:val="30"/>
          <w:szCs w:val="30"/>
        </w:rPr>
        <w:t>Detection Using Novel,</w:t>
      </w:r>
      <w:r w:rsidRPr="0050688A">
        <w:rPr>
          <w:rFonts w:asciiTheme="majorBidi" w:eastAsia="Times New Roman" w:hAnsiTheme="majorBidi" w:cstheme="majorBidi"/>
          <w:sz w:val="30"/>
          <w:szCs w:val="30"/>
        </w:rPr>
        <w:t xml:space="preserve"> Highly Sensitive SnO</w:t>
      </w:r>
      <w:r w:rsidRPr="0050688A">
        <w:rPr>
          <w:rFonts w:asciiTheme="majorBidi" w:eastAsia="Times New Roman" w:hAnsiTheme="majorBidi" w:cstheme="majorBidi"/>
          <w:sz w:val="30"/>
          <w:szCs w:val="30"/>
          <w:vertAlign w:val="subscript"/>
        </w:rPr>
        <w:t>2</w:t>
      </w:r>
      <w:r w:rsidRPr="0050688A">
        <w:rPr>
          <w:rFonts w:asciiTheme="majorBidi" w:eastAsia="Times New Roman" w:hAnsiTheme="majorBidi" w:cstheme="majorBidi"/>
          <w:sz w:val="30"/>
          <w:szCs w:val="30"/>
        </w:rPr>
        <w:t xml:space="preserve">-Based Electrochemical Sensor </w:t>
      </w:r>
    </w:p>
    <w:p w14:paraId="5E628F75" w14:textId="77777777" w:rsidR="00A86E29" w:rsidRDefault="00A86E29" w:rsidP="00AA2AC2">
      <w:pPr>
        <w:spacing w:after="0" w:line="48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500378A6" w14:textId="19FF682C" w:rsidR="008C13C6" w:rsidRDefault="008C13C6" w:rsidP="00AA2AC2">
      <w:pPr>
        <w:spacing w:after="120" w:line="480" w:lineRule="auto"/>
        <w:jc w:val="both"/>
        <w:rPr>
          <w:rFonts w:asciiTheme="majorBidi" w:hAnsiTheme="majorBidi" w:cstheme="majorBidi"/>
          <w:i/>
          <w:iCs/>
          <w:color w:val="222222"/>
          <w:shd w:val="clear" w:color="auto" w:fill="FFFFFF"/>
        </w:rPr>
      </w:pPr>
      <w:r>
        <w:rPr>
          <w:rFonts w:asciiTheme="majorBidi" w:hAnsiTheme="majorBidi" w:cstheme="majorBidi"/>
          <w:i/>
          <w:iCs/>
        </w:rPr>
        <w:t>Ayman AbdelHamid</w:t>
      </w:r>
      <w:r>
        <w:rPr>
          <w:rFonts w:asciiTheme="majorBidi" w:eastAsia="DengXian" w:hAnsiTheme="majorBidi" w:cstheme="majorBidi"/>
          <w:i/>
          <w:vertAlign w:val="superscript"/>
        </w:rPr>
        <w:t>1</w:t>
      </w:r>
      <w:r>
        <w:rPr>
          <w:rFonts w:asciiTheme="majorBidi" w:hAnsiTheme="majorBidi" w:cstheme="majorBidi"/>
          <w:i/>
          <w:iCs/>
        </w:rPr>
        <w:t xml:space="preserve">, </w:t>
      </w:r>
      <w:r>
        <w:rPr>
          <w:rFonts w:asciiTheme="majorBidi" w:hAnsiTheme="majorBidi" w:cstheme="majorBidi"/>
          <w:i/>
          <w:iCs/>
          <w:color w:val="222222"/>
          <w:shd w:val="clear" w:color="auto" w:fill="FFFFFF"/>
        </w:rPr>
        <w:t>Abdelaziz Elgamouz</w:t>
      </w:r>
      <w:r>
        <w:rPr>
          <w:rFonts w:asciiTheme="majorBidi" w:eastAsia="DengXian" w:hAnsiTheme="majorBidi" w:cstheme="majorBidi"/>
          <w:i/>
          <w:vertAlign w:val="superscript"/>
        </w:rPr>
        <w:t>1</w:t>
      </w:r>
      <w:r w:rsidR="00B219DE">
        <w:rPr>
          <w:rFonts w:asciiTheme="majorBidi" w:hAnsiTheme="majorBidi" w:cstheme="majorBidi"/>
          <w:i/>
          <w:iCs/>
        </w:rPr>
        <w:t>,</w:t>
      </w:r>
      <w:r w:rsidR="00B219DE">
        <w:rPr>
          <w:rFonts w:asciiTheme="majorBidi" w:eastAsia="DengXian" w:hAnsiTheme="majorBidi" w:cstheme="majorBidi"/>
          <w:i/>
          <w:vertAlign w:val="superscript"/>
        </w:rPr>
        <w:t xml:space="preserve"> </w:t>
      </w:r>
      <w:r w:rsidR="00E9124A">
        <w:rPr>
          <w:rFonts w:asciiTheme="majorBidi" w:hAnsiTheme="majorBidi" w:cstheme="majorBidi"/>
          <w:i/>
          <w:iCs/>
        </w:rPr>
        <w:t>Monther Khanfer</w:t>
      </w:r>
      <w:r w:rsidR="00E9124A" w:rsidRPr="00E9124A">
        <w:rPr>
          <w:rFonts w:asciiTheme="majorBidi" w:hAnsiTheme="majorBidi" w:cstheme="majorBidi"/>
          <w:i/>
          <w:iCs/>
          <w:vertAlign w:val="superscript"/>
        </w:rPr>
        <w:t>1</w:t>
      </w:r>
      <w:r w:rsidR="00E9124A">
        <w:rPr>
          <w:rFonts w:asciiTheme="majorBidi" w:hAnsiTheme="majorBidi" w:cstheme="majorBidi"/>
          <w:i/>
          <w:iCs/>
        </w:rPr>
        <w:t xml:space="preserve">, </w:t>
      </w:r>
      <w:r>
        <w:rPr>
          <w:rFonts w:asciiTheme="majorBidi" w:hAnsiTheme="majorBidi" w:cstheme="majorBidi"/>
          <w:i/>
          <w:iCs/>
        </w:rPr>
        <w:t>Abdel-Nasser Kawde</w:t>
      </w:r>
      <w:r>
        <w:rPr>
          <w:rFonts w:asciiTheme="majorBidi" w:eastAsia="DengXian" w:hAnsiTheme="majorBidi" w:cstheme="majorBidi"/>
          <w:i/>
          <w:vertAlign w:val="superscript"/>
        </w:rPr>
        <w:t>1</w:t>
      </w:r>
      <w:r>
        <w:rPr>
          <w:rFonts w:asciiTheme="majorBidi" w:hAnsiTheme="majorBidi" w:cstheme="majorBidi"/>
          <w:i/>
          <w:iCs/>
        </w:rPr>
        <w:t>*</w:t>
      </w:r>
    </w:p>
    <w:p w14:paraId="30386A7F" w14:textId="636A5142" w:rsidR="008C13C6" w:rsidRDefault="008C13C6" w:rsidP="00AA2AC2">
      <w:pPr>
        <w:tabs>
          <w:tab w:val="left" w:pos="567"/>
        </w:tabs>
        <w:adjustRightInd w:val="0"/>
        <w:snapToGrid w:val="0"/>
        <w:spacing w:after="120" w:line="480" w:lineRule="auto"/>
        <w:jc w:val="both"/>
        <w:rPr>
          <w:rFonts w:asciiTheme="majorBidi" w:eastAsia="MS Mincho" w:hAnsiTheme="majorBidi" w:cstheme="majorBidi"/>
          <w:lang w:eastAsia="ja-JP"/>
        </w:rPr>
      </w:pPr>
      <w:r>
        <w:rPr>
          <w:rFonts w:asciiTheme="majorBidi" w:eastAsia="MS Mincho" w:hAnsiTheme="majorBidi" w:cstheme="majorBidi"/>
          <w:vertAlign w:val="superscript"/>
          <w:lang w:eastAsia="ja-JP"/>
        </w:rPr>
        <w:t>1</w:t>
      </w:r>
      <w:r w:rsidR="009F62B9" w:rsidRPr="009F62B9">
        <w:rPr>
          <w:rFonts w:asciiTheme="majorBidi" w:eastAsia="MS Mincho" w:hAnsiTheme="majorBidi" w:cstheme="majorBidi"/>
          <w:lang w:eastAsia="ja-JP"/>
        </w:rPr>
        <w:t xml:space="preserve"> </w:t>
      </w:r>
      <w:r w:rsidR="009F62B9">
        <w:rPr>
          <w:rFonts w:asciiTheme="majorBidi" w:eastAsia="MS Mincho" w:hAnsiTheme="majorBidi" w:cstheme="majorBidi"/>
          <w:lang w:eastAsia="ja-JP"/>
        </w:rPr>
        <w:t xml:space="preserve">Pure and Applied Chemistry Research Group, </w:t>
      </w:r>
      <w:r>
        <w:rPr>
          <w:rFonts w:asciiTheme="majorBidi" w:eastAsia="MS Mincho" w:hAnsiTheme="majorBidi" w:cstheme="majorBidi"/>
          <w:lang w:eastAsia="ja-JP"/>
        </w:rPr>
        <w:t>Department of Chemistry, College of Sciences, University of Sharjah, P.O. Box 27272, Sharjah, United Arab Emirates</w:t>
      </w:r>
    </w:p>
    <w:p w14:paraId="67C950C6" w14:textId="77777777" w:rsidR="00A86E29" w:rsidRDefault="00A86E29" w:rsidP="00AA2AC2">
      <w:pPr>
        <w:tabs>
          <w:tab w:val="left" w:pos="567"/>
        </w:tabs>
        <w:adjustRightInd w:val="0"/>
        <w:snapToGrid w:val="0"/>
        <w:spacing w:after="120" w:line="480" w:lineRule="auto"/>
        <w:jc w:val="both"/>
        <w:rPr>
          <w:rFonts w:asciiTheme="majorBidi" w:eastAsia="MS Mincho" w:hAnsiTheme="majorBidi" w:cstheme="majorBidi"/>
          <w:lang w:eastAsia="ja-JP"/>
        </w:rPr>
      </w:pPr>
    </w:p>
    <w:p w14:paraId="7F5A5D14" w14:textId="77777777" w:rsidR="008C13C6" w:rsidRDefault="008C13C6" w:rsidP="00AA2AC2">
      <w:pPr>
        <w:tabs>
          <w:tab w:val="left" w:pos="567"/>
        </w:tabs>
        <w:spacing w:after="120" w:line="480" w:lineRule="auto"/>
        <w:jc w:val="both"/>
        <w:rPr>
          <w:rFonts w:asciiTheme="majorBidi" w:eastAsia="MS Mincho" w:hAnsiTheme="majorBidi" w:cstheme="majorBidi"/>
          <w:lang w:eastAsia="ja-JP"/>
        </w:rPr>
      </w:pPr>
      <w:r>
        <w:rPr>
          <w:rFonts w:asciiTheme="majorBidi" w:eastAsia="MS Mincho" w:hAnsiTheme="majorBidi" w:cstheme="majorBidi"/>
          <w:vertAlign w:val="superscript"/>
          <w:lang w:eastAsia="ja-JP"/>
        </w:rPr>
        <w:t>*</w:t>
      </w:r>
      <w:r>
        <w:rPr>
          <w:rFonts w:asciiTheme="majorBidi" w:eastAsia="MS Mincho" w:hAnsiTheme="majorBidi" w:cstheme="majorBidi"/>
          <w:lang w:eastAsia="ja-JP"/>
        </w:rPr>
        <w:t>E-mail: akawde@sharjah.ac.ae</w:t>
      </w:r>
    </w:p>
    <w:p w14:paraId="7DD60046" w14:textId="4DC82D9C" w:rsidR="007C1FD2" w:rsidRDefault="004F2A1E" w:rsidP="00AA2AC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16E10EA" w14:textId="084D6078" w:rsidR="007C1FD2" w:rsidRPr="007C1FD2" w:rsidRDefault="007C1FD2" w:rsidP="00AA2AC2">
      <w:pPr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C1FD2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SWV Optimization</w:t>
      </w:r>
    </w:p>
    <w:p w14:paraId="4B186E0F" w14:textId="4469E6F8" w:rsidR="00190DF8" w:rsidRDefault="007C1FD2" w:rsidP="00AA2AC2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Full optimization was carried out for the </w:t>
      </w:r>
      <w:r>
        <w:rPr>
          <w:rFonts w:asciiTheme="majorBidi" w:eastAsia="Times New Roman" w:hAnsiTheme="majorBidi" w:cstheme="majorBidi"/>
          <w:sz w:val="24"/>
          <w:szCs w:val="24"/>
        </w:rPr>
        <w:t>SWV analytical technique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, including SWV parameters such as potential increment, pulse period, pulse amplitude</w:t>
      </w:r>
      <w:r w:rsidR="00190DF8">
        <w:rPr>
          <w:rFonts w:asciiTheme="majorBidi" w:eastAsia="Times New Roman" w:hAnsiTheme="majorBidi" w:cstheme="majorBidi"/>
          <w:sz w:val="24"/>
          <w:szCs w:val="24"/>
        </w:rPr>
        <w:t>,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and sampling width, and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also 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accumulation conditions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such as accumulation potential and time. SWV potential increment was studied in the range of 10</w:t>
      </w:r>
      <w:r>
        <w:rPr>
          <w:rFonts w:asciiTheme="majorBidi" w:eastAsia="Times New Roman" w:hAnsiTheme="majorBidi" w:cstheme="majorBidi"/>
          <w:sz w:val="24"/>
          <w:szCs w:val="24"/>
        </w:rPr>
        <w:t>‒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40 mV</w:t>
      </w:r>
      <w:r w:rsidR="00190DF8">
        <w:rPr>
          <w:rFonts w:asciiTheme="majorBidi" w:eastAsia="Times New Roman" w:hAnsiTheme="majorBidi" w:cstheme="majorBidi"/>
          <w:sz w:val="24"/>
          <w:szCs w:val="24"/>
        </w:rPr>
        <w:t>. I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t was observed that the peak current increased with the increase in the potential increment due to the direct correlation with the scan rate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581E70" w:rsidRPr="00581E70">
        <w:rPr>
          <w:rFonts w:asciiTheme="majorBidi" w:hAnsiTheme="majorBidi" w:cstheme="majorBidi"/>
          <w:sz w:val="24"/>
          <w:szCs w:val="24"/>
        </w:rPr>
        <w:t>Fig</w:t>
      </w:r>
      <w:r w:rsidR="00581E70" w:rsidRPr="00581E70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81E70" w:rsidRPr="00581E70">
        <w:rPr>
          <w:rFonts w:asciiTheme="majorBidi" w:hAnsiTheme="majorBidi" w:cstheme="majorBidi"/>
          <w:sz w:val="24"/>
          <w:szCs w:val="24"/>
        </w:rPr>
        <w:t xml:space="preserve"> </w:t>
      </w:r>
      <w:r w:rsidR="00FD1DD2">
        <w:rPr>
          <w:rFonts w:asciiTheme="majorBidi" w:hAnsiTheme="majorBidi" w:cstheme="majorBidi"/>
          <w:sz w:val="24"/>
          <w:szCs w:val="24"/>
        </w:rPr>
        <w:t>S</w:t>
      </w:r>
      <w:r w:rsidR="00581E70" w:rsidRPr="00581E70">
        <w:rPr>
          <w:rFonts w:asciiTheme="majorBidi" w:hAnsiTheme="majorBidi" w:cstheme="majorBidi"/>
          <w:noProof/>
          <w:sz w:val="24"/>
          <w:szCs w:val="24"/>
        </w:rPr>
        <w:t>1</w:t>
      </w:r>
      <w:r>
        <w:rPr>
          <w:rFonts w:asciiTheme="majorBidi" w:eastAsia="Times New Roman" w:hAnsiTheme="majorBidi" w:cstheme="majorBidi"/>
          <w:sz w:val="24"/>
          <w:szCs w:val="24"/>
        </w:rPr>
        <w:t>a‒b)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sz w:val="24"/>
          <w:szCs w:val="24"/>
        </w:rPr>
        <w:t>The p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ulse period has an inverse effect on the scan rate</w:t>
      </w:r>
      <w:r w:rsidR="00190DF8">
        <w:rPr>
          <w:rFonts w:asciiTheme="majorBidi" w:eastAsia="Times New Roman" w:hAnsiTheme="majorBidi" w:cstheme="majorBidi"/>
          <w:sz w:val="24"/>
          <w:szCs w:val="24"/>
        </w:rPr>
        <w:t>. T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hus</w:t>
      </w:r>
      <w:r w:rsidR="00190DF8">
        <w:rPr>
          <w:rFonts w:asciiTheme="majorBidi" w:eastAsia="Times New Roman" w:hAnsiTheme="majorBidi" w:cstheme="majorBidi"/>
          <w:sz w:val="24"/>
          <w:szCs w:val="24"/>
        </w:rPr>
        <w:t>,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we observed a decreas</w:t>
      </w:r>
      <w:r w:rsidR="00190DF8">
        <w:rPr>
          <w:rFonts w:asciiTheme="majorBidi" w:eastAsia="Times New Roman" w:hAnsiTheme="majorBidi" w:cstheme="majorBidi"/>
          <w:sz w:val="24"/>
          <w:szCs w:val="24"/>
        </w:rPr>
        <w:t>ing oxidation peak current with an increasing pulse period in the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50</w:t>
      </w:r>
      <w:r>
        <w:rPr>
          <w:rFonts w:asciiTheme="majorBidi" w:eastAsia="Times New Roman" w:hAnsiTheme="majorBidi" w:cstheme="majorBidi"/>
          <w:sz w:val="24"/>
          <w:szCs w:val="24"/>
        </w:rPr>
        <w:t>‒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300 </w:t>
      </w:r>
      <w:proofErr w:type="spellStart"/>
      <w:r w:rsidRPr="0063093B">
        <w:rPr>
          <w:rFonts w:asciiTheme="majorBidi" w:eastAsia="Times New Roman" w:hAnsiTheme="majorBidi" w:cstheme="majorBidi"/>
          <w:sz w:val="24"/>
          <w:szCs w:val="24"/>
        </w:rPr>
        <w:t>ms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581E70" w:rsidRPr="00581E70">
        <w:rPr>
          <w:rFonts w:asciiTheme="majorBidi" w:hAnsiTheme="majorBidi" w:cstheme="majorBidi"/>
          <w:sz w:val="24"/>
          <w:szCs w:val="24"/>
        </w:rPr>
        <w:t>Fig</w:t>
      </w:r>
      <w:r w:rsidR="00581E70" w:rsidRPr="00581E70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81E70" w:rsidRPr="00581E70">
        <w:rPr>
          <w:rFonts w:asciiTheme="majorBidi" w:hAnsiTheme="majorBidi" w:cstheme="majorBidi"/>
          <w:sz w:val="24"/>
          <w:szCs w:val="24"/>
        </w:rPr>
        <w:t xml:space="preserve"> </w:t>
      </w:r>
      <w:r w:rsidR="00FD1DD2">
        <w:rPr>
          <w:rFonts w:asciiTheme="majorBidi" w:hAnsiTheme="majorBidi" w:cstheme="majorBidi"/>
          <w:sz w:val="24"/>
          <w:szCs w:val="24"/>
        </w:rPr>
        <w:t>S</w:t>
      </w:r>
      <w:r w:rsidR="00581E70" w:rsidRPr="00581E70">
        <w:rPr>
          <w:rFonts w:asciiTheme="majorBidi" w:hAnsiTheme="majorBidi" w:cstheme="majorBidi"/>
          <w:noProof/>
          <w:sz w:val="24"/>
          <w:szCs w:val="24"/>
        </w:rPr>
        <w:t>1</w:t>
      </w:r>
      <w:r>
        <w:rPr>
          <w:rFonts w:asciiTheme="majorBidi" w:eastAsia="Times New Roman" w:hAnsiTheme="majorBidi" w:cstheme="majorBidi"/>
          <w:sz w:val="24"/>
          <w:szCs w:val="24"/>
        </w:rPr>
        <w:t>c‒d)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. Pulse amplitude and sam</w:t>
      </w:r>
      <w:r w:rsidR="00190DF8">
        <w:rPr>
          <w:rFonts w:asciiTheme="majorBidi" w:eastAsia="Times New Roman" w:hAnsiTheme="majorBidi" w:cstheme="majorBidi"/>
          <w:sz w:val="24"/>
          <w:szCs w:val="24"/>
        </w:rPr>
        <w:t xml:space="preserve">pling width were studied in 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ranges of 1</w:t>
      </w:r>
      <w:r>
        <w:rPr>
          <w:rFonts w:asciiTheme="majorBidi" w:eastAsia="Times New Roman" w:hAnsiTheme="majorBidi" w:cstheme="majorBidi"/>
          <w:sz w:val="24"/>
          <w:szCs w:val="24"/>
        </w:rPr>
        <w:t>‒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10 </w:t>
      </w:r>
      <w:proofErr w:type="spellStart"/>
      <w:r w:rsidRPr="0063093B">
        <w:rPr>
          <w:rFonts w:asciiTheme="majorBidi" w:eastAsia="Times New Roman" w:hAnsiTheme="majorBidi" w:cstheme="majorBidi"/>
          <w:sz w:val="24"/>
          <w:szCs w:val="24"/>
        </w:rPr>
        <w:t>ms</w:t>
      </w:r>
      <w:proofErr w:type="spellEnd"/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(</w:t>
      </w:r>
      <w:r w:rsidR="00581E70" w:rsidRPr="00581E70">
        <w:rPr>
          <w:rFonts w:asciiTheme="majorBidi" w:hAnsiTheme="majorBidi" w:cstheme="majorBidi"/>
          <w:sz w:val="24"/>
          <w:szCs w:val="24"/>
        </w:rPr>
        <w:t>Fig</w:t>
      </w:r>
      <w:r w:rsidR="00581E70" w:rsidRPr="00581E70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FD1DD2" w:rsidRPr="00FD1DD2">
        <w:rPr>
          <w:rFonts w:asciiTheme="majorBidi" w:hAnsiTheme="majorBidi" w:cstheme="majorBidi"/>
          <w:sz w:val="24"/>
          <w:szCs w:val="24"/>
        </w:rPr>
        <w:t>S</w:t>
      </w:r>
      <w:r w:rsidR="00581E70" w:rsidRPr="00581E70">
        <w:rPr>
          <w:rFonts w:asciiTheme="majorBidi" w:hAnsiTheme="majorBidi" w:cstheme="majorBidi"/>
          <w:noProof/>
          <w:sz w:val="24"/>
          <w:szCs w:val="24"/>
        </w:rPr>
        <w:t>1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e‒f) 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and 60</w:t>
      </w:r>
      <w:r>
        <w:rPr>
          <w:rFonts w:asciiTheme="majorBidi" w:eastAsia="Times New Roman" w:hAnsiTheme="majorBidi" w:cstheme="majorBidi"/>
          <w:sz w:val="24"/>
          <w:szCs w:val="24"/>
        </w:rPr>
        <w:t>‒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150 mV </w:t>
      </w:r>
      <w:r>
        <w:rPr>
          <w:rFonts w:asciiTheme="majorBidi" w:eastAsia="Times New Roman" w:hAnsiTheme="majorBidi" w:cstheme="majorBidi"/>
          <w:sz w:val="24"/>
          <w:szCs w:val="24"/>
        </w:rPr>
        <w:t>(</w:t>
      </w:r>
      <w:r w:rsidR="00581E70" w:rsidRPr="00581E70">
        <w:rPr>
          <w:rFonts w:asciiTheme="majorBidi" w:hAnsiTheme="majorBidi" w:cstheme="majorBidi"/>
          <w:sz w:val="24"/>
          <w:szCs w:val="24"/>
        </w:rPr>
        <w:t>Fig</w:t>
      </w:r>
      <w:r w:rsidR="00581E70" w:rsidRPr="00581E70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81E70" w:rsidRPr="00581E70">
        <w:rPr>
          <w:rFonts w:asciiTheme="majorBidi" w:hAnsiTheme="majorBidi" w:cstheme="majorBidi"/>
          <w:sz w:val="24"/>
          <w:szCs w:val="24"/>
        </w:rPr>
        <w:t xml:space="preserve"> </w:t>
      </w:r>
      <w:r w:rsidR="00FD1DD2" w:rsidRPr="00FD1DD2">
        <w:rPr>
          <w:rFonts w:asciiTheme="majorBidi" w:hAnsiTheme="majorBidi" w:cstheme="majorBidi"/>
          <w:sz w:val="24"/>
          <w:szCs w:val="24"/>
        </w:rPr>
        <w:t>S</w:t>
      </w:r>
      <w:r w:rsidR="00581E70" w:rsidRPr="00581E70">
        <w:rPr>
          <w:rFonts w:asciiTheme="majorBidi" w:hAnsiTheme="majorBidi" w:cstheme="majorBidi"/>
          <w:noProof/>
          <w:sz w:val="24"/>
          <w:szCs w:val="24"/>
        </w:rPr>
        <w:t>1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g‒h) 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and optimized to be 5 </w:t>
      </w:r>
      <w:proofErr w:type="spellStart"/>
      <w:r w:rsidRPr="0063093B">
        <w:rPr>
          <w:rFonts w:asciiTheme="majorBidi" w:eastAsia="Times New Roman" w:hAnsiTheme="majorBidi" w:cstheme="majorBidi"/>
          <w:sz w:val="24"/>
          <w:szCs w:val="24"/>
        </w:rPr>
        <w:t>ms</w:t>
      </w:r>
      <w:proofErr w:type="spellEnd"/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and 120 mV, respectively. Accumulation potential was studied in the range of -0.3</w:t>
      </w:r>
      <w:r>
        <w:rPr>
          <w:rFonts w:asciiTheme="majorBidi" w:eastAsia="Times New Roman" w:hAnsiTheme="majorBidi" w:cstheme="majorBidi"/>
          <w:sz w:val="24"/>
          <w:szCs w:val="24"/>
        </w:rPr>
        <w:t>‒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0.4 V, with </w:t>
      </w:r>
      <w:r>
        <w:rPr>
          <w:rFonts w:asciiTheme="majorBidi" w:eastAsia="Times New Roman" w:hAnsiTheme="majorBidi" w:cstheme="majorBidi"/>
          <w:sz w:val="24"/>
          <w:szCs w:val="24"/>
        </w:rPr>
        <w:t>open circuit potential (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>OCP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determined to be ~0.1 V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581E70" w:rsidRPr="00581E70">
        <w:rPr>
          <w:rFonts w:asciiTheme="majorBidi" w:hAnsiTheme="majorBidi" w:cstheme="majorBidi"/>
          <w:sz w:val="24"/>
          <w:szCs w:val="24"/>
        </w:rPr>
        <w:t xml:space="preserve">Fig. </w:t>
      </w:r>
      <w:r w:rsidR="00FD1DD2">
        <w:rPr>
          <w:rFonts w:asciiTheme="majorBidi" w:hAnsiTheme="majorBidi" w:cstheme="majorBidi"/>
          <w:sz w:val="24"/>
          <w:szCs w:val="24"/>
        </w:rPr>
        <w:t>S</w:t>
      </w:r>
      <w:r w:rsidR="00581E70" w:rsidRPr="00581E70">
        <w:rPr>
          <w:rFonts w:asciiTheme="majorBidi" w:hAnsiTheme="majorBidi" w:cstheme="majorBidi"/>
          <w:noProof/>
          <w:sz w:val="24"/>
          <w:szCs w:val="24"/>
        </w:rPr>
        <w:t>2</w:t>
      </w:r>
      <w:r>
        <w:rPr>
          <w:rFonts w:asciiTheme="majorBidi" w:eastAsia="Times New Roman" w:hAnsiTheme="majorBidi" w:cstheme="majorBidi"/>
          <w:sz w:val="24"/>
          <w:szCs w:val="24"/>
        </w:rPr>
        <w:t>a‒b)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. The accumulation potential did not </w:t>
      </w:r>
      <w:r w:rsidR="00190DF8">
        <w:rPr>
          <w:rFonts w:asciiTheme="majorBidi" w:eastAsia="Times New Roman" w:hAnsiTheme="majorBidi" w:cstheme="majorBidi"/>
          <w:sz w:val="24"/>
          <w:szCs w:val="24"/>
        </w:rPr>
        <w:t>significantly impact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t</w:t>
      </w:r>
      <w:r>
        <w:rPr>
          <w:rFonts w:asciiTheme="majorBidi" w:eastAsia="Times New Roman" w:hAnsiTheme="majorBidi" w:cstheme="majorBidi"/>
          <w:sz w:val="24"/>
          <w:szCs w:val="24"/>
        </w:rPr>
        <w:t>he peak current, which indicated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the absence of significant electrostatic interaction between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CQP and the electrode surface, so OCP was used as the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defacto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accumulation potential.</w:t>
      </w:r>
    </w:p>
    <w:p w14:paraId="6055DB67" w14:textId="00503059" w:rsidR="007C1FD2" w:rsidRDefault="007C1FD2" w:rsidP="00AA2AC2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3093B">
        <w:rPr>
          <w:rFonts w:asciiTheme="majorBidi" w:eastAsia="Times New Roman" w:hAnsiTheme="majorBidi" w:cstheme="majorBidi"/>
          <w:sz w:val="24"/>
          <w:szCs w:val="24"/>
        </w:rPr>
        <w:t>On the contrary, accumulation time s</w:t>
      </w:r>
      <w:r w:rsidR="00190DF8">
        <w:rPr>
          <w:rFonts w:asciiTheme="majorBidi" w:eastAsia="Times New Roman" w:hAnsiTheme="majorBidi" w:cstheme="majorBidi"/>
          <w:sz w:val="24"/>
          <w:szCs w:val="24"/>
        </w:rPr>
        <w:t>ignificantly influenced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the oxidation peak current of CQP, where the peak current increased by ~163% as the accumulation time increased from 30 s to 5 min. It increased by ~22% as the time accumulation time was extended to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10 min (</w:t>
      </w:r>
      <w:r w:rsidR="00581E70" w:rsidRPr="00581E70">
        <w:rPr>
          <w:rFonts w:asciiTheme="majorBidi" w:hAnsiTheme="majorBidi" w:cstheme="majorBidi"/>
          <w:sz w:val="24"/>
          <w:szCs w:val="24"/>
        </w:rPr>
        <w:t xml:space="preserve">Fig. </w:t>
      </w:r>
      <w:r w:rsidR="00FD1DD2">
        <w:rPr>
          <w:rFonts w:asciiTheme="majorBidi" w:hAnsiTheme="majorBidi" w:cstheme="majorBidi"/>
          <w:sz w:val="24"/>
          <w:szCs w:val="24"/>
        </w:rPr>
        <w:t>S</w:t>
      </w:r>
      <w:r w:rsidR="00581E70" w:rsidRPr="00581E70">
        <w:rPr>
          <w:rFonts w:asciiTheme="majorBidi" w:hAnsiTheme="majorBidi" w:cstheme="majorBidi"/>
          <w:noProof/>
          <w:sz w:val="24"/>
          <w:szCs w:val="24"/>
        </w:rPr>
        <w:t>2</w:t>
      </w:r>
      <w:r>
        <w:rPr>
          <w:rFonts w:asciiTheme="majorBidi" w:eastAsia="Times New Roman" w:hAnsiTheme="majorBidi" w:cstheme="majorBidi"/>
          <w:sz w:val="24"/>
          <w:szCs w:val="24"/>
        </w:rPr>
        <w:t>c‒d). The strong influence of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the accumulation time on the oxidation peak signal of CQP could be explained by the adsorption</w:t>
      </w:r>
      <w:r>
        <w:rPr>
          <w:rFonts w:asciiTheme="majorBidi" w:eastAsia="Times New Roman" w:hAnsiTheme="majorBidi" w:cstheme="majorBidi"/>
          <w:sz w:val="24"/>
          <w:szCs w:val="24"/>
        </w:rPr>
        <w:t>-controlled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mechanism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of CQP oxidation that was elaborated on earlier and the large electrode surface area </w:t>
      </w:r>
      <w:r>
        <w:rPr>
          <w:rFonts w:asciiTheme="majorBidi" w:eastAsia="Times New Roman" w:hAnsiTheme="majorBidi" w:cstheme="majorBidi"/>
          <w:sz w:val="24"/>
          <w:szCs w:val="24"/>
        </w:rPr>
        <w:t>of SnO</w:t>
      </w:r>
      <w:r w:rsidRPr="00E161CC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eastAsia="Times New Roman" w:hAnsiTheme="majorBidi" w:cstheme="majorBidi"/>
          <w:sz w:val="24"/>
          <w:szCs w:val="24"/>
        </w:rPr>
        <w:t>-CPE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that allowed high CQP adsorption. The longer accumulation time allowed more CQP </w:t>
      </w:r>
      <w:r>
        <w:rPr>
          <w:rFonts w:asciiTheme="majorBidi" w:eastAsia="Times New Roman" w:hAnsiTheme="majorBidi" w:cstheme="majorBidi"/>
          <w:sz w:val="24"/>
          <w:szCs w:val="24"/>
        </w:rPr>
        <w:t>adsorption,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which resulted in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higher oxidation peak current. Considering the negative effect of too long accumulation time on the practical application of electrochemical sensors and that the rate of current increase </w:t>
      </w:r>
      <w:r>
        <w:rPr>
          <w:rFonts w:asciiTheme="majorBidi" w:eastAsia="Times New Roman" w:hAnsiTheme="majorBidi" w:cstheme="majorBidi"/>
          <w:sz w:val="24"/>
          <w:szCs w:val="24"/>
        </w:rPr>
        <w:t>with accumulation time decreased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lastRenderedPageBreak/>
        <w:t>beyond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5 min,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the optimal 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accumulation time </w:t>
      </w:r>
      <w:r>
        <w:rPr>
          <w:rFonts w:asciiTheme="majorBidi" w:eastAsia="Times New Roman" w:hAnsiTheme="majorBidi" w:cstheme="majorBidi"/>
          <w:sz w:val="24"/>
          <w:szCs w:val="24"/>
        </w:rPr>
        <w:t>was determined to be 5 min and was used for</w:t>
      </w:r>
      <w:r w:rsidRPr="0063093B">
        <w:rPr>
          <w:rFonts w:asciiTheme="majorBidi" w:eastAsia="Times New Roman" w:hAnsiTheme="majorBidi" w:cstheme="majorBidi"/>
          <w:sz w:val="24"/>
          <w:szCs w:val="24"/>
        </w:rPr>
        <w:t xml:space="preserve"> further investigations. </w:t>
      </w:r>
      <w:r>
        <w:rPr>
          <w:rFonts w:asciiTheme="majorBidi" w:eastAsia="Times New Roman" w:hAnsiTheme="majorBidi" w:cstheme="majorBidi"/>
          <w:sz w:val="24"/>
          <w:szCs w:val="24"/>
        </w:rPr>
        <w:t>The optimized analytical technique is summarized in</w:t>
      </w:r>
      <w:r w:rsidR="00581E7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81E70" w:rsidRPr="00581E70">
        <w:rPr>
          <w:rFonts w:asciiTheme="majorBidi" w:hAnsiTheme="majorBidi" w:cstheme="majorBidi"/>
          <w:sz w:val="24"/>
          <w:szCs w:val="24"/>
        </w:rPr>
        <w:t xml:space="preserve">Table </w:t>
      </w:r>
      <w:r w:rsidR="00FD1DD2">
        <w:rPr>
          <w:rFonts w:asciiTheme="majorBidi" w:hAnsiTheme="majorBidi" w:cstheme="majorBidi"/>
          <w:sz w:val="24"/>
          <w:szCs w:val="24"/>
        </w:rPr>
        <w:t>S</w:t>
      </w:r>
      <w:r w:rsidR="00581E70" w:rsidRPr="00581E70">
        <w:rPr>
          <w:rFonts w:asciiTheme="majorBidi" w:hAnsiTheme="majorBidi" w:cstheme="majorBidi"/>
          <w:noProof/>
          <w:sz w:val="24"/>
          <w:szCs w:val="24"/>
        </w:rPr>
        <w:t>1</w:t>
      </w:r>
      <w:r w:rsidRPr="00463FA5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7F36B85" w14:textId="604FA6A6" w:rsidR="007C1FD2" w:rsidRDefault="007C1FD2" w:rsidP="00AA2A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0F2C585" w14:textId="0591A06D" w:rsidR="00FD1DD2" w:rsidRPr="000928A0" w:rsidRDefault="00FD1DD2" w:rsidP="00AA2AC2">
      <w:pPr>
        <w:pStyle w:val="Caption"/>
        <w:keepNext/>
        <w:spacing w:after="0" w:line="480" w:lineRule="auto"/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</w:pPr>
      <w:bookmarkStart w:id="0" w:name="_Ref121239727"/>
      <w:r w:rsidRPr="00B0129A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S</w:t>
      </w:r>
      <w:r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</w:rPr>
        <w:t>1</w:t>
      </w:r>
      <w:bookmarkEnd w:id="0"/>
      <w:r w:rsidRPr="00B0129A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.</w:t>
      </w:r>
      <w:r w:rsidRPr="00B0129A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Optimized conditions for electrochemical analysis of CQP.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D1DD2" w14:paraId="2DBDA91E" w14:textId="77777777" w:rsidTr="004139D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041B3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56DAF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Optimal</w:t>
            </w:r>
          </w:p>
        </w:tc>
      </w:tr>
      <w:tr w:rsidR="00FD1DD2" w14:paraId="6BD4A0BF" w14:textId="77777777" w:rsidTr="004139D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DB5DE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Technique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6FAEA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SWV</w:t>
            </w:r>
          </w:p>
        </w:tc>
      </w:tr>
      <w:tr w:rsidR="00FD1DD2" w14:paraId="22F2D7AC" w14:textId="77777777" w:rsidTr="004139D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7B300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Potential increment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AEB55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40 mV</w:t>
            </w:r>
          </w:p>
        </w:tc>
      </w:tr>
      <w:tr w:rsidR="00FD1DD2" w14:paraId="510226E2" w14:textId="77777777" w:rsidTr="004139D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B960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Pulse period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C7430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 xml:space="preserve">50 </w:t>
            </w:r>
            <w:proofErr w:type="spellStart"/>
            <w:r w:rsidRPr="002F4ED0"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</w:p>
        </w:tc>
      </w:tr>
      <w:tr w:rsidR="00FD1DD2" w14:paraId="7A498946" w14:textId="77777777" w:rsidTr="004139D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96F3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Sampling width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DC2DD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proofErr w:type="spellStart"/>
            <w:r w:rsidRPr="002F4ED0"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</w:p>
        </w:tc>
      </w:tr>
      <w:tr w:rsidR="00FD1DD2" w14:paraId="264524D4" w14:textId="77777777" w:rsidTr="004139D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43F55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Pulse amplitude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E9849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120 mV</w:t>
            </w:r>
          </w:p>
        </w:tc>
      </w:tr>
      <w:tr w:rsidR="00FD1DD2" w14:paraId="1C98AE90" w14:textId="77777777" w:rsidTr="004139D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299AE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Accumulation potential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78B0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OCP (100 mV)</w:t>
            </w:r>
          </w:p>
        </w:tc>
      </w:tr>
      <w:tr w:rsidR="00FD1DD2" w14:paraId="75F68D2F" w14:textId="77777777" w:rsidTr="004139D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D8DC0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Accumulation time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C483" w14:textId="77777777" w:rsidR="00FD1DD2" w:rsidRPr="002F4ED0" w:rsidRDefault="00FD1DD2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F4ED0">
              <w:rPr>
                <w:rFonts w:asciiTheme="majorBidi" w:hAnsiTheme="majorBidi" w:cstheme="majorBidi"/>
                <w:sz w:val="24"/>
                <w:szCs w:val="24"/>
              </w:rPr>
              <w:t>5 min</w:t>
            </w:r>
          </w:p>
        </w:tc>
      </w:tr>
    </w:tbl>
    <w:p w14:paraId="0E933BBD" w14:textId="076CBFFD" w:rsidR="00FD1DD2" w:rsidRDefault="00FD1DD2" w:rsidP="00AA2A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2C3622D" w14:textId="0A9B166E" w:rsidR="00D649CD" w:rsidRPr="00AA2739" w:rsidRDefault="00D649CD" w:rsidP="00AA2AC2">
      <w:pPr>
        <w:spacing w:after="0" w:line="480" w:lineRule="auto"/>
        <w:jc w:val="both"/>
        <w:rPr>
          <w:rFonts w:asciiTheme="majorBidi" w:hAnsiTheme="majorBidi" w:cstheme="majorBidi"/>
        </w:rPr>
      </w:pPr>
      <w:r w:rsidRPr="00AA2739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  <w:noProof/>
        </w:rPr>
        <w:t>2</w:t>
      </w:r>
      <w:r w:rsidRPr="00AA2739">
        <w:rPr>
          <w:rFonts w:asciiTheme="majorBidi" w:hAnsiTheme="majorBidi" w:cstheme="majorBidi"/>
          <w:b/>
          <w:bCs/>
        </w:rPr>
        <w:t xml:space="preserve">. </w:t>
      </w:r>
      <w:r w:rsidRPr="00AA2739">
        <w:rPr>
          <w:rFonts w:asciiTheme="majorBidi" w:hAnsiTheme="majorBidi" w:cstheme="majorBidi"/>
        </w:rPr>
        <w:t>EIS quantitative analysis of CPEs with different SnO</w:t>
      </w:r>
      <w:r w:rsidRPr="00AA2739">
        <w:rPr>
          <w:rFonts w:asciiTheme="majorBidi" w:hAnsiTheme="majorBidi" w:cstheme="majorBidi"/>
          <w:vertAlign w:val="subscript"/>
        </w:rPr>
        <w:t>2</w:t>
      </w:r>
      <w:r w:rsidRPr="00AA2739">
        <w:rPr>
          <w:rFonts w:asciiTheme="majorBidi" w:hAnsiTheme="majorBidi" w:cstheme="majorBidi"/>
        </w:rPr>
        <w:t xml:space="preserve"> content.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2977"/>
      </w:tblGrid>
      <w:tr w:rsidR="00D649CD" w14:paraId="4010C5EE" w14:textId="77777777" w:rsidTr="00EE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31F7" w14:textId="77777777" w:rsidR="00D649CD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SnO</w:t>
            </w:r>
            <w:r w:rsidRPr="00433F7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content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%)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B8D80" w14:textId="77777777" w:rsidR="00D649CD" w:rsidRDefault="00D649CD" w:rsidP="00AA2AC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433F7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s</w:t>
            </w:r>
            <w:r w:rsidRPr="00433F79">
              <w:rPr>
                <w:rFonts w:asciiTheme="majorBidi" w:hAnsiTheme="majorBidi" w:cstheme="majorBidi"/>
                <w:sz w:val="24"/>
                <w:szCs w:val="24"/>
              </w:rPr>
              <w:t xml:space="preserve"> (Ω)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026E4" w14:textId="77777777" w:rsidR="00D649CD" w:rsidRDefault="00D649CD" w:rsidP="00AA2AC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433F7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CT</w:t>
            </w:r>
            <w:r w:rsidRPr="00433F79">
              <w:rPr>
                <w:rFonts w:asciiTheme="majorBidi" w:hAnsiTheme="majorBidi" w:cstheme="majorBidi"/>
                <w:sz w:val="24"/>
                <w:szCs w:val="24"/>
              </w:rPr>
              <w:t xml:space="preserve"> (Ω)</w:t>
            </w:r>
          </w:p>
        </w:tc>
      </w:tr>
      <w:tr w:rsidR="00D649CD" w14:paraId="7EE41492" w14:textId="77777777" w:rsidTr="00EE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11C7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4E2B9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AAE79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2840</w:t>
            </w:r>
          </w:p>
        </w:tc>
      </w:tr>
      <w:tr w:rsidR="00D649CD" w14:paraId="2F21F056" w14:textId="77777777" w:rsidTr="00EE05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62339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F0B1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B6582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1380</w:t>
            </w:r>
          </w:p>
        </w:tc>
      </w:tr>
      <w:tr w:rsidR="00D649CD" w14:paraId="2BF82092" w14:textId="77777777" w:rsidTr="00EE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DF15A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0E8ED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4C721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</w:tr>
      <w:tr w:rsidR="00D649CD" w14:paraId="593B9BBF" w14:textId="77777777" w:rsidTr="00EE05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43DF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C31D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80819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</w:tc>
      </w:tr>
      <w:tr w:rsidR="00D649CD" w14:paraId="668101AC" w14:textId="77777777" w:rsidTr="00EE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2C12E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9F6E6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1B2B0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</w:tr>
      <w:tr w:rsidR="00257708" w14:paraId="7D5E715A" w14:textId="77777777" w:rsidTr="00EE05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D7203" w14:textId="5A2BC9E7" w:rsidR="00257708" w:rsidRPr="00257708" w:rsidRDefault="00257708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highlight w:val="yellow"/>
              </w:rPr>
            </w:pPr>
            <w:r w:rsidRPr="00257708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BD26E" w14:textId="27085839" w:rsidR="00257708" w:rsidRPr="00257708" w:rsidRDefault="00257708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5770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48AD2" w14:textId="4C8E2ED0" w:rsidR="00257708" w:rsidRPr="00257708" w:rsidRDefault="00257708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5770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103</w:t>
            </w:r>
          </w:p>
        </w:tc>
      </w:tr>
    </w:tbl>
    <w:p w14:paraId="7E2A0783" w14:textId="77777777" w:rsidR="00D649CD" w:rsidRDefault="00D649CD" w:rsidP="00AA2AC2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D6F193D" w14:textId="77777777" w:rsidR="00D649CD" w:rsidRDefault="00D649CD" w:rsidP="00AA2AC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A27FB53" w14:textId="30F6D696" w:rsidR="00D649CD" w:rsidRPr="000928A0" w:rsidRDefault="00D649CD" w:rsidP="00AA2AC2">
      <w:pPr>
        <w:spacing w:after="0" w:line="480" w:lineRule="auto"/>
        <w:rPr>
          <w:rFonts w:asciiTheme="majorBidi" w:hAnsiTheme="majorBidi" w:cstheme="majorBidi"/>
          <w:i/>
          <w:iCs/>
        </w:rPr>
      </w:pPr>
      <w:bookmarkStart w:id="1" w:name="_Ref121240446"/>
      <w:r w:rsidRPr="000928A0">
        <w:rPr>
          <w:rFonts w:asciiTheme="majorBidi" w:hAnsiTheme="majorBidi" w:cstheme="majorBidi"/>
          <w:b/>
          <w:bCs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  <w:noProof/>
        </w:rPr>
        <w:t>3</w:t>
      </w:r>
      <w:bookmarkEnd w:id="1"/>
      <w:r w:rsidRPr="000928A0">
        <w:rPr>
          <w:rFonts w:asciiTheme="majorBidi" w:hAnsiTheme="majorBidi" w:cstheme="majorBidi"/>
          <w:b/>
          <w:bCs/>
        </w:rPr>
        <w:t>.</w:t>
      </w:r>
      <w:r w:rsidRPr="000928A0">
        <w:rPr>
          <w:rFonts w:asciiTheme="majorBidi" w:hAnsiTheme="majorBidi" w:cstheme="majorBidi"/>
        </w:rPr>
        <w:t xml:space="preserve"> Comparison of the performance of SnO</w:t>
      </w:r>
      <w:r w:rsidRPr="003A1161">
        <w:rPr>
          <w:rFonts w:asciiTheme="majorBidi" w:hAnsiTheme="majorBidi" w:cstheme="majorBidi"/>
          <w:vertAlign w:val="subscript"/>
        </w:rPr>
        <w:t>2</w:t>
      </w:r>
      <w:r w:rsidRPr="000928A0">
        <w:rPr>
          <w:rFonts w:asciiTheme="majorBidi" w:hAnsiTheme="majorBidi" w:cstheme="majorBidi"/>
        </w:rPr>
        <w:t>-CPE for CQP detection with the literature</w:t>
      </w:r>
      <w:r>
        <w:rPr>
          <w:rFonts w:asciiTheme="majorBidi" w:hAnsiTheme="majorBidi" w:cstheme="majorBidi"/>
        </w:rPr>
        <w:t>.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1335"/>
        <w:gridCol w:w="1589"/>
        <w:gridCol w:w="1083"/>
        <w:gridCol w:w="1566"/>
        <w:gridCol w:w="1336"/>
      </w:tblGrid>
      <w:tr w:rsidR="00D649CD" w14:paraId="35BD48B5" w14:textId="77777777" w:rsidTr="00427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0AE1618B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sz w:val="24"/>
                <w:szCs w:val="24"/>
              </w:rPr>
              <w:t>Electrode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0367C26E" w14:textId="77777777" w:rsidR="00D649CD" w:rsidRPr="000928A0" w:rsidRDefault="00D649CD" w:rsidP="00AA2AC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sz w:val="24"/>
                <w:szCs w:val="24"/>
              </w:rPr>
              <w:t>Technique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3E9A9A87" w14:textId="77777777" w:rsidR="00D649CD" w:rsidRPr="000928A0" w:rsidRDefault="00D649CD" w:rsidP="00AA2AC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sz w:val="24"/>
                <w:szCs w:val="24"/>
              </w:rPr>
              <w:t>Linear range (µM)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4C26F918" w14:textId="77777777" w:rsidR="00D649CD" w:rsidRPr="000928A0" w:rsidRDefault="00D649CD" w:rsidP="00AA2AC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sz w:val="24"/>
                <w:szCs w:val="24"/>
              </w:rPr>
              <w:t>LOD (µM)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E2EF593" w14:textId="77777777" w:rsidR="00D649CD" w:rsidRPr="000928A0" w:rsidRDefault="00D649CD" w:rsidP="00AA2AC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sz w:val="24"/>
                <w:szCs w:val="24"/>
              </w:rPr>
              <w:t>Sensitivity (µA/µM.cm</w:t>
            </w:r>
            <w:r w:rsidRPr="000928A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0928A0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3A8FB270" w14:textId="77777777" w:rsidR="00D649CD" w:rsidRPr="000928A0" w:rsidRDefault="00D649CD" w:rsidP="00AA2AC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sz w:val="24"/>
                <w:szCs w:val="24"/>
              </w:rPr>
              <w:t>Ref</w:t>
            </w:r>
          </w:p>
        </w:tc>
      </w:tr>
      <w:tr w:rsidR="00D649CD" w14:paraId="1B75AA68" w14:textId="77777777" w:rsidTr="0042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399B0F50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SnO</w:t>
            </w: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-CPE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0CA73573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SWV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05BA37E6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0.1-23.3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3FF3218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0319DC3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35.7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0A7DE98E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This work</w:t>
            </w:r>
          </w:p>
        </w:tc>
      </w:tr>
      <w:tr w:rsidR="00D649CD" w14:paraId="639B3C7C" w14:textId="77777777" w:rsidTr="00427D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0C171405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DNA/CPE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6C67A98A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DPV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5FE011A6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0.1-10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3211EEF0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0.03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75083AA9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7BF5E8D" w14:textId="68169FEB" w:rsidR="00D649CD" w:rsidRPr="00244C69" w:rsidRDefault="0071219C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[</w:t>
            </w:r>
            <w:r w:rsidR="004D5431" w:rsidRPr="002C7345">
              <w:t>1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]</w:t>
            </w:r>
          </w:p>
        </w:tc>
      </w:tr>
      <w:tr w:rsidR="00D649CD" w14:paraId="4D471BF3" w14:textId="77777777" w:rsidTr="0042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556C4526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gramStart"/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Cu(</w:t>
            </w:r>
            <w:proofErr w:type="gramEnd"/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OH)</w:t>
            </w: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nanowires/CPE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35A5B66C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DPV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31540B20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0.13-13.3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003BA5D1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0B54F894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5D0FB57" w14:textId="7E6E85C8" w:rsidR="00D649CD" w:rsidRPr="00244C69" w:rsidRDefault="0071219C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[</w:t>
            </w:r>
            <w:r w:rsidR="004D5431" w:rsidRPr="002C7345">
              <w:t>2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]</w:t>
            </w:r>
          </w:p>
        </w:tc>
      </w:tr>
      <w:tr w:rsidR="00D649CD" w14:paraId="6FB5CA30" w14:textId="77777777" w:rsidTr="00427D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3C0824A6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B-doped diamond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F72D94F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SWV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14077FD9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0.01-0.25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7EC05AA1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3461D889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12.2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8BCD7F6" w14:textId="7F15F11C" w:rsidR="00D649CD" w:rsidRPr="00244C69" w:rsidRDefault="0071219C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[</w:t>
            </w:r>
            <w:r w:rsidR="004D5431" w:rsidRPr="002C7345">
              <w:t>3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]</w:t>
            </w:r>
          </w:p>
        </w:tc>
      </w:tr>
      <w:tr w:rsidR="00D649CD" w14:paraId="0E5B0CA7" w14:textId="77777777" w:rsidTr="0042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2C1A7AC4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rGO@WS</w:t>
            </w: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bscript"/>
              </w:rPr>
              <w:t>2</w:t>
            </w:r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/GCE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0EE47744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DPV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6DC018CF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0.5-82.4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7D84A45F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64A2D55C" w14:textId="77777777" w:rsidR="00D649CD" w:rsidRDefault="00D649CD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5E00635" w14:textId="76D572BB" w:rsidR="00D649CD" w:rsidRPr="00244C69" w:rsidRDefault="0071219C" w:rsidP="00AA2AC2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[</w:t>
            </w:r>
            <w:r w:rsidR="004D5431" w:rsidRPr="002C7345">
              <w:t>4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]</w:t>
            </w:r>
          </w:p>
        </w:tc>
      </w:tr>
      <w:tr w:rsidR="00D649CD" w14:paraId="0540514F" w14:textId="77777777" w:rsidTr="00427D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56011DA3" w14:textId="77777777" w:rsidR="00D649CD" w:rsidRPr="000928A0" w:rsidRDefault="00D649CD" w:rsidP="00AA2AC2">
            <w:pPr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ZnSe-rGO</w:t>
            </w:r>
            <w:proofErr w:type="spellEnd"/>
            <w:r w:rsidRPr="000928A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/SPE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03DACE2F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DPV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7C249DFD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0.2-250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23CDE69A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0.0014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14:paraId="2D1466CE" w14:textId="77777777" w:rsidR="00D649CD" w:rsidRDefault="00D649CD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43.9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02B8C3E8" w14:textId="6763E908" w:rsidR="00D649CD" w:rsidRPr="00244C69" w:rsidRDefault="0071219C" w:rsidP="00AA2AC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[</w:t>
            </w:r>
            <w:r w:rsidR="004D5431" w:rsidRPr="002C7345">
              <w:t>5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]</w:t>
            </w:r>
          </w:p>
        </w:tc>
      </w:tr>
    </w:tbl>
    <w:p w14:paraId="0F7BF5C2" w14:textId="0C6C98EB" w:rsidR="00D649CD" w:rsidRDefault="00D649CD" w:rsidP="00AA2AC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6328061" w14:textId="38D1A357" w:rsidR="00E6432F" w:rsidRDefault="00DE55B8" w:rsidP="0009257A">
      <w:pPr>
        <w:keepNext/>
        <w:spacing w:after="12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809A9F0" wp14:editId="5EBB566D">
            <wp:extent cx="5580000" cy="5017446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" t="2893" r="6933" b="1299"/>
                    <a:stretch/>
                  </pic:blipFill>
                  <pic:spPr bwMode="auto">
                    <a:xfrm>
                      <a:off x="0" y="0"/>
                      <a:ext cx="5580000" cy="501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329E4" w14:textId="036C04FB" w:rsidR="00E6432F" w:rsidRPr="00A35474" w:rsidRDefault="00E6432F" w:rsidP="00F564DA">
      <w:pPr>
        <w:pStyle w:val="Caption"/>
        <w:jc w:val="both"/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</w:pPr>
      <w:r w:rsidRPr="00A3547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highlight w:val="yellow"/>
        </w:rPr>
        <w:t>Fig</w:t>
      </w:r>
      <w:r w:rsidR="00F412AF" w:rsidRPr="00A3547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highlight w:val="yellow"/>
        </w:rPr>
        <w:t>.</w:t>
      </w:r>
      <w:r w:rsidRPr="00A3547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highlight w:val="yellow"/>
        </w:rPr>
        <w:t xml:space="preserve"> </w:t>
      </w:r>
      <w:r w:rsidR="00251F93" w:rsidRPr="00A3547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highlight w:val="yellow"/>
        </w:rPr>
        <w:t>S</w:t>
      </w:r>
      <w:r w:rsidRPr="00A35474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  <w:highlight w:val="yellow"/>
        </w:rPr>
        <w:t>1</w:t>
      </w:r>
      <w:r w:rsidRPr="00A35474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>. (a) FTIR spectra</w:t>
      </w:r>
      <w:r w:rsidR="00247A3B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 xml:space="preserve">, </w:t>
      </w:r>
      <w:r w:rsidRPr="00A35474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>(b) TGA profiles</w:t>
      </w:r>
      <w:r w:rsidR="008E0D2E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>, (c) XPS survey spectra</w:t>
      </w:r>
      <w:r w:rsidR="00C804F3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>,</w:t>
      </w:r>
      <w:r w:rsidR="008E0D2E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 xml:space="preserve"> and (d) XPS Sn 3d core-level spectrum</w:t>
      </w:r>
      <w:r w:rsidRPr="00A35474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 xml:space="preserve"> of </w:t>
      </w:r>
      <w:r w:rsidR="008E0D2E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>(a‒c) 0% and 40% SnO</w:t>
      </w:r>
      <w:r w:rsidR="008E0D2E" w:rsidRPr="004D5964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  <w:vertAlign w:val="subscript"/>
        </w:rPr>
        <w:t>2</w:t>
      </w:r>
      <w:r w:rsidR="008E0D2E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>-CPE and (d) 40%-SnO</w:t>
      </w:r>
      <w:r w:rsidR="008E0D2E" w:rsidRPr="004D5964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  <w:vertAlign w:val="subscript"/>
        </w:rPr>
        <w:t>2</w:t>
      </w:r>
      <w:r w:rsidR="008E0D2E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 xml:space="preserve"> CPE.</w:t>
      </w:r>
    </w:p>
    <w:p w14:paraId="47704478" w14:textId="38FF8709" w:rsidR="004865A9" w:rsidRPr="00A35474" w:rsidRDefault="004865A9" w:rsidP="00AA2AC2">
      <w:pPr>
        <w:rPr>
          <w:highlight w:val="yellow"/>
        </w:rPr>
      </w:pPr>
    </w:p>
    <w:p w14:paraId="57AA2363" w14:textId="77777777" w:rsidR="007C1FD2" w:rsidRDefault="007C1FD2" w:rsidP="00AA2AC2">
      <w:pPr>
        <w:keepNext/>
        <w:spacing w:after="120" w:line="240" w:lineRule="auto"/>
        <w:jc w:val="center"/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6251BA8F" wp14:editId="746EE8B2">
            <wp:extent cx="4572000" cy="766193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" t="1127" r="6528" b="852"/>
                    <a:stretch/>
                  </pic:blipFill>
                  <pic:spPr bwMode="auto">
                    <a:xfrm>
                      <a:off x="0" y="0"/>
                      <a:ext cx="4572000" cy="76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1C7C3C" w14:textId="79128176" w:rsidR="007C1FD2" w:rsidRDefault="007C1FD2" w:rsidP="00AA2AC2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bookmarkStart w:id="2" w:name="_Ref121239552"/>
      <w:r w:rsidRPr="005966BE">
        <w:rPr>
          <w:rFonts w:asciiTheme="majorBidi" w:hAnsiTheme="majorBidi" w:cstheme="majorBidi"/>
          <w:b/>
          <w:bCs/>
        </w:rPr>
        <w:t>Fig</w:t>
      </w:r>
      <w:r>
        <w:rPr>
          <w:rFonts w:asciiTheme="majorBidi" w:hAnsiTheme="majorBidi" w:cstheme="majorBidi"/>
          <w:b/>
          <w:bCs/>
          <w:i/>
          <w:iCs/>
        </w:rPr>
        <w:t>.</w:t>
      </w:r>
      <w:r w:rsidRPr="005966BE">
        <w:rPr>
          <w:rFonts w:asciiTheme="majorBidi" w:hAnsiTheme="majorBidi" w:cstheme="majorBidi"/>
          <w:b/>
          <w:bCs/>
        </w:rPr>
        <w:t xml:space="preserve"> </w:t>
      </w:r>
      <w:r w:rsidR="00FD1DD2">
        <w:rPr>
          <w:rFonts w:asciiTheme="majorBidi" w:hAnsiTheme="majorBidi" w:cstheme="majorBidi"/>
          <w:b/>
          <w:bCs/>
        </w:rPr>
        <w:t>S</w:t>
      </w:r>
      <w:bookmarkEnd w:id="2"/>
      <w:r w:rsidR="00BE4334">
        <w:rPr>
          <w:rFonts w:asciiTheme="majorBidi" w:hAnsiTheme="majorBidi" w:cstheme="majorBidi"/>
          <w:b/>
          <w:bCs/>
        </w:rPr>
        <w:t>2</w:t>
      </w:r>
      <w:r w:rsidRPr="005966BE">
        <w:rPr>
          <w:rFonts w:asciiTheme="majorBidi" w:hAnsiTheme="majorBidi" w:cstheme="majorBidi"/>
          <w:b/>
          <w:bCs/>
        </w:rPr>
        <w:t>.</w:t>
      </w:r>
      <w:r w:rsidRPr="005966BE">
        <w:rPr>
          <w:rFonts w:asciiTheme="majorBidi" w:hAnsiTheme="majorBidi" w:cstheme="majorBidi"/>
        </w:rPr>
        <w:t xml:space="preserve"> Optimization of SWV parameters of (a‒b) potential </w:t>
      </w:r>
      <w:r>
        <w:rPr>
          <w:rFonts w:asciiTheme="majorBidi" w:hAnsiTheme="majorBidi" w:cstheme="majorBidi"/>
        </w:rPr>
        <w:t>increment</w:t>
      </w:r>
      <w:r w:rsidRPr="005966BE">
        <w:rPr>
          <w:rFonts w:asciiTheme="majorBidi" w:hAnsiTheme="majorBidi" w:cstheme="majorBidi"/>
        </w:rPr>
        <w:t xml:space="preserve">, (c‒d) pulse period, (e‒f) sampling width, and (g‒h) pulse amplitude </w:t>
      </w:r>
      <w:r>
        <w:rPr>
          <w:rFonts w:asciiTheme="majorBidi" w:hAnsiTheme="majorBidi" w:cstheme="majorBidi"/>
        </w:rPr>
        <w:t>using</w:t>
      </w:r>
      <w:r w:rsidRPr="00F53032">
        <w:rPr>
          <w:rFonts w:asciiTheme="majorBidi" w:hAnsiTheme="majorBidi" w:cstheme="majorBidi"/>
        </w:rPr>
        <w:t xml:space="preserve"> </w:t>
      </w:r>
      <w:r w:rsidRPr="00084D90">
        <w:rPr>
          <w:rFonts w:asciiTheme="majorBidi" w:hAnsiTheme="majorBidi" w:cstheme="majorBidi"/>
        </w:rPr>
        <w:t>35 µM CQP in pH 7</w:t>
      </w:r>
      <w:r>
        <w:rPr>
          <w:rFonts w:asciiTheme="majorBidi" w:hAnsiTheme="majorBidi" w:cstheme="majorBidi"/>
        </w:rPr>
        <w:t>.3</w:t>
      </w:r>
      <w:r w:rsidRPr="00084D90">
        <w:rPr>
          <w:rFonts w:asciiTheme="majorBidi" w:hAnsiTheme="majorBidi" w:cstheme="majorBidi"/>
        </w:rPr>
        <w:t xml:space="preserve"> phosphate buffer</w:t>
      </w:r>
      <w:r>
        <w:rPr>
          <w:rFonts w:asciiTheme="majorBidi" w:hAnsiTheme="majorBidi" w:cstheme="majorBidi"/>
        </w:rPr>
        <w:t xml:space="preserve"> and </w:t>
      </w:r>
      <w:r w:rsidRPr="00084D90">
        <w:rPr>
          <w:rFonts w:asciiTheme="majorBidi" w:hAnsiTheme="majorBidi" w:cstheme="majorBidi"/>
        </w:rPr>
        <w:t xml:space="preserve">40% </w:t>
      </w:r>
      <w:r w:rsidRPr="00AA7C6C">
        <w:rPr>
          <w:rFonts w:asciiTheme="majorBidi" w:hAnsiTheme="majorBidi" w:cstheme="majorBidi"/>
        </w:rPr>
        <w:t>SnO</w:t>
      </w:r>
      <w:r w:rsidRPr="00AA7C6C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-</w:t>
      </w:r>
      <w:r w:rsidRPr="00AA7C6C">
        <w:rPr>
          <w:rFonts w:asciiTheme="majorBidi" w:hAnsiTheme="majorBidi" w:cstheme="majorBidi"/>
        </w:rPr>
        <w:t>CPE</w:t>
      </w:r>
      <w:r>
        <w:rPr>
          <w:rFonts w:asciiTheme="majorBidi" w:hAnsiTheme="majorBidi" w:cstheme="majorBidi"/>
        </w:rPr>
        <w:t>.</w:t>
      </w:r>
    </w:p>
    <w:p w14:paraId="20D6D986" w14:textId="77777777" w:rsidR="007C1FD2" w:rsidRDefault="007C1FD2" w:rsidP="00AA2AC2">
      <w:pPr>
        <w:pStyle w:val="Caption"/>
        <w:spacing w:line="480" w:lineRule="auto"/>
        <w:jc w:val="center"/>
      </w:pPr>
      <w:r>
        <w:rPr>
          <w:rFonts w:asciiTheme="majorBidi" w:hAnsiTheme="majorBidi" w:cstheme="majorBidi"/>
          <w:sz w:val="24"/>
          <w:szCs w:val="24"/>
        </w:rPr>
        <w:br w:type="page"/>
      </w: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5DE1F251" wp14:editId="4019FECB">
            <wp:extent cx="5400000" cy="470932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" t="2088" r="5735" b="2212"/>
                    <a:stretch/>
                  </pic:blipFill>
                  <pic:spPr bwMode="auto">
                    <a:xfrm>
                      <a:off x="0" y="0"/>
                      <a:ext cx="5400000" cy="47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3A758" w14:textId="7C241293" w:rsidR="007C1FD2" w:rsidRDefault="007C1FD2" w:rsidP="00AA2AC2">
      <w:pPr>
        <w:pStyle w:val="Caption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" w:name="_Ref121239610"/>
      <w:r w:rsidRPr="00F25BA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Fig</w:t>
      </w:r>
      <w:r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.</w:t>
      </w:r>
      <w:r w:rsidRPr="00F25BA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FD1DD2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S</w:t>
      </w:r>
      <w:bookmarkEnd w:id="3"/>
      <w:r w:rsidR="00BE433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3</w:t>
      </w:r>
      <w:r w:rsidRPr="00F25BA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.</w:t>
      </w:r>
      <w:r w:rsidRPr="00F25BA8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Optimization of accumulation (a</w:t>
      </w:r>
      <w:r w:rsidRPr="005966BE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‒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b) potential and (c</w:t>
      </w:r>
      <w:r w:rsidRPr="005966BE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‒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d) time using</w:t>
      </w:r>
      <w:r w:rsidRPr="005966BE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</w:t>
      </w:r>
      <w:r w:rsidRPr="00084D90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35 µM CQP in pH 7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.3</w:t>
      </w:r>
      <w:r w:rsidRPr="00084D90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phosphate buffer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and </w:t>
      </w:r>
      <w:r w:rsidRPr="00084D90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40% </w:t>
      </w:r>
      <w:r w:rsidRPr="00AA7C6C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SnO</w:t>
      </w:r>
      <w:r w:rsidRPr="00AA7C6C">
        <w:rPr>
          <w:rFonts w:asciiTheme="majorBidi" w:hAnsiTheme="majorBidi" w:cstheme="majorBidi"/>
          <w:i w:val="0"/>
          <w:iCs w:val="0"/>
          <w:color w:val="auto"/>
          <w:sz w:val="22"/>
          <w:szCs w:val="22"/>
          <w:vertAlign w:val="subscript"/>
        </w:rPr>
        <w:t>2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-</w:t>
      </w:r>
      <w:r w:rsidRPr="00AA7C6C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CPE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.</w:t>
      </w:r>
    </w:p>
    <w:p w14:paraId="2317C79E" w14:textId="32D1C369" w:rsidR="00581E70" w:rsidRDefault="007C1FD2" w:rsidP="00AA2AC2">
      <w:pPr>
        <w:spacing w:line="480" w:lineRule="auto"/>
        <w:rPr>
          <w:rFonts w:asciiTheme="majorBidi" w:hAnsiTheme="majorBidi" w:cstheme="majorBidi"/>
          <w:i/>
          <w:iCs/>
          <w:color w:val="44546A" w:themeColor="text2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067E74C" w14:textId="77777777" w:rsidR="00F57596" w:rsidRDefault="00F57596" w:rsidP="00AA2AC2">
      <w:pPr>
        <w:keepNext/>
        <w:spacing w:line="480" w:lineRule="auto"/>
        <w:jc w:val="center"/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31429F74" wp14:editId="280A4645">
            <wp:extent cx="5400000" cy="69920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" t="1854" r="6219" b="1261"/>
                    <a:stretch/>
                  </pic:blipFill>
                  <pic:spPr bwMode="auto">
                    <a:xfrm>
                      <a:off x="0" y="0"/>
                      <a:ext cx="5400000" cy="699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A2372" w14:textId="3044A756" w:rsidR="004F2A1E" w:rsidRDefault="00F57596" w:rsidP="00AA2AC2">
      <w:pPr>
        <w:pStyle w:val="Caption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57596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Figure </w:t>
      </w:r>
      <w:r w:rsidR="00EC1665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S</w:t>
      </w:r>
      <w:r w:rsidR="00BE433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4</w:t>
      </w:r>
      <w:r w:rsidRPr="00F57596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.</w:t>
      </w:r>
      <w:r w:rsidRPr="00F57596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SWV profiles of </w:t>
      </w:r>
      <w:r w:rsidRPr="00B54C90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CQP in the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</w:t>
      </w:r>
      <w:r w:rsidRPr="00B54C90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presence of various 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interferents</w:t>
      </w:r>
      <w:r w:rsidRPr="00B54C90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at 10</w:t>
      </w:r>
      <w:r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‒</w:t>
      </w:r>
      <w:r w:rsidRPr="00B54C90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100</w:t>
      </w:r>
      <m:oMath>
        <m:r>
          <w:rPr>
            <w:rFonts w:ascii="Cambria Math" w:hAnsi="Cambria Math" w:cstheme="majorBidi"/>
            <w:color w:val="auto"/>
            <w:sz w:val="22"/>
            <w:szCs w:val="22"/>
          </w:rPr>
          <m:t>×</m:t>
        </m:r>
      </m:oMath>
      <w:r w:rsidRPr="00B54C90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molar ratio</w:t>
      </w:r>
    </w:p>
    <w:p w14:paraId="7DF70FE7" w14:textId="77777777" w:rsidR="004F2A1E" w:rsidRDefault="004F2A1E" w:rsidP="00AA2AC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ECBD5D0" w14:textId="77777777" w:rsidR="00F57596" w:rsidRDefault="004F2A1E" w:rsidP="00AA2AC2">
      <w:pPr>
        <w:keepNext/>
        <w:spacing w:line="480" w:lineRule="auto"/>
        <w:jc w:val="center"/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24BFFC44" wp14:editId="0E1A6F28">
            <wp:extent cx="6120000" cy="265696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" t="3650" r="5963" b="4239"/>
                    <a:stretch/>
                  </pic:blipFill>
                  <pic:spPr bwMode="auto">
                    <a:xfrm>
                      <a:off x="0" y="0"/>
                      <a:ext cx="6120000" cy="26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EBA07" w14:textId="7BE2020F" w:rsidR="004F2A1E" w:rsidRPr="00F57596" w:rsidRDefault="00F57596" w:rsidP="00AA2AC2">
      <w:pPr>
        <w:pStyle w:val="Caption"/>
        <w:spacing w:line="480" w:lineRule="auto"/>
        <w:jc w:val="both"/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</w:pPr>
      <w:r w:rsidRPr="00F57596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Figure </w:t>
      </w:r>
      <w:r w:rsidR="00EC1665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S</w:t>
      </w:r>
      <w:r w:rsidR="00BE4334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</w:rPr>
        <w:t>5</w:t>
      </w:r>
      <w:r w:rsidRPr="00F57596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.</w:t>
      </w:r>
      <w:r w:rsidRPr="00F57596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SWV profiles of (a) 4.9 µM and (b) 35 µM CQP in pH 7.3 phosphate buffer</w:t>
      </w:r>
      <w:r w:rsidR="007C440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,</w:t>
      </w:r>
      <w:r w:rsidRPr="00F57596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conducted five times using (a) the same and (b) different CPEs. </w:t>
      </w:r>
    </w:p>
    <w:p w14:paraId="4F166D12" w14:textId="77777777" w:rsidR="004F2A1E" w:rsidRDefault="004F2A1E" w:rsidP="00AA2AC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098A01D" w14:textId="77777777" w:rsidR="00F57596" w:rsidRDefault="004F2A1E" w:rsidP="00AA2AC2">
      <w:pPr>
        <w:keepNext/>
        <w:spacing w:line="480" w:lineRule="auto"/>
        <w:jc w:val="center"/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01E1E00" wp14:editId="077DCD50">
            <wp:extent cx="4400550" cy="36004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0" t="8527" r="11299" b="4363"/>
                    <a:stretch/>
                  </pic:blipFill>
                  <pic:spPr bwMode="auto">
                    <a:xfrm>
                      <a:off x="0" y="0"/>
                      <a:ext cx="44005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CF520" w14:textId="208892E3" w:rsidR="0071219C" w:rsidRDefault="00F57596" w:rsidP="00AA2AC2">
      <w:pPr>
        <w:pStyle w:val="Caption"/>
        <w:spacing w:line="480" w:lineRule="auto"/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</w:pPr>
      <w:r w:rsidRPr="00924BF1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 xml:space="preserve">Figure </w:t>
      </w:r>
      <w:r w:rsidR="00EC1665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S</w:t>
      </w:r>
      <w:r w:rsidR="00BE4334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</w:rPr>
        <w:t>6</w:t>
      </w:r>
      <w:r w:rsidR="00924BF1" w:rsidRPr="00924BF1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t>.</w:t>
      </w:r>
      <w:r w:rsidR="00924BF1" w:rsidRPr="00924BF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SWV profiles of </w:t>
      </w:r>
      <w:r w:rsidR="00924BF1" w:rsidRPr="00F57596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CQP in pH 7.3 phosphate buffe</w:t>
      </w:r>
      <w:r w:rsidR="00924BF1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>r before and after storage for seven days.</w:t>
      </w:r>
    </w:p>
    <w:p w14:paraId="20259BE4" w14:textId="6472C671" w:rsidR="0071219C" w:rsidRDefault="0071219C" w:rsidP="00AA2AC2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br w:type="page"/>
      </w:r>
    </w:p>
    <w:p w14:paraId="710EE6A9" w14:textId="77777777" w:rsidR="0007476B" w:rsidRDefault="00454E83" w:rsidP="00AA2AC2">
      <w:pPr>
        <w:keepNext/>
        <w:jc w:val="center"/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08EF5B90" wp14:editId="5501B8C8">
            <wp:extent cx="4320000" cy="355057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8" t="9555" r="11817" b="3772"/>
                    <a:stretch/>
                  </pic:blipFill>
                  <pic:spPr bwMode="auto">
                    <a:xfrm>
                      <a:off x="0" y="0"/>
                      <a:ext cx="4320000" cy="355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3CE6B" w14:textId="3BBED987" w:rsidR="00454E83" w:rsidRDefault="0007476B" w:rsidP="00AA2AC2">
      <w:pPr>
        <w:pStyle w:val="Caption"/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</w:pPr>
      <w:r w:rsidRPr="00D7036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highlight w:val="yellow"/>
        </w:rPr>
        <w:t>Figure S</w:t>
      </w:r>
      <w:r w:rsidR="00BE4334" w:rsidRPr="00D7036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highlight w:val="yellow"/>
        </w:rPr>
        <w:t>7</w:t>
      </w:r>
      <w:r w:rsidRPr="00D7036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highlight w:val="yellow"/>
        </w:rPr>
        <w:t>.</w:t>
      </w:r>
      <w:r w:rsidRPr="00D70368">
        <w:rPr>
          <w:rFonts w:asciiTheme="majorBidi" w:hAnsiTheme="majorBidi" w:cstheme="majorBidi"/>
          <w:i w:val="0"/>
          <w:iCs w:val="0"/>
          <w:color w:val="auto"/>
          <w:sz w:val="22"/>
          <w:szCs w:val="22"/>
          <w:highlight w:val="yellow"/>
        </w:rPr>
        <w:t xml:space="preserve"> SWV profiles of CQP spiked into a wastewater sample at different concentrations.</w:t>
      </w:r>
      <w:r w:rsidRPr="0007476B"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  <w:t xml:space="preserve"> </w:t>
      </w:r>
    </w:p>
    <w:p w14:paraId="48634589" w14:textId="236F844B" w:rsidR="0007476B" w:rsidRDefault="0007476B" w:rsidP="00AA2AC2">
      <w:r>
        <w:br w:type="page"/>
      </w:r>
    </w:p>
    <w:p w14:paraId="40D5DAED" w14:textId="27462B3E" w:rsidR="00D649CD" w:rsidRDefault="0071219C" w:rsidP="00AA2AC2">
      <w:pPr>
        <w:pStyle w:val="Caption"/>
        <w:rPr>
          <w:rFonts w:asciiTheme="majorBidi" w:hAnsiTheme="majorBidi" w:cstheme="majorBidi"/>
          <w:i w:val="0"/>
          <w:iCs w:val="0"/>
          <w:color w:val="auto"/>
          <w:sz w:val="22"/>
          <w:szCs w:val="22"/>
        </w:rPr>
      </w:pPr>
      <w:r w:rsidRPr="0071219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  <w:lastRenderedPageBreak/>
        <w:t>References</w:t>
      </w:r>
    </w:p>
    <w:p w14:paraId="5D374ED6" w14:textId="198E3FF3" w:rsidR="004D5431" w:rsidRPr="004D5431" w:rsidRDefault="004D5431" w:rsidP="00AA2AC2">
      <w:pPr>
        <w:pStyle w:val="EndNoteBibliography"/>
        <w:spacing w:after="0"/>
      </w:pPr>
      <w:r w:rsidRPr="004D5431">
        <w:t>[1] A. Radi, Accumulation and trace measurement of chloroquine drug at DNA-modified carbon paste electrode, Talanta, 65 (2005) 271-5.</w:t>
      </w:r>
    </w:p>
    <w:p w14:paraId="06A21E62" w14:textId="77777777" w:rsidR="004D5431" w:rsidRPr="004D5431" w:rsidRDefault="004D5431" w:rsidP="00AA2AC2">
      <w:pPr>
        <w:pStyle w:val="EndNoteBibliography"/>
        <w:spacing w:after="0"/>
      </w:pPr>
      <w:r w:rsidRPr="004D5431">
        <w:t>[2] M.H. Mashhadizadeh, M. Akbarian, Voltammetric determination of some anti-malarial drugs using a carbon paste electrode modified with Cu(OH)</w:t>
      </w:r>
      <w:r w:rsidRPr="004D5431">
        <w:rPr>
          <w:vertAlign w:val="subscript"/>
        </w:rPr>
        <w:t>2</w:t>
      </w:r>
      <w:r w:rsidRPr="004D5431">
        <w:t xml:space="preserve"> nano-wire, Talanta, 78 (2009) 1440-5.</w:t>
      </w:r>
    </w:p>
    <w:p w14:paraId="2D2CD107" w14:textId="77777777" w:rsidR="004D5431" w:rsidRPr="004D5431" w:rsidRDefault="004D5431" w:rsidP="00AA2AC2">
      <w:pPr>
        <w:pStyle w:val="EndNoteBibliography"/>
        <w:spacing w:after="0"/>
      </w:pPr>
      <w:r w:rsidRPr="004D5431">
        <w:t>[3] G.G. Oliveira, D.C. Azzi, T.A. Silva, P.R.d. Oliveira, O. Fatibello-Filho, B.C. Janegitz, Sensitive Voltammetric Detection of Chloroquine Drug by Applying a Boron-Doped Diamond Electrode, C, 6 (2020) 75.</w:t>
      </w:r>
    </w:p>
    <w:p w14:paraId="29242708" w14:textId="77777777" w:rsidR="004D5431" w:rsidRPr="004D5431" w:rsidRDefault="004D5431" w:rsidP="00AA2AC2">
      <w:pPr>
        <w:pStyle w:val="EndNoteBibliography"/>
        <w:spacing w:after="0"/>
      </w:pPr>
      <w:r w:rsidRPr="004D5431">
        <w:t>[4] M. Srivastava, P. Tiwari, V.K. Mall, S.K. Srivastava, R. Prakash, Voltammetric determination of the antimalarial drug chloroquine using a glassy carbon electrode modified with reduced graphene oxide on WS</w:t>
      </w:r>
      <w:r w:rsidRPr="004D5431">
        <w:rPr>
          <w:vertAlign w:val="subscript"/>
        </w:rPr>
        <w:t>2</w:t>
      </w:r>
      <w:r w:rsidRPr="004D5431">
        <w:t xml:space="preserve"> quantum dots, Mikrochim. Acta, 186 (2019) 415.</w:t>
      </w:r>
    </w:p>
    <w:p w14:paraId="766D9AE8" w14:textId="77777777" w:rsidR="004D5431" w:rsidRPr="004D5431" w:rsidRDefault="004D5431" w:rsidP="00AA2AC2">
      <w:pPr>
        <w:pStyle w:val="EndNoteBibliography"/>
      </w:pPr>
      <w:r w:rsidRPr="004D5431">
        <w:t>[5] A. Ganguly, K.Y. Hwa, Construction of zinc selenide microspheres decorated with octadecylamine-functionalized reduced graphene oxide as an effective catalyst for the dual-mode detection of chloroquine phosphate, Mater. Today Chem., 24 (2022) 100862.</w:t>
      </w:r>
    </w:p>
    <w:p w14:paraId="3B80F94E" w14:textId="553FFAD0" w:rsidR="00340425" w:rsidRPr="00267C36" w:rsidRDefault="00340425" w:rsidP="00AA2AC2">
      <w:pPr>
        <w:pStyle w:val="Caption"/>
        <w:rPr>
          <w:rFonts w:asciiTheme="majorBidi" w:hAnsiTheme="majorBidi" w:cstheme="majorBidi"/>
          <w:sz w:val="24"/>
          <w:szCs w:val="24"/>
        </w:rPr>
      </w:pPr>
    </w:p>
    <w:sectPr w:rsidR="00340425" w:rsidRPr="00267C36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EF38" w14:textId="77777777" w:rsidR="0053419A" w:rsidRDefault="0053419A" w:rsidP="00270BFE">
      <w:pPr>
        <w:spacing w:after="0" w:line="240" w:lineRule="auto"/>
      </w:pPr>
      <w:r>
        <w:separator/>
      </w:r>
    </w:p>
  </w:endnote>
  <w:endnote w:type="continuationSeparator" w:id="0">
    <w:p w14:paraId="22EA181F" w14:textId="77777777" w:rsidR="0053419A" w:rsidRDefault="0053419A" w:rsidP="0027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35895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47DFF287" w14:textId="4544D184" w:rsidR="00270BFE" w:rsidRPr="00270BFE" w:rsidRDefault="007A5A30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>
          <w:rPr>
            <w:rFonts w:asciiTheme="majorBidi" w:hAnsiTheme="majorBidi" w:cstheme="majorBidi"/>
            <w:sz w:val="24"/>
            <w:szCs w:val="24"/>
          </w:rPr>
          <w:t>S</w:t>
        </w:r>
        <w:r w:rsidR="00270BFE" w:rsidRPr="00270BF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270BFE" w:rsidRPr="00270BFE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="00270BFE" w:rsidRPr="00270BF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2C7345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="00270BFE" w:rsidRPr="00270BFE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23EDDB91" w14:textId="77777777" w:rsidR="00270BFE" w:rsidRDefault="00270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30AB" w14:textId="77777777" w:rsidR="0053419A" w:rsidRDefault="0053419A" w:rsidP="00270BFE">
      <w:pPr>
        <w:spacing w:after="0" w:line="240" w:lineRule="auto"/>
      </w:pPr>
      <w:r>
        <w:separator/>
      </w:r>
    </w:p>
  </w:footnote>
  <w:footnote w:type="continuationSeparator" w:id="0">
    <w:p w14:paraId="2137D6D6" w14:textId="77777777" w:rsidR="0053419A" w:rsidRDefault="0053419A" w:rsidP="00270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tDC2NDc3MzYzMzRR0lEKTi0uzszPAykwNq0FAP2/9o4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ensors Actuators_endnote style_A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rs0vs5d52fstx0esvpavv9s1vxpawd5r0et5&quot;&gt;SnO2&lt;record-ids&gt;&lt;item&gt;31&lt;/item&gt;&lt;item&gt;56&lt;/item&gt;&lt;item&gt;57&lt;/item&gt;&lt;item&gt;58&lt;/item&gt;&lt;item&gt;59&lt;/item&gt;&lt;/record-ids&gt;&lt;/item&gt;&lt;/Libraries&gt;"/>
  </w:docVars>
  <w:rsids>
    <w:rsidRoot w:val="00B93FCE"/>
    <w:rsid w:val="00001503"/>
    <w:rsid w:val="00006788"/>
    <w:rsid w:val="00010FEB"/>
    <w:rsid w:val="000122E5"/>
    <w:rsid w:val="000160AB"/>
    <w:rsid w:val="00030CC2"/>
    <w:rsid w:val="0003431D"/>
    <w:rsid w:val="00035B85"/>
    <w:rsid w:val="000360E8"/>
    <w:rsid w:val="00040518"/>
    <w:rsid w:val="00042717"/>
    <w:rsid w:val="00067B49"/>
    <w:rsid w:val="0007476B"/>
    <w:rsid w:val="00074AD9"/>
    <w:rsid w:val="0008459A"/>
    <w:rsid w:val="00084D1C"/>
    <w:rsid w:val="00087159"/>
    <w:rsid w:val="0009257A"/>
    <w:rsid w:val="00096A17"/>
    <w:rsid w:val="00096F65"/>
    <w:rsid w:val="000A1B86"/>
    <w:rsid w:val="000A4A33"/>
    <w:rsid w:val="000A680B"/>
    <w:rsid w:val="000A7787"/>
    <w:rsid w:val="000C7C2E"/>
    <w:rsid w:val="000D184F"/>
    <w:rsid w:val="000D3870"/>
    <w:rsid w:val="000D554D"/>
    <w:rsid w:val="000D5F51"/>
    <w:rsid w:val="000E1B53"/>
    <w:rsid w:val="000E7E6F"/>
    <w:rsid w:val="000F1FC9"/>
    <w:rsid w:val="000F3BF1"/>
    <w:rsid w:val="000F653D"/>
    <w:rsid w:val="00101126"/>
    <w:rsid w:val="001106CE"/>
    <w:rsid w:val="001113FA"/>
    <w:rsid w:val="00116D77"/>
    <w:rsid w:val="00117938"/>
    <w:rsid w:val="00125956"/>
    <w:rsid w:val="001346AE"/>
    <w:rsid w:val="00135838"/>
    <w:rsid w:val="0014371D"/>
    <w:rsid w:val="00153005"/>
    <w:rsid w:val="00154A75"/>
    <w:rsid w:val="001558F6"/>
    <w:rsid w:val="00170E89"/>
    <w:rsid w:val="00174F45"/>
    <w:rsid w:val="001800C4"/>
    <w:rsid w:val="0018076E"/>
    <w:rsid w:val="001809FC"/>
    <w:rsid w:val="0018290C"/>
    <w:rsid w:val="00183B35"/>
    <w:rsid w:val="00190DF8"/>
    <w:rsid w:val="001930D3"/>
    <w:rsid w:val="001949F7"/>
    <w:rsid w:val="001A6B42"/>
    <w:rsid w:val="001A73FD"/>
    <w:rsid w:val="001B1C9B"/>
    <w:rsid w:val="001E0047"/>
    <w:rsid w:val="001E0D14"/>
    <w:rsid w:val="001E56CD"/>
    <w:rsid w:val="001E7B66"/>
    <w:rsid w:val="002020D7"/>
    <w:rsid w:val="00210EF8"/>
    <w:rsid w:val="00217E60"/>
    <w:rsid w:val="00225DCC"/>
    <w:rsid w:val="002270DC"/>
    <w:rsid w:val="0023334B"/>
    <w:rsid w:val="00236926"/>
    <w:rsid w:val="00247A3B"/>
    <w:rsid w:val="00251F93"/>
    <w:rsid w:val="00257708"/>
    <w:rsid w:val="00257D35"/>
    <w:rsid w:val="00267C36"/>
    <w:rsid w:val="00270BFE"/>
    <w:rsid w:val="00270DA6"/>
    <w:rsid w:val="0027511B"/>
    <w:rsid w:val="002770EF"/>
    <w:rsid w:val="002858E1"/>
    <w:rsid w:val="00287BE8"/>
    <w:rsid w:val="00292D13"/>
    <w:rsid w:val="00295500"/>
    <w:rsid w:val="002A3259"/>
    <w:rsid w:val="002A7CA8"/>
    <w:rsid w:val="002B078D"/>
    <w:rsid w:val="002B1BD4"/>
    <w:rsid w:val="002C0529"/>
    <w:rsid w:val="002C2F25"/>
    <w:rsid w:val="002C7345"/>
    <w:rsid w:val="002D01FB"/>
    <w:rsid w:val="002D583A"/>
    <w:rsid w:val="002D6DB6"/>
    <w:rsid w:val="002E1B5E"/>
    <w:rsid w:val="002E44AD"/>
    <w:rsid w:val="002E7DF6"/>
    <w:rsid w:val="002F0109"/>
    <w:rsid w:val="002F4A50"/>
    <w:rsid w:val="00307CF0"/>
    <w:rsid w:val="003126F4"/>
    <w:rsid w:val="00313B6D"/>
    <w:rsid w:val="003200FB"/>
    <w:rsid w:val="00321637"/>
    <w:rsid w:val="00327022"/>
    <w:rsid w:val="003341FA"/>
    <w:rsid w:val="00337DE6"/>
    <w:rsid w:val="00340425"/>
    <w:rsid w:val="00340A0A"/>
    <w:rsid w:val="00340A3B"/>
    <w:rsid w:val="00342F8C"/>
    <w:rsid w:val="003525BB"/>
    <w:rsid w:val="00352DAA"/>
    <w:rsid w:val="003714E3"/>
    <w:rsid w:val="0037341E"/>
    <w:rsid w:val="00381DA1"/>
    <w:rsid w:val="00382C57"/>
    <w:rsid w:val="00382D21"/>
    <w:rsid w:val="00385A4E"/>
    <w:rsid w:val="00390F33"/>
    <w:rsid w:val="003961A3"/>
    <w:rsid w:val="003A716F"/>
    <w:rsid w:val="003B19D1"/>
    <w:rsid w:val="003C1960"/>
    <w:rsid w:val="003E2C0D"/>
    <w:rsid w:val="003E3454"/>
    <w:rsid w:val="003E5277"/>
    <w:rsid w:val="003F0424"/>
    <w:rsid w:val="003F22AA"/>
    <w:rsid w:val="004146FA"/>
    <w:rsid w:val="00414BFC"/>
    <w:rsid w:val="00415BF6"/>
    <w:rsid w:val="004212E9"/>
    <w:rsid w:val="0042315E"/>
    <w:rsid w:val="004231AD"/>
    <w:rsid w:val="00426EEF"/>
    <w:rsid w:val="00432E86"/>
    <w:rsid w:val="00433F79"/>
    <w:rsid w:val="00447CBF"/>
    <w:rsid w:val="00454E83"/>
    <w:rsid w:val="00461D83"/>
    <w:rsid w:val="00462838"/>
    <w:rsid w:val="00467AC8"/>
    <w:rsid w:val="00473556"/>
    <w:rsid w:val="0048003A"/>
    <w:rsid w:val="00481C7B"/>
    <w:rsid w:val="004865A9"/>
    <w:rsid w:val="004967EA"/>
    <w:rsid w:val="004A55CF"/>
    <w:rsid w:val="004C2CA2"/>
    <w:rsid w:val="004C2E10"/>
    <w:rsid w:val="004C3174"/>
    <w:rsid w:val="004C41A4"/>
    <w:rsid w:val="004C68CE"/>
    <w:rsid w:val="004D5431"/>
    <w:rsid w:val="004D5964"/>
    <w:rsid w:val="004D6872"/>
    <w:rsid w:val="004E5968"/>
    <w:rsid w:val="004F11EB"/>
    <w:rsid w:val="004F2A1E"/>
    <w:rsid w:val="005068D2"/>
    <w:rsid w:val="00506F8D"/>
    <w:rsid w:val="005211E4"/>
    <w:rsid w:val="00523109"/>
    <w:rsid w:val="005244C2"/>
    <w:rsid w:val="005323CC"/>
    <w:rsid w:val="0053419A"/>
    <w:rsid w:val="00542173"/>
    <w:rsid w:val="00556AE9"/>
    <w:rsid w:val="00557DA2"/>
    <w:rsid w:val="0056180B"/>
    <w:rsid w:val="00563416"/>
    <w:rsid w:val="00581E70"/>
    <w:rsid w:val="005927CB"/>
    <w:rsid w:val="005935E9"/>
    <w:rsid w:val="005972FE"/>
    <w:rsid w:val="005B08BA"/>
    <w:rsid w:val="005B0E08"/>
    <w:rsid w:val="005C2F43"/>
    <w:rsid w:val="005D1103"/>
    <w:rsid w:val="005E0BEB"/>
    <w:rsid w:val="005F797E"/>
    <w:rsid w:val="00602211"/>
    <w:rsid w:val="00605851"/>
    <w:rsid w:val="0060594C"/>
    <w:rsid w:val="00607E75"/>
    <w:rsid w:val="00610F75"/>
    <w:rsid w:val="00613034"/>
    <w:rsid w:val="006140A2"/>
    <w:rsid w:val="00615714"/>
    <w:rsid w:val="00615ABE"/>
    <w:rsid w:val="00615FDF"/>
    <w:rsid w:val="00623E86"/>
    <w:rsid w:val="00626E34"/>
    <w:rsid w:val="0063093B"/>
    <w:rsid w:val="006360C5"/>
    <w:rsid w:val="006465F6"/>
    <w:rsid w:val="00655694"/>
    <w:rsid w:val="00665BF6"/>
    <w:rsid w:val="00671DC7"/>
    <w:rsid w:val="0067498F"/>
    <w:rsid w:val="0067770C"/>
    <w:rsid w:val="00681582"/>
    <w:rsid w:val="00684790"/>
    <w:rsid w:val="0068756B"/>
    <w:rsid w:val="0069034A"/>
    <w:rsid w:val="00694CB0"/>
    <w:rsid w:val="006A21B8"/>
    <w:rsid w:val="006A38E8"/>
    <w:rsid w:val="006B4B7D"/>
    <w:rsid w:val="006B4F3D"/>
    <w:rsid w:val="006D3A89"/>
    <w:rsid w:val="006D5D3B"/>
    <w:rsid w:val="006D6775"/>
    <w:rsid w:val="006E7BBA"/>
    <w:rsid w:val="006F0DEF"/>
    <w:rsid w:val="006F20CB"/>
    <w:rsid w:val="00711FF5"/>
    <w:rsid w:val="0071219C"/>
    <w:rsid w:val="0071443A"/>
    <w:rsid w:val="007166A0"/>
    <w:rsid w:val="007245A8"/>
    <w:rsid w:val="00725A42"/>
    <w:rsid w:val="007437C7"/>
    <w:rsid w:val="007519E8"/>
    <w:rsid w:val="00764A4F"/>
    <w:rsid w:val="00771D5A"/>
    <w:rsid w:val="007A5A30"/>
    <w:rsid w:val="007A703A"/>
    <w:rsid w:val="007B0DCD"/>
    <w:rsid w:val="007B2780"/>
    <w:rsid w:val="007B29F5"/>
    <w:rsid w:val="007C1FD2"/>
    <w:rsid w:val="007C28BC"/>
    <w:rsid w:val="007C4401"/>
    <w:rsid w:val="007C4503"/>
    <w:rsid w:val="007D08F0"/>
    <w:rsid w:val="007D3381"/>
    <w:rsid w:val="007D3D09"/>
    <w:rsid w:val="007D79C4"/>
    <w:rsid w:val="007E0913"/>
    <w:rsid w:val="007F1156"/>
    <w:rsid w:val="007F404E"/>
    <w:rsid w:val="007F4F2B"/>
    <w:rsid w:val="007F746D"/>
    <w:rsid w:val="00802B92"/>
    <w:rsid w:val="0081711E"/>
    <w:rsid w:val="00823776"/>
    <w:rsid w:val="00824E16"/>
    <w:rsid w:val="00826169"/>
    <w:rsid w:val="00826E63"/>
    <w:rsid w:val="00831C94"/>
    <w:rsid w:val="0084257E"/>
    <w:rsid w:val="008462B4"/>
    <w:rsid w:val="00850CA9"/>
    <w:rsid w:val="008536C1"/>
    <w:rsid w:val="00887E25"/>
    <w:rsid w:val="008915B9"/>
    <w:rsid w:val="00893721"/>
    <w:rsid w:val="008A1154"/>
    <w:rsid w:val="008A38F4"/>
    <w:rsid w:val="008B3F0A"/>
    <w:rsid w:val="008C13C6"/>
    <w:rsid w:val="008C5FF0"/>
    <w:rsid w:val="008D00C2"/>
    <w:rsid w:val="008D56D6"/>
    <w:rsid w:val="008D6D5B"/>
    <w:rsid w:val="008E0D2E"/>
    <w:rsid w:val="008E34B1"/>
    <w:rsid w:val="008F6ED1"/>
    <w:rsid w:val="00900288"/>
    <w:rsid w:val="00912B8B"/>
    <w:rsid w:val="009210E8"/>
    <w:rsid w:val="00922907"/>
    <w:rsid w:val="00924BF1"/>
    <w:rsid w:val="0092558F"/>
    <w:rsid w:val="00927477"/>
    <w:rsid w:val="00936708"/>
    <w:rsid w:val="009414EF"/>
    <w:rsid w:val="00946B87"/>
    <w:rsid w:val="00952EC5"/>
    <w:rsid w:val="00953926"/>
    <w:rsid w:val="00956301"/>
    <w:rsid w:val="00965D71"/>
    <w:rsid w:val="00966324"/>
    <w:rsid w:val="00982F28"/>
    <w:rsid w:val="0098370D"/>
    <w:rsid w:val="00984196"/>
    <w:rsid w:val="0098495C"/>
    <w:rsid w:val="009933B8"/>
    <w:rsid w:val="009935C8"/>
    <w:rsid w:val="009A3B40"/>
    <w:rsid w:val="009A76CA"/>
    <w:rsid w:val="009B07A5"/>
    <w:rsid w:val="009B3A6A"/>
    <w:rsid w:val="009B798F"/>
    <w:rsid w:val="009C2FCF"/>
    <w:rsid w:val="009D3EB0"/>
    <w:rsid w:val="009D4FE9"/>
    <w:rsid w:val="009E372C"/>
    <w:rsid w:val="009F4A33"/>
    <w:rsid w:val="009F62B9"/>
    <w:rsid w:val="009F73B9"/>
    <w:rsid w:val="00A14B4D"/>
    <w:rsid w:val="00A27294"/>
    <w:rsid w:val="00A34B81"/>
    <w:rsid w:val="00A35474"/>
    <w:rsid w:val="00A45F2C"/>
    <w:rsid w:val="00A50EEB"/>
    <w:rsid w:val="00A561BD"/>
    <w:rsid w:val="00A60336"/>
    <w:rsid w:val="00A664AE"/>
    <w:rsid w:val="00A742E4"/>
    <w:rsid w:val="00A80F41"/>
    <w:rsid w:val="00A81670"/>
    <w:rsid w:val="00A838CA"/>
    <w:rsid w:val="00A86E29"/>
    <w:rsid w:val="00AA0C31"/>
    <w:rsid w:val="00AA1A22"/>
    <w:rsid w:val="00AA2AC2"/>
    <w:rsid w:val="00AA7EFC"/>
    <w:rsid w:val="00AB09E6"/>
    <w:rsid w:val="00AB5BC9"/>
    <w:rsid w:val="00AC3DCA"/>
    <w:rsid w:val="00AD551F"/>
    <w:rsid w:val="00AE429D"/>
    <w:rsid w:val="00AE5A77"/>
    <w:rsid w:val="00AE662C"/>
    <w:rsid w:val="00AF2BFD"/>
    <w:rsid w:val="00AF7D82"/>
    <w:rsid w:val="00B05F17"/>
    <w:rsid w:val="00B110F2"/>
    <w:rsid w:val="00B219DE"/>
    <w:rsid w:val="00B242D7"/>
    <w:rsid w:val="00B453E9"/>
    <w:rsid w:val="00B6189A"/>
    <w:rsid w:val="00B64109"/>
    <w:rsid w:val="00B72D0D"/>
    <w:rsid w:val="00B753F1"/>
    <w:rsid w:val="00B76866"/>
    <w:rsid w:val="00B90121"/>
    <w:rsid w:val="00B93FCE"/>
    <w:rsid w:val="00B95426"/>
    <w:rsid w:val="00BA1F60"/>
    <w:rsid w:val="00BA70D2"/>
    <w:rsid w:val="00BB689E"/>
    <w:rsid w:val="00BB7616"/>
    <w:rsid w:val="00BD1207"/>
    <w:rsid w:val="00BD16F2"/>
    <w:rsid w:val="00BD4FB7"/>
    <w:rsid w:val="00BD7386"/>
    <w:rsid w:val="00BD78BE"/>
    <w:rsid w:val="00BE2C83"/>
    <w:rsid w:val="00BE402B"/>
    <w:rsid w:val="00BE4334"/>
    <w:rsid w:val="00BF2EE2"/>
    <w:rsid w:val="00BF7B38"/>
    <w:rsid w:val="00C00055"/>
    <w:rsid w:val="00C0059F"/>
    <w:rsid w:val="00C01454"/>
    <w:rsid w:val="00C075E1"/>
    <w:rsid w:val="00C1048D"/>
    <w:rsid w:val="00C127D7"/>
    <w:rsid w:val="00C13A23"/>
    <w:rsid w:val="00C21109"/>
    <w:rsid w:val="00C31235"/>
    <w:rsid w:val="00C508B9"/>
    <w:rsid w:val="00C51808"/>
    <w:rsid w:val="00C55095"/>
    <w:rsid w:val="00C641CC"/>
    <w:rsid w:val="00C804F3"/>
    <w:rsid w:val="00C80796"/>
    <w:rsid w:val="00C80859"/>
    <w:rsid w:val="00C84943"/>
    <w:rsid w:val="00C86520"/>
    <w:rsid w:val="00C96EEC"/>
    <w:rsid w:val="00CA3A39"/>
    <w:rsid w:val="00CA669C"/>
    <w:rsid w:val="00CB4F8F"/>
    <w:rsid w:val="00CB755B"/>
    <w:rsid w:val="00CC3D0C"/>
    <w:rsid w:val="00CD53EF"/>
    <w:rsid w:val="00CE14BE"/>
    <w:rsid w:val="00CE276D"/>
    <w:rsid w:val="00CF3A7A"/>
    <w:rsid w:val="00CF4933"/>
    <w:rsid w:val="00D017E4"/>
    <w:rsid w:val="00D06CCE"/>
    <w:rsid w:val="00D16B0E"/>
    <w:rsid w:val="00D27766"/>
    <w:rsid w:val="00D51B1D"/>
    <w:rsid w:val="00D53866"/>
    <w:rsid w:val="00D55239"/>
    <w:rsid w:val="00D6152A"/>
    <w:rsid w:val="00D63672"/>
    <w:rsid w:val="00D649CD"/>
    <w:rsid w:val="00D70368"/>
    <w:rsid w:val="00D827FC"/>
    <w:rsid w:val="00D83F86"/>
    <w:rsid w:val="00D84193"/>
    <w:rsid w:val="00D86D57"/>
    <w:rsid w:val="00D94072"/>
    <w:rsid w:val="00DA1C44"/>
    <w:rsid w:val="00DA65ED"/>
    <w:rsid w:val="00DA7AEE"/>
    <w:rsid w:val="00DB5326"/>
    <w:rsid w:val="00DB6B78"/>
    <w:rsid w:val="00DE2081"/>
    <w:rsid w:val="00DE55B8"/>
    <w:rsid w:val="00DE7342"/>
    <w:rsid w:val="00DF144E"/>
    <w:rsid w:val="00DF1F2D"/>
    <w:rsid w:val="00E01F3C"/>
    <w:rsid w:val="00E161CC"/>
    <w:rsid w:val="00E25B09"/>
    <w:rsid w:val="00E60A1C"/>
    <w:rsid w:val="00E63051"/>
    <w:rsid w:val="00E6432F"/>
    <w:rsid w:val="00E82141"/>
    <w:rsid w:val="00E84EE6"/>
    <w:rsid w:val="00E9124A"/>
    <w:rsid w:val="00E93B8A"/>
    <w:rsid w:val="00E97DB6"/>
    <w:rsid w:val="00EB3ED8"/>
    <w:rsid w:val="00EC0621"/>
    <w:rsid w:val="00EC1665"/>
    <w:rsid w:val="00EC56D2"/>
    <w:rsid w:val="00EE0557"/>
    <w:rsid w:val="00EF1A39"/>
    <w:rsid w:val="00EF28E8"/>
    <w:rsid w:val="00EF4E2D"/>
    <w:rsid w:val="00F1049D"/>
    <w:rsid w:val="00F132F8"/>
    <w:rsid w:val="00F1452C"/>
    <w:rsid w:val="00F23B77"/>
    <w:rsid w:val="00F241F4"/>
    <w:rsid w:val="00F31747"/>
    <w:rsid w:val="00F3279D"/>
    <w:rsid w:val="00F330F7"/>
    <w:rsid w:val="00F34F9F"/>
    <w:rsid w:val="00F412AF"/>
    <w:rsid w:val="00F44B52"/>
    <w:rsid w:val="00F45462"/>
    <w:rsid w:val="00F45B65"/>
    <w:rsid w:val="00F5195E"/>
    <w:rsid w:val="00F51D1C"/>
    <w:rsid w:val="00F564DA"/>
    <w:rsid w:val="00F564F2"/>
    <w:rsid w:val="00F57265"/>
    <w:rsid w:val="00F57596"/>
    <w:rsid w:val="00F61E5F"/>
    <w:rsid w:val="00F62E77"/>
    <w:rsid w:val="00F63A34"/>
    <w:rsid w:val="00F728F8"/>
    <w:rsid w:val="00F74390"/>
    <w:rsid w:val="00F75B3A"/>
    <w:rsid w:val="00F762F3"/>
    <w:rsid w:val="00F82E35"/>
    <w:rsid w:val="00F83ED7"/>
    <w:rsid w:val="00F945DE"/>
    <w:rsid w:val="00FA1E1B"/>
    <w:rsid w:val="00FA6C92"/>
    <w:rsid w:val="00FB033A"/>
    <w:rsid w:val="00FB1AD0"/>
    <w:rsid w:val="00FB6CAB"/>
    <w:rsid w:val="00FB7863"/>
    <w:rsid w:val="00FC1759"/>
    <w:rsid w:val="00FC2CA0"/>
    <w:rsid w:val="00FD1860"/>
    <w:rsid w:val="00FD1DD2"/>
    <w:rsid w:val="00FF0776"/>
    <w:rsid w:val="00FF0F3D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BB96C"/>
  <w15:chartTrackingRefBased/>
  <w15:docId w15:val="{8BB4028A-BDA4-4671-9CBE-E21E89EE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67C36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67C36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267C36"/>
    <w:pPr>
      <w:spacing w:line="48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267C36"/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E7E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278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FE"/>
  </w:style>
  <w:style w:type="paragraph" w:styleId="Footer">
    <w:name w:val="footer"/>
    <w:basedOn w:val="Normal"/>
    <w:link w:val="FooterChar"/>
    <w:uiPriority w:val="99"/>
    <w:unhideWhenUsed/>
    <w:rsid w:val="00270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FE"/>
  </w:style>
  <w:style w:type="paragraph" w:styleId="Caption">
    <w:name w:val="caption"/>
    <w:basedOn w:val="Normal"/>
    <w:next w:val="Normal"/>
    <w:uiPriority w:val="35"/>
    <w:unhideWhenUsed/>
    <w:qFormat/>
    <w:rsid w:val="00F575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D649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26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E91B-401F-43EC-9C85-D362B00C8A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ba2eba-5425-4d9b-b24b-f0f4845bcf62}" enabled="0" method="" siteId="{e0ba2eba-5425-4d9b-b24b-f0f4845bcf6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Amin</dc:creator>
  <cp:keywords/>
  <dc:description/>
  <cp:lastModifiedBy>Abdelnasser Metwally Aly Kawde</cp:lastModifiedBy>
  <cp:revision>42</cp:revision>
  <dcterms:created xsi:type="dcterms:W3CDTF">2023-02-01T16:42:00Z</dcterms:created>
  <dcterms:modified xsi:type="dcterms:W3CDTF">2023-02-02T18:16:00Z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08be5a13ec60524ed002bbc1b65fef775215b91875224c00f5f8de6a35c02996</vt:lpwstr>
  </property>
</Properties>
</file>