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E5F2B" w14:textId="76455CF5" w:rsidR="00FC5906" w:rsidRPr="004E705F" w:rsidRDefault="0035771E" w:rsidP="003B3830">
      <w:pPr>
        <w:bidi w:val="0"/>
        <w:spacing w:after="0" w:line="360" w:lineRule="auto"/>
        <w:jc w:val="center"/>
        <w:rPr>
          <w:rFonts w:asciiTheme="majorBidi" w:eastAsia="Times New Roman" w:hAnsiTheme="majorBidi" w:cstheme="majorBidi"/>
          <w:b/>
          <w:bCs/>
          <w:sz w:val="28"/>
          <w:szCs w:val="28"/>
        </w:rPr>
      </w:pPr>
      <w:r w:rsidRPr="004E705F">
        <w:rPr>
          <w:rFonts w:asciiTheme="majorBidi" w:hAnsiTheme="majorBidi" w:cstheme="majorBidi"/>
          <w:b/>
          <w:bCs/>
          <w:color w:val="222222"/>
          <w:sz w:val="28"/>
          <w:szCs w:val="28"/>
          <w:shd w:val="clear" w:color="auto" w:fill="FFFFFF"/>
        </w:rPr>
        <w:t>Supplementary</w:t>
      </w:r>
    </w:p>
    <w:p w14:paraId="6ADD62AC" w14:textId="77777777" w:rsidR="00EF2F37" w:rsidRPr="00EF2F37" w:rsidRDefault="00EF2F37" w:rsidP="00EF2F37">
      <w:pPr>
        <w:bidi w:val="0"/>
        <w:spacing w:after="0" w:line="360" w:lineRule="auto"/>
        <w:rPr>
          <w:rFonts w:asciiTheme="majorBidi" w:eastAsiaTheme="minorHAnsi" w:hAnsiTheme="majorBidi" w:cstheme="majorBidi"/>
        </w:rPr>
      </w:pPr>
      <w:r w:rsidRPr="00EF2F37">
        <w:rPr>
          <w:rFonts w:asciiTheme="majorBidi" w:eastAsiaTheme="majorEastAsia" w:hAnsiTheme="majorBidi" w:cstheme="majorBidi"/>
          <w:b/>
          <w:bCs/>
          <w:color w:val="000000" w:themeColor="text1"/>
          <w:sz w:val="28"/>
          <w:lang w:bidi="ar-JO"/>
        </w:rPr>
        <w:t xml:space="preserve">Phytochemical and bioactivity evaluation of secondary metabolites and essential oils of </w:t>
      </w:r>
      <w:r w:rsidRPr="00EF2F37">
        <w:rPr>
          <w:rFonts w:asciiTheme="majorBidi" w:eastAsiaTheme="majorEastAsia" w:hAnsiTheme="majorBidi" w:cstheme="majorBidi"/>
          <w:b/>
          <w:bCs/>
          <w:i/>
          <w:iCs/>
          <w:color w:val="000000" w:themeColor="text1"/>
          <w:sz w:val="28"/>
          <w:lang w:bidi="ar-JO"/>
        </w:rPr>
        <w:t>Sedum rubens</w:t>
      </w:r>
      <w:r w:rsidRPr="00EF2F37">
        <w:rPr>
          <w:rFonts w:asciiTheme="majorBidi" w:eastAsiaTheme="majorEastAsia" w:hAnsiTheme="majorBidi" w:cstheme="majorBidi"/>
          <w:b/>
          <w:bCs/>
          <w:color w:val="000000" w:themeColor="text1"/>
          <w:sz w:val="28"/>
          <w:lang w:bidi="ar-JO"/>
        </w:rPr>
        <w:t xml:space="preserve"> growing wild in Jordan</w:t>
      </w:r>
    </w:p>
    <w:p w14:paraId="308534FE" w14:textId="77777777" w:rsidR="00EF2F37" w:rsidRDefault="00EF2F37" w:rsidP="003B3830">
      <w:pPr>
        <w:bidi w:val="0"/>
        <w:spacing w:after="0" w:line="360" w:lineRule="auto"/>
        <w:rPr>
          <w:rFonts w:asciiTheme="majorBidi" w:hAnsiTheme="majorBidi" w:cstheme="majorBidi"/>
          <w:sz w:val="24"/>
          <w:szCs w:val="24"/>
          <w:shd w:val="clear" w:color="auto" w:fill="FFFFFF"/>
        </w:rPr>
      </w:pPr>
    </w:p>
    <w:p w14:paraId="4A50390B" w14:textId="4A1F5ED0" w:rsidR="00F172E8" w:rsidRPr="00F172E8" w:rsidRDefault="00F172E8" w:rsidP="00EF2F37">
      <w:pPr>
        <w:bidi w:val="0"/>
        <w:spacing w:after="0" w:line="360" w:lineRule="auto"/>
        <w:rPr>
          <w:rFonts w:asciiTheme="majorBidi" w:hAnsiTheme="majorBidi" w:cstheme="majorBidi"/>
          <w:sz w:val="24"/>
          <w:szCs w:val="24"/>
          <w:shd w:val="clear" w:color="auto" w:fill="FFFFFF"/>
        </w:rPr>
      </w:pPr>
      <w:r w:rsidRPr="00F172E8">
        <w:rPr>
          <w:rFonts w:asciiTheme="majorBidi" w:hAnsiTheme="majorBidi" w:cstheme="majorBidi"/>
          <w:sz w:val="24"/>
          <w:szCs w:val="24"/>
          <w:shd w:val="clear" w:color="auto" w:fill="FFFFFF"/>
        </w:rPr>
        <w:t xml:space="preserve">Ammar A. Odeh </w:t>
      </w:r>
      <w:r w:rsidRPr="00F172E8">
        <w:rPr>
          <w:rFonts w:asciiTheme="majorBidi" w:hAnsiTheme="majorBidi" w:cstheme="majorBidi"/>
          <w:sz w:val="24"/>
          <w:szCs w:val="24"/>
          <w:shd w:val="clear" w:color="auto" w:fill="FFFFFF"/>
          <w:vertAlign w:val="superscript"/>
        </w:rPr>
        <w:t>a</w:t>
      </w:r>
      <w:r w:rsidRPr="00F172E8">
        <w:rPr>
          <w:rFonts w:asciiTheme="majorBidi" w:hAnsiTheme="majorBidi" w:cstheme="majorBidi"/>
          <w:sz w:val="24"/>
          <w:szCs w:val="24"/>
          <w:shd w:val="clear" w:color="auto" w:fill="FFFFFF"/>
        </w:rPr>
        <w:t xml:space="preserve">, Hala I. Al-Jaber a*, Lina M. Barhoumi </w:t>
      </w:r>
      <w:r w:rsidRPr="00F172E8">
        <w:rPr>
          <w:rFonts w:asciiTheme="majorBidi" w:hAnsiTheme="majorBidi" w:cstheme="majorBidi"/>
          <w:sz w:val="24"/>
          <w:szCs w:val="24"/>
          <w:shd w:val="clear" w:color="auto" w:fill="FFFFFF"/>
          <w:vertAlign w:val="superscript"/>
        </w:rPr>
        <w:t>a</w:t>
      </w:r>
      <w:r w:rsidRPr="00F172E8">
        <w:rPr>
          <w:rFonts w:asciiTheme="majorBidi" w:hAnsiTheme="majorBidi" w:cstheme="majorBidi"/>
          <w:sz w:val="24"/>
          <w:szCs w:val="24"/>
          <w:shd w:val="clear" w:color="auto" w:fill="FFFFFF"/>
        </w:rPr>
        <w:t xml:space="preserve">, O’la Al-Fawares </w:t>
      </w:r>
      <w:r w:rsidRPr="00F172E8">
        <w:rPr>
          <w:rFonts w:asciiTheme="majorBidi" w:hAnsiTheme="majorBidi" w:cstheme="majorBidi"/>
          <w:sz w:val="24"/>
          <w:szCs w:val="24"/>
          <w:shd w:val="clear" w:color="auto" w:fill="FFFFFF"/>
          <w:vertAlign w:val="superscript"/>
        </w:rPr>
        <w:t>b</w:t>
      </w:r>
      <w:r w:rsidRPr="00F172E8">
        <w:rPr>
          <w:rFonts w:asciiTheme="majorBidi" w:hAnsiTheme="majorBidi" w:cstheme="majorBidi"/>
          <w:sz w:val="24"/>
          <w:szCs w:val="24"/>
          <w:shd w:val="clear" w:color="auto" w:fill="FFFFFF"/>
        </w:rPr>
        <w:t xml:space="preserve">, Ashok K. Shakya </w:t>
      </w:r>
      <w:r w:rsidRPr="00F172E8">
        <w:rPr>
          <w:rFonts w:asciiTheme="majorBidi" w:hAnsiTheme="majorBidi" w:cstheme="majorBidi"/>
          <w:sz w:val="24"/>
          <w:szCs w:val="24"/>
          <w:shd w:val="clear" w:color="auto" w:fill="FFFFFF"/>
          <w:vertAlign w:val="superscript"/>
        </w:rPr>
        <w:t>c</w:t>
      </w:r>
      <w:r w:rsidRPr="00F172E8">
        <w:rPr>
          <w:rFonts w:asciiTheme="majorBidi" w:hAnsiTheme="majorBidi" w:cstheme="majorBidi"/>
          <w:sz w:val="24"/>
          <w:szCs w:val="24"/>
          <w:shd w:val="clear" w:color="auto" w:fill="FFFFFF"/>
        </w:rPr>
        <w:t xml:space="preserve">, Mahmoud A. Al-Qudah </w:t>
      </w:r>
      <w:r w:rsidRPr="00F172E8">
        <w:rPr>
          <w:rFonts w:asciiTheme="majorBidi" w:hAnsiTheme="majorBidi" w:cstheme="majorBidi"/>
          <w:sz w:val="24"/>
          <w:szCs w:val="24"/>
          <w:shd w:val="clear" w:color="auto" w:fill="FFFFFF"/>
          <w:vertAlign w:val="superscript"/>
        </w:rPr>
        <w:t>d,e</w:t>
      </w:r>
      <w:r w:rsidRPr="00F172E8">
        <w:rPr>
          <w:rFonts w:asciiTheme="majorBidi" w:hAnsiTheme="majorBidi" w:cstheme="majorBidi"/>
          <w:sz w:val="24"/>
          <w:szCs w:val="24"/>
          <w:shd w:val="clear" w:color="auto" w:fill="FFFFFF"/>
        </w:rPr>
        <w:t xml:space="preserve">, and Ola Sanabra </w:t>
      </w:r>
      <w:r w:rsidRPr="00F172E8">
        <w:rPr>
          <w:rFonts w:asciiTheme="majorBidi" w:hAnsiTheme="majorBidi" w:cstheme="majorBidi"/>
          <w:sz w:val="24"/>
          <w:szCs w:val="24"/>
          <w:shd w:val="clear" w:color="auto" w:fill="FFFFFF"/>
          <w:vertAlign w:val="superscript"/>
        </w:rPr>
        <w:t>b</w:t>
      </w:r>
    </w:p>
    <w:p w14:paraId="02A94639" w14:textId="77777777" w:rsidR="00F172E8" w:rsidRPr="00F172E8" w:rsidRDefault="00F172E8" w:rsidP="003B3830">
      <w:pPr>
        <w:bidi w:val="0"/>
        <w:spacing w:after="0" w:line="360" w:lineRule="auto"/>
        <w:rPr>
          <w:rFonts w:asciiTheme="majorBidi" w:hAnsiTheme="majorBidi" w:cstheme="majorBidi"/>
          <w:sz w:val="24"/>
          <w:szCs w:val="24"/>
          <w:shd w:val="clear" w:color="auto" w:fill="FFFFFF"/>
        </w:rPr>
      </w:pPr>
    </w:p>
    <w:p w14:paraId="32F7A969" w14:textId="77777777" w:rsidR="00F172E8" w:rsidRPr="00F172E8" w:rsidRDefault="00F172E8" w:rsidP="003B3830">
      <w:pPr>
        <w:bidi w:val="0"/>
        <w:spacing w:after="0" w:line="360" w:lineRule="auto"/>
        <w:rPr>
          <w:rFonts w:asciiTheme="majorBidi" w:hAnsiTheme="majorBidi" w:cstheme="majorBidi"/>
          <w:sz w:val="24"/>
          <w:szCs w:val="24"/>
          <w:shd w:val="clear" w:color="auto" w:fill="FFFFFF"/>
        </w:rPr>
      </w:pPr>
      <w:r w:rsidRPr="00F172E8">
        <w:rPr>
          <w:rFonts w:asciiTheme="majorBidi" w:hAnsiTheme="majorBidi" w:cstheme="majorBidi"/>
          <w:sz w:val="24"/>
          <w:szCs w:val="24"/>
          <w:shd w:val="clear" w:color="auto" w:fill="FFFFFF"/>
          <w:vertAlign w:val="superscript"/>
        </w:rPr>
        <w:t>a</w:t>
      </w:r>
      <w:r w:rsidRPr="00F172E8">
        <w:rPr>
          <w:rFonts w:asciiTheme="majorBidi" w:hAnsiTheme="majorBidi" w:cstheme="majorBidi"/>
          <w:sz w:val="24"/>
          <w:szCs w:val="24"/>
          <w:shd w:val="clear" w:color="auto" w:fill="FFFFFF"/>
        </w:rPr>
        <w:t xml:space="preserve"> Chemistry Department, Faculty of Science, Al-Balqa Applied University, Al-Salt, Jordan</w:t>
      </w:r>
    </w:p>
    <w:p w14:paraId="622AFD88" w14:textId="77777777" w:rsidR="00F172E8" w:rsidRPr="00F172E8" w:rsidRDefault="00F172E8" w:rsidP="003B3830">
      <w:pPr>
        <w:bidi w:val="0"/>
        <w:spacing w:after="0" w:line="360" w:lineRule="auto"/>
        <w:rPr>
          <w:rFonts w:asciiTheme="majorBidi" w:hAnsiTheme="majorBidi" w:cstheme="majorBidi"/>
          <w:sz w:val="24"/>
          <w:szCs w:val="24"/>
          <w:shd w:val="clear" w:color="auto" w:fill="FFFFFF"/>
        </w:rPr>
      </w:pPr>
      <w:r w:rsidRPr="00F172E8">
        <w:rPr>
          <w:rFonts w:asciiTheme="majorBidi" w:hAnsiTheme="majorBidi" w:cstheme="majorBidi"/>
          <w:sz w:val="24"/>
          <w:szCs w:val="24"/>
          <w:shd w:val="clear" w:color="auto" w:fill="FFFFFF"/>
          <w:vertAlign w:val="superscript"/>
        </w:rPr>
        <w:t>b</w:t>
      </w:r>
      <w:r w:rsidRPr="00F172E8">
        <w:rPr>
          <w:rFonts w:asciiTheme="majorBidi" w:hAnsiTheme="majorBidi" w:cstheme="majorBidi"/>
          <w:sz w:val="24"/>
          <w:szCs w:val="24"/>
          <w:shd w:val="clear" w:color="auto" w:fill="FFFFFF"/>
        </w:rPr>
        <w:t xml:space="preserve"> Department of Medical Laboratory Analysis, Faculty of Science, Al-Balqa Applied University, Al-Salt, Jordan</w:t>
      </w:r>
    </w:p>
    <w:p w14:paraId="264D39D4" w14:textId="77777777" w:rsidR="00F172E8" w:rsidRPr="00F172E8" w:rsidRDefault="00F172E8" w:rsidP="003B3830">
      <w:pPr>
        <w:bidi w:val="0"/>
        <w:spacing w:after="0" w:line="360" w:lineRule="auto"/>
        <w:rPr>
          <w:rFonts w:asciiTheme="majorBidi" w:hAnsiTheme="majorBidi" w:cstheme="majorBidi"/>
          <w:sz w:val="24"/>
          <w:szCs w:val="24"/>
          <w:shd w:val="clear" w:color="auto" w:fill="FFFFFF"/>
        </w:rPr>
      </w:pPr>
      <w:r w:rsidRPr="00F172E8">
        <w:rPr>
          <w:rFonts w:asciiTheme="majorBidi" w:hAnsiTheme="majorBidi" w:cstheme="majorBidi"/>
          <w:sz w:val="24"/>
          <w:szCs w:val="24"/>
          <w:shd w:val="clear" w:color="auto" w:fill="FFFFFF"/>
          <w:vertAlign w:val="superscript"/>
        </w:rPr>
        <w:t>c</w:t>
      </w:r>
      <w:r w:rsidRPr="00F172E8">
        <w:rPr>
          <w:rFonts w:asciiTheme="majorBidi" w:hAnsiTheme="majorBidi" w:cstheme="majorBidi"/>
          <w:sz w:val="24"/>
          <w:szCs w:val="24"/>
          <w:shd w:val="clear" w:color="auto" w:fill="FFFFFF"/>
        </w:rPr>
        <w:t xml:space="preserve"> Faculty of Pharmacy, Al-Ahliyya Amman University, Al-Salt, Jordan</w:t>
      </w:r>
    </w:p>
    <w:p w14:paraId="7BB0314F" w14:textId="77777777" w:rsidR="00F172E8" w:rsidRPr="00F172E8" w:rsidRDefault="00F172E8" w:rsidP="003B3830">
      <w:pPr>
        <w:bidi w:val="0"/>
        <w:spacing w:after="0" w:line="360" w:lineRule="auto"/>
        <w:rPr>
          <w:rFonts w:asciiTheme="majorBidi" w:hAnsiTheme="majorBidi" w:cstheme="majorBidi"/>
          <w:sz w:val="24"/>
          <w:szCs w:val="24"/>
          <w:shd w:val="clear" w:color="auto" w:fill="FFFFFF"/>
        </w:rPr>
      </w:pPr>
      <w:r w:rsidRPr="00F172E8">
        <w:rPr>
          <w:rFonts w:asciiTheme="majorBidi" w:hAnsiTheme="majorBidi" w:cstheme="majorBidi"/>
          <w:sz w:val="24"/>
          <w:szCs w:val="24"/>
          <w:shd w:val="clear" w:color="auto" w:fill="FFFFFF"/>
          <w:vertAlign w:val="superscript"/>
        </w:rPr>
        <w:t>d</w:t>
      </w:r>
      <w:r w:rsidRPr="00F172E8">
        <w:rPr>
          <w:rFonts w:asciiTheme="majorBidi" w:hAnsiTheme="majorBidi" w:cstheme="majorBidi"/>
          <w:sz w:val="24"/>
          <w:szCs w:val="24"/>
          <w:shd w:val="clear" w:color="auto" w:fill="FFFFFF"/>
        </w:rPr>
        <w:t xml:space="preserve"> Department of chemistry, Faculty of Sciences, Yarmouk University, Irbid, Jordan</w:t>
      </w:r>
      <w:r w:rsidRPr="00F172E8">
        <w:rPr>
          <w:rFonts w:asciiTheme="majorBidi" w:hAnsiTheme="majorBidi" w:cs="Times New Roman"/>
          <w:sz w:val="24"/>
          <w:szCs w:val="24"/>
          <w:shd w:val="clear" w:color="auto" w:fill="FFFFFF"/>
          <w:rtl/>
        </w:rPr>
        <w:t>.</w:t>
      </w:r>
    </w:p>
    <w:p w14:paraId="3160A5DA" w14:textId="77777777" w:rsidR="00F172E8" w:rsidRPr="00F172E8" w:rsidRDefault="00F172E8" w:rsidP="003B3830">
      <w:pPr>
        <w:bidi w:val="0"/>
        <w:spacing w:after="0" w:line="360" w:lineRule="auto"/>
        <w:rPr>
          <w:rFonts w:asciiTheme="majorBidi" w:hAnsiTheme="majorBidi" w:cstheme="majorBidi"/>
          <w:sz w:val="24"/>
          <w:szCs w:val="24"/>
          <w:shd w:val="clear" w:color="auto" w:fill="FFFFFF"/>
        </w:rPr>
      </w:pPr>
      <w:r w:rsidRPr="00F172E8">
        <w:rPr>
          <w:rFonts w:asciiTheme="majorBidi" w:hAnsiTheme="majorBidi" w:cstheme="majorBidi"/>
          <w:sz w:val="24"/>
          <w:szCs w:val="24"/>
          <w:shd w:val="clear" w:color="auto" w:fill="FFFFFF"/>
          <w:vertAlign w:val="superscript"/>
        </w:rPr>
        <w:t>e</w:t>
      </w:r>
      <w:r w:rsidRPr="00F172E8">
        <w:rPr>
          <w:rFonts w:asciiTheme="majorBidi" w:hAnsiTheme="majorBidi" w:cstheme="majorBidi"/>
          <w:sz w:val="24"/>
          <w:szCs w:val="24"/>
          <w:shd w:val="clear" w:color="auto" w:fill="FFFFFF"/>
        </w:rPr>
        <w:t xml:space="preserve"> Department of Chemistry, College of Science, Imam Mohammad Ibn Saud Islamic University (IMSIU), Riyadh 11432, Saudi Arabia</w:t>
      </w:r>
      <w:r w:rsidRPr="00F172E8">
        <w:rPr>
          <w:rFonts w:asciiTheme="majorBidi" w:hAnsiTheme="majorBidi" w:cs="Times New Roman"/>
          <w:sz w:val="24"/>
          <w:szCs w:val="24"/>
          <w:shd w:val="clear" w:color="auto" w:fill="FFFFFF"/>
          <w:rtl/>
        </w:rPr>
        <w:t xml:space="preserve"> </w:t>
      </w:r>
    </w:p>
    <w:p w14:paraId="56057514" w14:textId="63C7634D" w:rsidR="0086150D" w:rsidRPr="00C565D0" w:rsidRDefault="00F172E8" w:rsidP="003B3830">
      <w:pPr>
        <w:bidi w:val="0"/>
        <w:spacing w:after="0" w:line="360" w:lineRule="auto"/>
        <w:rPr>
          <w:rFonts w:asciiTheme="majorBidi" w:hAnsiTheme="majorBidi" w:cstheme="majorBidi"/>
          <w:sz w:val="24"/>
          <w:szCs w:val="24"/>
        </w:rPr>
      </w:pPr>
      <w:r w:rsidRPr="00F172E8">
        <w:rPr>
          <w:rFonts w:asciiTheme="majorBidi" w:hAnsiTheme="majorBidi" w:cstheme="majorBidi"/>
          <w:sz w:val="24"/>
          <w:szCs w:val="24"/>
          <w:shd w:val="clear" w:color="auto" w:fill="FFFFFF"/>
        </w:rPr>
        <w:t>*Corresponding author: Prof. Dr Hala I. Al-Jaber, Email: hala.aljaber@bau.edu.jo</w:t>
      </w:r>
    </w:p>
    <w:p w14:paraId="7C887645" w14:textId="77777777" w:rsidR="00F172E8" w:rsidRDefault="00F172E8" w:rsidP="003B3830">
      <w:pPr>
        <w:bidi w:val="0"/>
        <w:spacing w:after="0" w:line="360" w:lineRule="auto"/>
        <w:rPr>
          <w:rFonts w:asciiTheme="majorBidi" w:hAnsiTheme="majorBidi" w:cstheme="majorBidi"/>
          <w:b/>
          <w:bCs/>
          <w:sz w:val="24"/>
          <w:szCs w:val="24"/>
        </w:rPr>
      </w:pPr>
    </w:p>
    <w:p w14:paraId="2A695B61" w14:textId="73396945" w:rsidR="0086150D" w:rsidRPr="00C565D0" w:rsidRDefault="0086150D" w:rsidP="003B3830">
      <w:pPr>
        <w:bidi w:val="0"/>
        <w:spacing w:after="0" w:line="360" w:lineRule="auto"/>
        <w:rPr>
          <w:rFonts w:asciiTheme="majorBidi" w:hAnsiTheme="majorBidi" w:cstheme="majorBidi"/>
          <w:b/>
          <w:bCs/>
          <w:sz w:val="24"/>
          <w:szCs w:val="24"/>
        </w:rPr>
      </w:pPr>
      <w:r w:rsidRPr="00C565D0">
        <w:rPr>
          <w:rFonts w:asciiTheme="majorBidi" w:hAnsiTheme="majorBidi" w:cstheme="majorBidi"/>
          <w:b/>
          <w:bCs/>
          <w:sz w:val="24"/>
          <w:szCs w:val="24"/>
        </w:rPr>
        <w:t>Abstract</w:t>
      </w:r>
    </w:p>
    <w:p w14:paraId="0699726A" w14:textId="32585202" w:rsidR="003B3830" w:rsidRPr="008C10CF" w:rsidRDefault="008C10CF" w:rsidP="003B3830">
      <w:pPr>
        <w:bidi w:val="0"/>
        <w:spacing w:after="0" w:line="360" w:lineRule="auto"/>
        <w:jc w:val="both"/>
        <w:rPr>
          <w:rFonts w:asciiTheme="majorBidi" w:hAnsiTheme="majorBidi" w:cstheme="majorBidi"/>
          <w:bCs/>
          <w:sz w:val="24"/>
          <w:szCs w:val="24"/>
          <w:lang w:bidi="ar-JO"/>
        </w:rPr>
      </w:pPr>
      <w:r w:rsidRPr="009D604A">
        <w:rPr>
          <w:rFonts w:asciiTheme="majorBidi" w:hAnsiTheme="majorBidi" w:cstheme="majorBidi"/>
          <w:bCs/>
          <w:i/>
          <w:iCs/>
          <w:sz w:val="24"/>
          <w:szCs w:val="24"/>
          <w:lang w:bidi="ar-JO"/>
        </w:rPr>
        <w:t>Sedum rubens</w:t>
      </w:r>
      <w:r w:rsidRPr="009D604A">
        <w:rPr>
          <w:rFonts w:asciiTheme="majorBidi" w:hAnsiTheme="majorBidi" w:cstheme="majorBidi"/>
          <w:bCs/>
          <w:sz w:val="24"/>
          <w:szCs w:val="24"/>
          <w:lang w:bidi="ar-JO"/>
        </w:rPr>
        <w:t xml:space="preserve"> L. (Crassulaceae family) is an interesting succulent medicinal plant that has never been investigated for its phytochemical constituents. Thus, the current study was designed to unveil its chemical constituents and bioactivity potentials. In the current study, the total phenol content (TPC), total flavonoid content (TFC) and DPPH radical scavenging properties of the hydroalcoholic (HA) and water extracts (W) were determined. Moreover, the presence of selected phenolic acids (</w:t>
      </w:r>
      <w:r w:rsidRPr="009D604A">
        <w:rPr>
          <w:rFonts w:asciiTheme="majorBidi" w:hAnsiTheme="majorBidi" w:cstheme="majorBidi"/>
          <w:sz w:val="24"/>
          <w:szCs w:val="24"/>
        </w:rPr>
        <w:t>gallic acid</w:t>
      </w:r>
      <w:r w:rsidRPr="009D604A">
        <w:rPr>
          <w:rFonts w:asciiTheme="majorBidi" w:hAnsiTheme="majorBidi" w:cstheme="majorBidi"/>
          <w:sz w:val="24"/>
          <w:szCs w:val="24"/>
          <w:lang w:bidi="ar-JO"/>
        </w:rPr>
        <w:t xml:space="preserve">, chlorogenic acid, </w:t>
      </w:r>
      <w:r w:rsidRPr="009D604A">
        <w:rPr>
          <w:rFonts w:asciiTheme="majorBidi" w:hAnsiTheme="majorBidi" w:cstheme="majorBidi"/>
          <w:sz w:val="24"/>
          <w:szCs w:val="24"/>
        </w:rPr>
        <w:t xml:space="preserve">caffeic acid) </w:t>
      </w:r>
      <w:r w:rsidRPr="009D604A">
        <w:rPr>
          <w:rFonts w:asciiTheme="majorBidi" w:hAnsiTheme="majorBidi" w:cstheme="majorBidi"/>
          <w:bCs/>
          <w:sz w:val="24"/>
          <w:szCs w:val="24"/>
          <w:lang w:bidi="ar-JO"/>
        </w:rPr>
        <w:t>and flavonoids (</w:t>
      </w:r>
      <w:r w:rsidRPr="009D604A">
        <w:rPr>
          <w:rFonts w:asciiTheme="majorBidi" w:hAnsiTheme="majorBidi" w:cstheme="majorBidi"/>
          <w:sz w:val="24"/>
          <w:szCs w:val="24"/>
        </w:rPr>
        <w:t>rutin, quercetin, hesperidin)</w:t>
      </w:r>
      <w:r w:rsidRPr="009D604A">
        <w:rPr>
          <w:rFonts w:asciiTheme="majorBidi" w:hAnsiTheme="majorBidi" w:cstheme="majorBidi"/>
          <w:bCs/>
          <w:sz w:val="24"/>
          <w:szCs w:val="24"/>
          <w:lang w:bidi="ar-JO"/>
        </w:rPr>
        <w:t xml:space="preserve"> was determined by HPLC-PDA. In addition, hydro-distilled essential oil (HDEO) composition of the plant at the pre-flowering (PF) and full-flowering (FF) stages was determined by GC/MS and GC/FID techniques. Results revealed that the FF hydroalcoholic extract had the highest TPC (136.9 mg gallic acid/g extract), TFC (234.7 mg quercetin/g extract) and DPPH</w:t>
      </w:r>
      <w:r w:rsidRPr="009D604A">
        <w:rPr>
          <w:rFonts w:asciiTheme="majorBidi" w:hAnsiTheme="majorBidi" w:cstheme="majorBidi"/>
          <w:sz w:val="24"/>
          <w:szCs w:val="24"/>
          <w:vertAlign w:val="superscript"/>
          <w:lang w:bidi="ar-JO"/>
        </w:rPr>
        <w:t>•</w:t>
      </w:r>
      <w:r w:rsidRPr="009D604A">
        <w:rPr>
          <w:rFonts w:asciiTheme="majorBidi" w:hAnsiTheme="majorBidi" w:cstheme="majorBidi"/>
          <w:bCs/>
          <w:sz w:val="24"/>
          <w:szCs w:val="24"/>
          <w:lang w:bidi="ar-JO"/>
        </w:rPr>
        <w:t xml:space="preserve"> radical scavenging activity (7.10×10</w:t>
      </w:r>
      <w:r w:rsidRPr="009D604A">
        <w:rPr>
          <w:rFonts w:asciiTheme="majorBidi" w:hAnsiTheme="majorBidi" w:cstheme="majorBidi"/>
          <w:bCs/>
          <w:sz w:val="24"/>
          <w:szCs w:val="24"/>
          <w:vertAlign w:val="superscript"/>
          <w:lang w:bidi="ar-JO"/>
        </w:rPr>
        <w:t>-2</w:t>
      </w:r>
      <w:r w:rsidRPr="009D604A">
        <w:rPr>
          <w:rFonts w:asciiTheme="majorBidi" w:hAnsiTheme="majorBidi" w:cstheme="majorBidi"/>
          <w:bCs/>
          <w:sz w:val="24"/>
          <w:szCs w:val="24"/>
          <w:lang w:bidi="ar-JO"/>
        </w:rPr>
        <w:t xml:space="preserve"> ± 1.0×10</w:t>
      </w:r>
      <w:r w:rsidRPr="009D604A">
        <w:rPr>
          <w:rFonts w:asciiTheme="majorBidi" w:hAnsiTheme="majorBidi" w:cstheme="majorBidi"/>
          <w:bCs/>
          <w:sz w:val="24"/>
          <w:szCs w:val="24"/>
          <w:vertAlign w:val="superscript"/>
          <w:lang w:bidi="ar-JO"/>
        </w:rPr>
        <w:t>-3</w:t>
      </w:r>
      <w:r w:rsidRPr="009D604A">
        <w:rPr>
          <w:rFonts w:asciiTheme="majorBidi" w:hAnsiTheme="majorBidi" w:cstheme="majorBidi"/>
          <w:bCs/>
          <w:sz w:val="24"/>
          <w:szCs w:val="24"/>
          <w:lang w:bidi="ar-JO"/>
        </w:rPr>
        <w:t xml:space="preserve"> mg/mL). This extract was rich in gallic acid and caffeic acids (</w:t>
      </w:r>
      <w:r w:rsidRPr="009D604A">
        <w:rPr>
          <w:rFonts w:asciiTheme="majorBidi" w:hAnsiTheme="majorBidi" w:cstheme="majorBidi"/>
          <w:kern w:val="24"/>
          <w:sz w:val="24"/>
          <w:szCs w:val="24"/>
          <w:lang w:bidi="ar-JO"/>
        </w:rPr>
        <w:t>366, 243 mg/Kg dry plant, respectively)</w:t>
      </w:r>
      <w:r w:rsidRPr="009D604A">
        <w:rPr>
          <w:rFonts w:asciiTheme="majorBidi" w:hAnsiTheme="majorBidi" w:cstheme="majorBidi"/>
          <w:bCs/>
          <w:sz w:val="24"/>
          <w:szCs w:val="24"/>
          <w:lang w:bidi="ar-JO"/>
        </w:rPr>
        <w:t xml:space="preserve">. The study resulted in reporting four known compounds including </w:t>
      </w:r>
      <w:r w:rsidRPr="009D604A">
        <w:rPr>
          <w:rFonts w:asciiTheme="majorBidi" w:hAnsiTheme="majorBidi" w:cstheme="majorBidi"/>
          <w:sz w:val="24"/>
          <w:szCs w:val="24"/>
        </w:rPr>
        <w:t xml:space="preserve">α- &amp; β-amyrin acetates, </w:t>
      </w:r>
      <w:r w:rsidRPr="009D604A">
        <w:rPr>
          <w:rFonts w:asciiTheme="majorBidi" w:hAnsiTheme="majorBidi" w:cstheme="majorBidi"/>
          <w:bCs/>
          <w:sz w:val="24"/>
          <w:szCs w:val="24"/>
          <w:lang w:bidi="ar-JO"/>
        </w:rPr>
        <w:t>β-sitosterol and β-sitosterol glycoside for the first time from the plant. The HDEO at the PF and FF stages were dominated by oxygenated sesquiterpenes (21.92%) and aliphatic hydrocarbons (45.71%).</w:t>
      </w:r>
    </w:p>
    <w:p w14:paraId="7273F547" w14:textId="314FABF6" w:rsidR="008C6426" w:rsidRPr="003B3830" w:rsidRDefault="003B3830" w:rsidP="003B3830">
      <w:pPr>
        <w:bidi w:val="0"/>
        <w:spacing w:after="0" w:line="360" w:lineRule="auto"/>
        <w:jc w:val="both"/>
        <w:rPr>
          <w:rFonts w:asciiTheme="majorBidi" w:hAnsiTheme="majorBidi" w:cstheme="majorBidi"/>
          <w:sz w:val="24"/>
          <w:szCs w:val="24"/>
        </w:rPr>
      </w:pPr>
      <w:r w:rsidRPr="003B3830">
        <w:rPr>
          <w:rFonts w:asciiTheme="majorBidi" w:hAnsiTheme="majorBidi" w:cstheme="majorBidi"/>
          <w:b/>
          <w:bCs/>
          <w:i/>
          <w:iCs/>
          <w:sz w:val="24"/>
          <w:szCs w:val="24"/>
        </w:rPr>
        <w:t xml:space="preserve">Keywords: </w:t>
      </w:r>
      <w:r w:rsidRPr="003B3830">
        <w:rPr>
          <w:rFonts w:asciiTheme="majorBidi" w:hAnsiTheme="majorBidi" w:cstheme="majorBidi"/>
          <w:i/>
          <w:iCs/>
          <w:sz w:val="24"/>
          <w:szCs w:val="24"/>
        </w:rPr>
        <w:t>Sedum rubens</w:t>
      </w:r>
      <w:r w:rsidRPr="003B3830">
        <w:rPr>
          <w:rFonts w:asciiTheme="majorBidi" w:hAnsiTheme="majorBidi" w:cstheme="majorBidi"/>
          <w:sz w:val="24"/>
          <w:szCs w:val="24"/>
        </w:rPr>
        <w:t xml:space="preserve">; Secondary metabolites; </w:t>
      </w:r>
      <w:r w:rsidRPr="003B3830">
        <w:rPr>
          <w:rFonts w:ascii="Symbol" w:hAnsi="Symbol" w:cstheme="majorBidi"/>
          <w:sz w:val="24"/>
          <w:szCs w:val="24"/>
        </w:rPr>
        <w:t></w:t>
      </w:r>
      <w:r w:rsidRPr="003B3830">
        <w:rPr>
          <w:rFonts w:asciiTheme="majorBidi" w:hAnsiTheme="majorBidi" w:cstheme="majorBidi"/>
          <w:sz w:val="24"/>
          <w:szCs w:val="24"/>
        </w:rPr>
        <w:t xml:space="preserve">- &amp; </w:t>
      </w:r>
      <w:r w:rsidRPr="003B3830">
        <w:rPr>
          <w:rFonts w:ascii="Symbol" w:hAnsi="Symbol" w:cstheme="majorBidi"/>
          <w:sz w:val="24"/>
          <w:szCs w:val="24"/>
        </w:rPr>
        <w:t></w:t>
      </w:r>
      <w:r w:rsidRPr="003B3830">
        <w:rPr>
          <w:rFonts w:asciiTheme="majorBidi" w:hAnsiTheme="majorBidi" w:cstheme="majorBidi"/>
          <w:sz w:val="24"/>
          <w:szCs w:val="24"/>
        </w:rPr>
        <w:t>-amyrine acetate; TPC; TFC; Antioxidant activity; HPLC-PDA</w:t>
      </w:r>
    </w:p>
    <w:p w14:paraId="5D2A0796" w14:textId="6D5C2563" w:rsidR="0086150D" w:rsidRPr="003B3830" w:rsidRDefault="0086150D" w:rsidP="003B3830">
      <w:pPr>
        <w:tabs>
          <w:tab w:val="left" w:pos="4968"/>
        </w:tabs>
        <w:bidi w:val="0"/>
        <w:spacing w:after="0" w:line="360" w:lineRule="auto"/>
        <w:jc w:val="both"/>
        <w:rPr>
          <w:rFonts w:asciiTheme="majorBidi" w:hAnsiTheme="majorBidi" w:cstheme="majorBidi"/>
          <w:b/>
          <w:bCs/>
          <w:sz w:val="24"/>
          <w:szCs w:val="24"/>
        </w:rPr>
      </w:pPr>
      <w:r w:rsidRPr="003B3830">
        <w:rPr>
          <w:rFonts w:asciiTheme="majorBidi" w:hAnsiTheme="majorBidi" w:cstheme="majorBidi"/>
          <w:b/>
          <w:bCs/>
          <w:sz w:val="24"/>
          <w:szCs w:val="24"/>
        </w:rPr>
        <w:lastRenderedPageBreak/>
        <w:t xml:space="preserve">Experimental </w:t>
      </w:r>
    </w:p>
    <w:p w14:paraId="1CAC0A7B" w14:textId="08F91CBE" w:rsidR="0086150D" w:rsidRPr="003B3830" w:rsidRDefault="003B3830" w:rsidP="00601056">
      <w:pPr>
        <w:bidi w:val="0"/>
        <w:spacing w:after="0" w:line="480" w:lineRule="auto"/>
        <w:jc w:val="both"/>
        <w:rPr>
          <w:rFonts w:asciiTheme="majorBidi" w:eastAsia="Times New Roman" w:hAnsiTheme="majorBidi" w:cstheme="majorBidi"/>
          <w:b/>
          <w:bCs/>
          <w:i/>
          <w:iCs/>
          <w:sz w:val="24"/>
          <w:szCs w:val="24"/>
        </w:rPr>
      </w:pPr>
      <w:r w:rsidRPr="003B3830">
        <w:rPr>
          <w:rFonts w:asciiTheme="majorBidi" w:hAnsiTheme="majorBidi" w:cstheme="majorBidi"/>
          <w:b/>
          <w:bCs/>
          <w:color w:val="222222"/>
          <w:sz w:val="24"/>
          <w:szCs w:val="24"/>
          <w:shd w:val="clear" w:color="auto" w:fill="FFFFFF"/>
        </w:rPr>
        <w:t>GC–MS and GC–FID analysis</w:t>
      </w:r>
      <w:r w:rsidR="0086150D" w:rsidRPr="003B3830">
        <w:rPr>
          <w:rFonts w:asciiTheme="majorBidi" w:eastAsia="Times New Roman" w:hAnsiTheme="majorBidi" w:cstheme="majorBidi"/>
          <w:b/>
          <w:bCs/>
          <w:i/>
          <w:iCs/>
          <w:sz w:val="24"/>
          <w:szCs w:val="24"/>
        </w:rPr>
        <w:t xml:space="preserve"> </w:t>
      </w:r>
    </w:p>
    <w:p w14:paraId="0C4AA3FC" w14:textId="67E37D81" w:rsidR="00601056" w:rsidRPr="00601056" w:rsidRDefault="00601056" w:rsidP="00601056">
      <w:pPr>
        <w:tabs>
          <w:tab w:val="left" w:pos="4968"/>
        </w:tabs>
        <w:bidi w:val="0"/>
        <w:spacing w:after="0" w:line="480" w:lineRule="auto"/>
        <w:jc w:val="both"/>
        <w:rPr>
          <w:rFonts w:asciiTheme="majorBidi" w:eastAsia="Times New Roman" w:hAnsiTheme="majorBidi" w:cstheme="majorBidi"/>
          <w:sz w:val="24"/>
          <w:szCs w:val="24"/>
        </w:rPr>
      </w:pPr>
      <w:r w:rsidRPr="00601056">
        <w:rPr>
          <w:rFonts w:asciiTheme="majorBidi" w:eastAsia="Times New Roman" w:hAnsiTheme="majorBidi" w:cstheme="majorBidi"/>
          <w:sz w:val="24"/>
          <w:szCs w:val="24"/>
        </w:rPr>
        <w:t xml:space="preserve">About 1 </w:t>
      </w:r>
      <w:r>
        <w:rPr>
          <w:rFonts w:asciiTheme="majorBidi" w:eastAsia="Times New Roman" w:hAnsiTheme="majorBidi" w:cstheme="majorBidi"/>
          <w:sz w:val="24"/>
          <w:szCs w:val="24"/>
        </w:rPr>
        <w:t>μL</w:t>
      </w:r>
      <w:r w:rsidRPr="00601056">
        <w:rPr>
          <w:rFonts w:asciiTheme="majorBidi" w:eastAsia="Times New Roman" w:hAnsiTheme="majorBidi" w:cstheme="majorBidi"/>
          <w:sz w:val="24"/>
          <w:szCs w:val="24"/>
        </w:rPr>
        <w:t xml:space="preserve"> aliquot of each </w:t>
      </w:r>
      <w:r>
        <w:rPr>
          <w:rFonts w:asciiTheme="majorBidi" w:eastAsia="Times New Roman" w:hAnsiTheme="majorBidi" w:cstheme="majorBidi"/>
          <w:sz w:val="24"/>
          <w:szCs w:val="24"/>
        </w:rPr>
        <w:t xml:space="preserve">HD-EO </w:t>
      </w:r>
      <w:r w:rsidRPr="00601056">
        <w:rPr>
          <w:rFonts w:asciiTheme="majorBidi" w:eastAsia="Times New Roman" w:hAnsiTheme="majorBidi" w:cstheme="majorBidi"/>
          <w:sz w:val="24"/>
          <w:szCs w:val="24"/>
        </w:rPr>
        <w:t xml:space="preserve">oil sample, diluted to 5 </w:t>
      </w:r>
      <w:r>
        <w:rPr>
          <w:rFonts w:asciiTheme="majorBidi" w:eastAsia="Times New Roman" w:hAnsiTheme="majorBidi" w:cstheme="majorBidi"/>
          <w:sz w:val="24"/>
          <w:szCs w:val="24"/>
        </w:rPr>
        <w:t>μL</w:t>
      </w:r>
      <w:r w:rsidRPr="00601056">
        <w:rPr>
          <w:rFonts w:asciiTheme="majorBidi" w:eastAsia="Times New Roman" w:hAnsiTheme="majorBidi" w:cstheme="majorBidi"/>
          <w:sz w:val="24"/>
          <w:szCs w:val="24"/>
        </w:rPr>
        <w:t xml:space="preserve"> in GC</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 xml:space="preserve">grade </w:t>
      </w:r>
      <w:r w:rsidRPr="00601056">
        <w:rPr>
          <w:rFonts w:asciiTheme="majorBidi" w:eastAsia="Times New Roman" w:hAnsiTheme="majorBidi" w:cstheme="majorBidi"/>
          <w:i/>
          <w:iCs/>
          <w:sz w:val="24"/>
          <w:szCs w:val="24"/>
        </w:rPr>
        <w:t>n</w:t>
      </w:r>
      <w:r w:rsidRPr="00601056">
        <w:rPr>
          <w:rFonts w:asciiTheme="majorBidi" w:eastAsia="Times New Roman" w:hAnsiTheme="majorBidi" w:cstheme="majorBidi"/>
          <w:sz w:val="24"/>
          <w:szCs w:val="24"/>
        </w:rPr>
        <w:t>-hexane, was</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subjected to GC/MS analysis. The GC/MS analysis was performed using Varian Chrompack</w:t>
      </w:r>
      <w:r>
        <w:rPr>
          <w:rFonts w:asciiTheme="majorBidi" w:eastAsia="Times New Roman" w:hAnsiTheme="majorBidi" w:cstheme="majorBidi" w:hint="cs"/>
          <w:sz w:val="24"/>
          <w:szCs w:val="24"/>
          <w:rtl/>
        </w:rPr>
        <w:t xml:space="preserve"> </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CP-3800 GC/MS/MS-200 (Saturn, Netherlands) equipped</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with DP-5 (5% diphenyl, 95</w:t>
      </w:r>
      <w:r>
        <w:rPr>
          <w:rFonts w:asciiTheme="majorBidi" w:eastAsia="Times New Roman" w:hAnsiTheme="majorBidi" w:cstheme="majorBidi"/>
          <w:sz w:val="24"/>
          <w:szCs w:val="24"/>
        </w:rPr>
        <w:t>% dimethyl polysiloxane) GC capp</w:t>
      </w:r>
      <w:r w:rsidRPr="00601056">
        <w:rPr>
          <w:rFonts w:asciiTheme="majorBidi" w:eastAsia="Times New Roman" w:hAnsiTheme="majorBidi" w:cstheme="majorBidi"/>
          <w:sz w:val="24"/>
          <w:szCs w:val="24"/>
        </w:rPr>
        <w:t xml:space="preserve">illary column (30 m </w:t>
      </w:r>
      <w:r>
        <w:rPr>
          <w:rFonts w:asciiTheme="majorBidi" w:eastAsia="Times New Roman" w:hAnsiTheme="majorBidi" w:cstheme="majorBidi" w:hint="cs"/>
          <w:sz w:val="24"/>
          <w:szCs w:val="24"/>
          <w:rtl/>
        </w:rPr>
        <w:t>×</w:t>
      </w:r>
      <w:r w:rsidRPr="00601056">
        <w:rPr>
          <w:rFonts w:asciiTheme="majorBidi" w:eastAsia="Times New Roman" w:hAnsiTheme="majorBidi" w:cstheme="majorBidi"/>
          <w:sz w:val="24"/>
          <w:szCs w:val="24"/>
        </w:rPr>
        <w:t xml:space="preserve"> 0.25 mm i.d., 0.25 </w:t>
      </w:r>
      <w:r>
        <w:rPr>
          <w:rFonts w:asciiTheme="majorBidi" w:eastAsia="Times New Roman" w:hAnsiTheme="majorBidi" w:cstheme="majorBidi"/>
          <w:sz w:val="24"/>
          <w:szCs w:val="24"/>
        </w:rPr>
        <w:t>μ</w:t>
      </w:r>
      <w:r w:rsidRPr="00601056">
        <w:rPr>
          <w:rFonts w:asciiTheme="majorBidi" w:eastAsia="Times New Roman" w:hAnsiTheme="majorBidi" w:cstheme="majorBidi"/>
          <w:sz w:val="24"/>
          <w:szCs w:val="24"/>
        </w:rPr>
        <w:t>m film thicknesses),</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with helium as a carrier gas (flow rate 0.9 m</w:t>
      </w:r>
      <w:r>
        <w:rPr>
          <w:rFonts w:asciiTheme="majorBidi" w:eastAsia="Times New Roman" w:hAnsiTheme="majorBidi" w:cstheme="majorBidi"/>
          <w:sz w:val="24"/>
          <w:szCs w:val="24"/>
        </w:rPr>
        <w:t>L</w:t>
      </w:r>
      <w:r w:rsidRPr="00601056">
        <w:rPr>
          <w:rFonts w:asciiTheme="majorBidi" w:eastAsia="Times New Roman" w:hAnsiTheme="majorBidi" w:cstheme="majorBidi"/>
          <w:sz w:val="24"/>
          <w:szCs w:val="24"/>
        </w:rPr>
        <w:t>/min). The actual</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temperature in MS source was 180 °C and the ionization</w:t>
      </w:r>
      <w:r>
        <w:rPr>
          <w:rFonts w:asciiTheme="majorBidi" w:eastAsia="Times New Roman" w:hAnsiTheme="majorBidi" w:cstheme="majorBidi"/>
          <w:sz w:val="24"/>
          <w:szCs w:val="24"/>
        </w:rPr>
        <w:t xml:space="preserve"> volt</w:t>
      </w:r>
      <w:r w:rsidRPr="00601056">
        <w:rPr>
          <w:rFonts w:asciiTheme="majorBidi" w:eastAsia="Times New Roman" w:hAnsiTheme="majorBidi" w:cstheme="majorBidi"/>
          <w:sz w:val="24"/>
          <w:szCs w:val="24"/>
        </w:rPr>
        <w:t>age was 70 eV. The column temperature was kept at 60 °C for</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1 min (isothermal), and programmed to 246 °C at a rate of</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3 °C/min, and kept constant at 246 °C for 3 min (isothermal).</w:t>
      </w:r>
    </w:p>
    <w:p w14:paraId="575A34DD" w14:textId="4303DDDB" w:rsidR="00601056" w:rsidRPr="00601056" w:rsidRDefault="00601056" w:rsidP="00601056">
      <w:pPr>
        <w:tabs>
          <w:tab w:val="left" w:pos="4968"/>
        </w:tabs>
        <w:bidi w:val="0"/>
        <w:spacing w:after="0" w:line="480" w:lineRule="auto"/>
        <w:rPr>
          <w:rFonts w:asciiTheme="majorBidi" w:eastAsia="Times New Roman" w:hAnsiTheme="majorBidi" w:cstheme="majorBidi"/>
          <w:sz w:val="24"/>
          <w:szCs w:val="24"/>
        </w:rPr>
      </w:pPr>
      <w:r w:rsidRPr="00601056">
        <w:rPr>
          <w:rFonts w:asciiTheme="majorBidi" w:eastAsia="Times New Roman" w:hAnsiTheme="majorBidi" w:cstheme="majorBidi"/>
          <w:sz w:val="24"/>
          <w:szCs w:val="24"/>
        </w:rPr>
        <w:t>A hydrocarbon mixture of n-alkanes (C</w:t>
      </w:r>
      <w:r w:rsidRPr="00601056">
        <w:rPr>
          <w:rFonts w:asciiTheme="majorBidi" w:eastAsia="Times New Roman" w:hAnsiTheme="majorBidi" w:cstheme="majorBidi"/>
          <w:sz w:val="24"/>
          <w:szCs w:val="24"/>
          <w:vertAlign w:val="subscript"/>
        </w:rPr>
        <w:t>8</w:t>
      </w:r>
      <w:r w:rsidRPr="00601056">
        <w:rPr>
          <w:rFonts w:asciiTheme="majorBidi" w:eastAsia="Times New Roman" w:hAnsiTheme="majorBidi" w:cstheme="majorBidi"/>
          <w:sz w:val="24"/>
          <w:szCs w:val="24"/>
        </w:rPr>
        <w:t>–C</w:t>
      </w:r>
      <w:r w:rsidRPr="00601056">
        <w:rPr>
          <w:rFonts w:asciiTheme="majorBidi" w:eastAsia="Times New Roman" w:hAnsiTheme="majorBidi" w:cstheme="majorBidi"/>
          <w:sz w:val="24"/>
          <w:szCs w:val="24"/>
          <w:vertAlign w:val="subscript"/>
        </w:rPr>
        <w:t>20</w:t>
      </w:r>
      <w:r w:rsidRPr="00601056">
        <w:rPr>
          <w:rFonts w:asciiTheme="majorBidi" w:eastAsia="Times New Roman" w:hAnsiTheme="majorBidi" w:cstheme="majorBidi"/>
          <w:sz w:val="24"/>
          <w:szCs w:val="24"/>
        </w:rPr>
        <w:t>) was analyzed</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separately by GC/MS under</w:t>
      </w:r>
      <w:r>
        <w:rPr>
          <w:rFonts w:asciiTheme="majorBidi" w:eastAsia="Times New Roman" w:hAnsiTheme="majorBidi" w:cstheme="majorBidi"/>
          <w:sz w:val="24"/>
          <w:szCs w:val="24"/>
        </w:rPr>
        <w:t xml:space="preserve"> the same chromatographic condi</w:t>
      </w:r>
      <w:r w:rsidRPr="00601056">
        <w:rPr>
          <w:rFonts w:asciiTheme="majorBidi" w:eastAsia="Times New Roman" w:hAnsiTheme="majorBidi" w:cstheme="majorBidi"/>
          <w:sz w:val="24"/>
          <w:szCs w:val="24"/>
        </w:rPr>
        <w:t>tions using the same D</w:t>
      </w:r>
      <w:r>
        <w:rPr>
          <w:rFonts w:asciiTheme="majorBidi" w:eastAsia="Times New Roman" w:hAnsiTheme="majorBidi" w:cstheme="majorBidi"/>
          <w:sz w:val="24"/>
          <w:szCs w:val="24"/>
        </w:rPr>
        <w:t>B</w:t>
      </w:r>
      <w:r w:rsidRPr="00601056">
        <w:rPr>
          <w:rFonts w:asciiTheme="majorBidi" w:eastAsia="Times New Roman" w:hAnsiTheme="majorBidi" w:cstheme="majorBidi"/>
          <w:sz w:val="24"/>
          <w:szCs w:val="24"/>
        </w:rPr>
        <w:t>-5 column.</w:t>
      </w:r>
      <w:r>
        <w:rPr>
          <w:rFonts w:asciiTheme="majorBidi" w:eastAsia="Times New Roman" w:hAnsiTheme="majorBidi" w:cstheme="majorBidi"/>
          <w:sz w:val="24"/>
          <w:szCs w:val="24"/>
        </w:rPr>
        <w:t xml:space="preserve"> </w:t>
      </w:r>
    </w:p>
    <w:p w14:paraId="612EEC3B" w14:textId="45840458" w:rsidR="00601056" w:rsidRPr="00601056" w:rsidRDefault="00601056" w:rsidP="00FC2BDB">
      <w:pPr>
        <w:tabs>
          <w:tab w:val="left" w:pos="4968"/>
        </w:tabs>
        <w:bidi w:val="0"/>
        <w:spacing w:after="0" w:line="480" w:lineRule="auto"/>
        <w:rPr>
          <w:rFonts w:asciiTheme="majorBidi" w:eastAsia="Times New Roman" w:hAnsiTheme="majorBidi" w:cstheme="majorBidi"/>
          <w:sz w:val="24"/>
          <w:szCs w:val="24"/>
        </w:rPr>
      </w:pPr>
      <w:r w:rsidRPr="00601056">
        <w:rPr>
          <w:rFonts w:asciiTheme="majorBidi" w:eastAsia="Times New Roman" w:hAnsiTheme="majorBidi" w:cstheme="majorBidi"/>
          <w:sz w:val="24"/>
          <w:szCs w:val="24"/>
        </w:rPr>
        <w:t>For the quantitative analysis (% area), a Hewlett–Packard</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HP-8590 gas chromatograph equipped with a split–splitless</w:t>
      </w:r>
      <w:r>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injector (split ratio 1:50) and an FID detector was used. The</w:t>
      </w:r>
      <w:r w:rsidR="00FC2BDB">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 xml:space="preserve">column was an optima-5 </w:t>
      </w:r>
      <w:r w:rsidR="00FC2BDB">
        <w:rPr>
          <w:rFonts w:asciiTheme="majorBidi" w:eastAsia="Times New Roman" w:hAnsiTheme="majorBidi" w:cstheme="majorBidi"/>
          <w:sz w:val="24"/>
          <w:szCs w:val="24"/>
        </w:rPr>
        <w:t>(5% diphenyl, 95% dimethyl poly</w:t>
      </w:r>
      <w:r w:rsidRPr="00601056">
        <w:rPr>
          <w:rFonts w:asciiTheme="majorBidi" w:eastAsia="Times New Roman" w:hAnsiTheme="majorBidi" w:cstheme="majorBidi"/>
          <w:sz w:val="24"/>
          <w:szCs w:val="24"/>
        </w:rPr>
        <w:t xml:space="preserve">siloxan) fused silica capillary column (30 m </w:t>
      </w:r>
      <w:r w:rsidR="00FC2BDB">
        <w:rPr>
          <w:rFonts w:asciiTheme="majorBidi" w:eastAsia="Times New Roman" w:hAnsiTheme="majorBidi" w:cstheme="majorBidi" w:hint="cs"/>
          <w:sz w:val="24"/>
          <w:szCs w:val="24"/>
          <w:rtl/>
        </w:rPr>
        <w:t>×</w:t>
      </w:r>
      <w:r w:rsidRPr="00601056">
        <w:rPr>
          <w:rFonts w:asciiTheme="majorBidi" w:eastAsia="Times New Roman" w:hAnsiTheme="majorBidi" w:cstheme="majorBidi"/>
          <w:sz w:val="24"/>
          <w:szCs w:val="24"/>
        </w:rPr>
        <w:t xml:space="preserve"> 0.25 mm, 0.25</w:t>
      </w:r>
      <w:r w:rsidR="00FC2BDB">
        <w:rPr>
          <w:rFonts w:asciiTheme="majorBidi" w:eastAsia="Times New Roman" w:hAnsiTheme="majorBidi" w:cstheme="majorBidi"/>
          <w:sz w:val="24"/>
          <w:szCs w:val="24"/>
        </w:rPr>
        <w:t xml:space="preserve"> μm </w:t>
      </w:r>
      <w:r w:rsidRPr="00601056">
        <w:rPr>
          <w:rFonts w:asciiTheme="majorBidi" w:eastAsia="Times New Roman" w:hAnsiTheme="majorBidi" w:cstheme="majorBidi"/>
          <w:sz w:val="24"/>
          <w:szCs w:val="24"/>
        </w:rPr>
        <w:t>film thickness). The temperature of the oven was increased at</w:t>
      </w:r>
      <w:r w:rsidR="00FC2BDB">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a rate of 10 °C/min from 60 to 250 °C and then held constant</w:t>
      </w:r>
      <w:r w:rsidR="00FC2BDB">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at 250 °C for 5 min. The temperatures of the injector and</w:t>
      </w:r>
      <w:r w:rsidR="00FC2BDB">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detector were maintained at 250 and 300 °C, respectively.</w:t>
      </w:r>
      <w:r w:rsidR="00FC2BDB">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The relative peak areas of the oil components were measured</w:t>
      </w:r>
      <w:r w:rsidR="00FC2BDB">
        <w:rPr>
          <w:rFonts w:asciiTheme="majorBidi" w:eastAsia="Times New Roman" w:hAnsiTheme="majorBidi" w:cstheme="majorBidi"/>
          <w:sz w:val="24"/>
          <w:szCs w:val="24"/>
        </w:rPr>
        <w:t xml:space="preserve"> </w:t>
      </w:r>
      <w:r w:rsidRPr="00601056">
        <w:rPr>
          <w:rFonts w:asciiTheme="majorBidi" w:eastAsia="Times New Roman" w:hAnsiTheme="majorBidi" w:cstheme="majorBidi"/>
          <w:sz w:val="24"/>
          <w:szCs w:val="24"/>
        </w:rPr>
        <w:t>and then used to calculate the concentration of the detected</w:t>
      </w:r>
      <w:r w:rsidR="001F4F93">
        <w:rPr>
          <w:rFonts w:asciiTheme="majorBidi" w:eastAsia="Times New Roman" w:hAnsiTheme="majorBidi" w:cstheme="majorBidi"/>
          <w:sz w:val="24"/>
          <w:szCs w:val="24"/>
        </w:rPr>
        <w:t>.</w:t>
      </w:r>
    </w:p>
    <w:p w14:paraId="1D889AEC" w14:textId="1DF287F9" w:rsidR="0086150D" w:rsidRPr="00D937D9" w:rsidRDefault="0086150D" w:rsidP="003B3830">
      <w:pPr>
        <w:bidi w:val="0"/>
        <w:spacing w:after="0" w:line="480" w:lineRule="auto"/>
        <w:jc w:val="center"/>
        <w:rPr>
          <w:rFonts w:asciiTheme="majorBidi" w:eastAsia="Times New Roman" w:hAnsiTheme="majorBidi" w:cstheme="majorBidi"/>
          <w:sz w:val="24"/>
          <w:szCs w:val="24"/>
        </w:rPr>
      </w:pPr>
    </w:p>
    <w:p w14:paraId="6ACAB9F6" w14:textId="7C29D9BD" w:rsidR="00FC5906" w:rsidRDefault="00FC5906" w:rsidP="003B3830">
      <w:pPr>
        <w:bidi w:val="0"/>
        <w:spacing w:after="0" w:line="480" w:lineRule="auto"/>
        <w:jc w:val="center"/>
        <w:rPr>
          <w:rFonts w:asciiTheme="majorBidi" w:hAnsiTheme="majorBidi" w:cstheme="majorBidi"/>
          <w:sz w:val="24"/>
          <w:szCs w:val="24"/>
        </w:rPr>
      </w:pPr>
    </w:p>
    <w:p w14:paraId="6C9316B4" w14:textId="61DAD8B9" w:rsidR="001A0CBB" w:rsidRDefault="001A0CBB" w:rsidP="001A0CBB">
      <w:pPr>
        <w:bidi w:val="0"/>
        <w:spacing w:after="0" w:line="480" w:lineRule="auto"/>
        <w:jc w:val="center"/>
        <w:rPr>
          <w:rFonts w:asciiTheme="majorBidi" w:hAnsiTheme="majorBidi" w:cstheme="majorBidi"/>
          <w:sz w:val="24"/>
          <w:szCs w:val="24"/>
        </w:rPr>
      </w:pPr>
    </w:p>
    <w:p w14:paraId="23B90940" w14:textId="04CFB355" w:rsidR="001A0CBB" w:rsidRDefault="001A0CBB" w:rsidP="001A0CBB">
      <w:pPr>
        <w:bidi w:val="0"/>
        <w:spacing w:after="0" w:line="480" w:lineRule="auto"/>
        <w:jc w:val="center"/>
        <w:rPr>
          <w:rFonts w:asciiTheme="majorBidi" w:hAnsiTheme="majorBidi" w:cstheme="majorBidi"/>
          <w:sz w:val="24"/>
          <w:szCs w:val="24"/>
        </w:rPr>
      </w:pPr>
    </w:p>
    <w:p w14:paraId="2F1F74CF" w14:textId="64D0F420" w:rsidR="001A0CBB" w:rsidRDefault="001A0CBB" w:rsidP="001A0CBB">
      <w:pPr>
        <w:bidi w:val="0"/>
        <w:spacing w:after="0" w:line="480" w:lineRule="auto"/>
        <w:jc w:val="center"/>
        <w:rPr>
          <w:rFonts w:asciiTheme="majorBidi" w:hAnsiTheme="majorBidi" w:cstheme="majorBidi"/>
          <w:sz w:val="24"/>
          <w:szCs w:val="24"/>
        </w:rPr>
      </w:pPr>
    </w:p>
    <w:p w14:paraId="3F32620A" w14:textId="0D668F2D" w:rsidR="001A0CBB" w:rsidRDefault="001A0CBB" w:rsidP="001A0CBB">
      <w:pPr>
        <w:bidi w:val="0"/>
        <w:spacing w:after="0" w:line="480" w:lineRule="auto"/>
        <w:jc w:val="center"/>
        <w:rPr>
          <w:rFonts w:asciiTheme="majorBidi" w:hAnsiTheme="majorBidi" w:cstheme="majorBidi"/>
          <w:sz w:val="24"/>
          <w:szCs w:val="24"/>
        </w:rPr>
      </w:pPr>
    </w:p>
    <w:p w14:paraId="328F6859" w14:textId="42A2DE3F" w:rsidR="00653DA8" w:rsidRDefault="00653DA8" w:rsidP="00653DA8">
      <w:pPr>
        <w:bidi w:val="0"/>
        <w:spacing w:after="0" w:line="480" w:lineRule="auto"/>
        <w:jc w:val="center"/>
        <w:rPr>
          <w:rFonts w:asciiTheme="majorBidi" w:hAnsiTheme="majorBidi" w:cstheme="majorBidi"/>
          <w:sz w:val="24"/>
          <w:szCs w:val="24"/>
        </w:rPr>
      </w:pPr>
    </w:p>
    <w:p w14:paraId="7D34EE66" w14:textId="72AAC540" w:rsidR="00653DA8" w:rsidRDefault="00653DA8" w:rsidP="00653DA8">
      <w:pPr>
        <w:bidi w:val="0"/>
        <w:spacing w:after="0" w:line="480" w:lineRule="auto"/>
        <w:jc w:val="center"/>
        <w:rPr>
          <w:rFonts w:asciiTheme="majorBidi" w:hAnsiTheme="majorBidi" w:cstheme="majorBidi"/>
          <w:sz w:val="24"/>
          <w:szCs w:val="24"/>
        </w:rPr>
      </w:pPr>
    </w:p>
    <w:p w14:paraId="1C5E0E61" w14:textId="77777777" w:rsidR="00653DA8" w:rsidRDefault="00653DA8" w:rsidP="00653DA8">
      <w:pPr>
        <w:bidi w:val="0"/>
        <w:spacing w:after="0" w:line="480" w:lineRule="auto"/>
        <w:jc w:val="center"/>
        <w:rPr>
          <w:rFonts w:asciiTheme="majorBidi" w:hAnsiTheme="majorBidi" w:cstheme="majorBidi"/>
          <w:sz w:val="24"/>
          <w:szCs w:val="24"/>
        </w:rPr>
      </w:pPr>
    </w:p>
    <w:p w14:paraId="018DC273" w14:textId="2308B888" w:rsidR="001A0CBB" w:rsidRDefault="001A0CBB" w:rsidP="001A0CBB">
      <w:pPr>
        <w:bidi w:val="0"/>
        <w:spacing w:after="0" w:line="480" w:lineRule="auto"/>
        <w:jc w:val="center"/>
        <w:rPr>
          <w:rFonts w:asciiTheme="majorBidi" w:hAnsiTheme="majorBidi" w:cstheme="majorBidi"/>
          <w:sz w:val="24"/>
          <w:szCs w:val="24"/>
        </w:rPr>
      </w:pPr>
    </w:p>
    <w:p w14:paraId="209C0250" w14:textId="77777777" w:rsidR="0089784E" w:rsidRDefault="0089784E" w:rsidP="0089784E">
      <w:pPr>
        <w:bidi w:val="0"/>
        <w:spacing w:after="0" w:line="480" w:lineRule="auto"/>
        <w:jc w:val="center"/>
        <w:rPr>
          <w:rFonts w:asciiTheme="majorBidi" w:hAnsiTheme="majorBidi" w:cstheme="majorBidi"/>
          <w:sz w:val="24"/>
          <w:szCs w:val="24"/>
        </w:rPr>
      </w:pPr>
    </w:p>
    <w:p w14:paraId="22A027EC" w14:textId="75284DF7" w:rsidR="001A0CBB" w:rsidRDefault="001A0CBB" w:rsidP="001A0CBB">
      <w:pPr>
        <w:bidi w:val="0"/>
        <w:spacing w:after="0" w:line="480" w:lineRule="auto"/>
        <w:jc w:val="center"/>
        <w:rPr>
          <w:rFonts w:asciiTheme="majorBidi" w:hAnsiTheme="majorBidi" w:cstheme="majorBidi"/>
          <w:sz w:val="24"/>
          <w:szCs w:val="24"/>
        </w:rPr>
      </w:pPr>
    </w:p>
    <w:p w14:paraId="2643F6A4" w14:textId="5B6A62EF" w:rsidR="001A0CBB" w:rsidRDefault="0089784E" w:rsidP="001A0CBB">
      <w:pPr>
        <w:bidi w:val="0"/>
        <w:spacing w:after="0" w:line="480" w:lineRule="auto"/>
        <w:jc w:val="center"/>
        <w:rPr>
          <w:rFonts w:asciiTheme="majorBidi" w:hAnsiTheme="majorBidi" w:cstheme="majorBidi"/>
          <w:sz w:val="24"/>
          <w:szCs w:val="24"/>
        </w:rPr>
      </w:pPr>
      <w:r>
        <w:rPr>
          <w:noProof/>
        </w:rPr>
        <w:drawing>
          <wp:inline distT="0" distB="0" distL="0" distR="0" wp14:anchorId="1B62517B" wp14:editId="1D9784D8">
            <wp:extent cx="5096299" cy="24215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03716" cy="2425046"/>
                    </a:xfrm>
                    <a:prstGeom prst="rect">
                      <a:avLst/>
                    </a:prstGeom>
                  </pic:spPr>
                </pic:pic>
              </a:graphicData>
            </a:graphic>
          </wp:inline>
        </w:drawing>
      </w:r>
    </w:p>
    <w:p w14:paraId="44C936C6" w14:textId="19530899" w:rsidR="00CB38E8" w:rsidRDefault="004E705F" w:rsidP="0089784E">
      <w:pPr>
        <w:tabs>
          <w:tab w:val="left" w:pos="3318"/>
        </w:tabs>
        <w:bidi w:val="0"/>
        <w:spacing w:after="0" w:line="480" w:lineRule="auto"/>
        <w:jc w:val="center"/>
        <w:rPr>
          <w:rFonts w:asciiTheme="majorBidi" w:eastAsia="Times New Roman" w:hAnsiTheme="majorBidi" w:cstheme="majorBidi"/>
          <w:sz w:val="24"/>
          <w:szCs w:val="24"/>
        </w:rPr>
      </w:pPr>
      <w:bookmarkStart w:id="0" w:name="_GoBack"/>
      <w:bookmarkEnd w:id="0"/>
      <w:r>
        <w:rPr>
          <w:rFonts w:asciiTheme="majorBidi" w:hAnsiTheme="majorBidi" w:cstheme="majorBidi"/>
          <w:sz w:val="24"/>
          <w:szCs w:val="24"/>
        </w:rPr>
        <w:t xml:space="preserve">Fig. S1. </w:t>
      </w:r>
      <w:r w:rsidR="00FE7FA1">
        <w:rPr>
          <w:rFonts w:asciiTheme="majorBidi" w:hAnsiTheme="majorBidi" w:cstheme="majorBidi"/>
          <w:sz w:val="24"/>
          <w:szCs w:val="24"/>
        </w:rPr>
        <w:t xml:space="preserve">HPLC-PDA chromatogram of Sr-HA extract obtained from </w:t>
      </w:r>
      <w:r w:rsidR="00FE7FA1" w:rsidRPr="00FE7FA1">
        <w:rPr>
          <w:rFonts w:asciiTheme="majorBidi" w:hAnsiTheme="majorBidi" w:cstheme="majorBidi"/>
          <w:i/>
          <w:iCs/>
          <w:sz w:val="24"/>
          <w:szCs w:val="24"/>
        </w:rPr>
        <w:t>S. rubens</w:t>
      </w:r>
      <w:r w:rsidR="00FE7FA1">
        <w:rPr>
          <w:rFonts w:asciiTheme="majorBidi" w:hAnsiTheme="majorBidi" w:cstheme="majorBidi"/>
          <w:sz w:val="24"/>
          <w:szCs w:val="24"/>
        </w:rPr>
        <w:t xml:space="preserve"> from Jordan.</w:t>
      </w:r>
    </w:p>
    <w:p w14:paraId="0D633DE4" w14:textId="77777777" w:rsidR="00CB38E8" w:rsidRPr="00CB38E8" w:rsidRDefault="00CB38E8" w:rsidP="00CB38E8">
      <w:pPr>
        <w:bidi w:val="0"/>
        <w:rPr>
          <w:rFonts w:asciiTheme="majorBidi" w:eastAsia="Times New Roman" w:hAnsiTheme="majorBidi" w:cstheme="majorBidi"/>
          <w:sz w:val="24"/>
          <w:szCs w:val="24"/>
        </w:rPr>
      </w:pPr>
    </w:p>
    <w:p w14:paraId="3B93BB29" w14:textId="77777777" w:rsidR="00CB38E8" w:rsidRPr="00CB38E8" w:rsidRDefault="00CB38E8" w:rsidP="00CB38E8">
      <w:pPr>
        <w:bidi w:val="0"/>
        <w:rPr>
          <w:rFonts w:asciiTheme="majorBidi" w:eastAsia="Times New Roman" w:hAnsiTheme="majorBidi" w:cstheme="majorBidi"/>
          <w:sz w:val="24"/>
          <w:szCs w:val="24"/>
        </w:rPr>
      </w:pPr>
    </w:p>
    <w:p w14:paraId="06DF56BF" w14:textId="0C188E9B" w:rsidR="00CB38E8" w:rsidRDefault="00CB38E8" w:rsidP="00CB38E8">
      <w:pPr>
        <w:bidi w:val="0"/>
        <w:jc w:val="center"/>
        <w:rPr>
          <w:rFonts w:asciiTheme="majorBidi" w:eastAsia="Times New Roman" w:hAnsiTheme="majorBidi" w:cstheme="majorBidi"/>
          <w:sz w:val="24"/>
          <w:szCs w:val="24"/>
        </w:rPr>
      </w:pPr>
      <w:r>
        <w:rPr>
          <w:noProof/>
        </w:rPr>
        <w:drawing>
          <wp:inline distT="0" distB="0" distL="0" distR="0" wp14:anchorId="25238BE1" wp14:editId="7D5B6C50">
            <wp:extent cx="4844415" cy="317985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9731" cy="3183343"/>
                    </a:xfrm>
                    <a:prstGeom prst="rect">
                      <a:avLst/>
                    </a:prstGeom>
                  </pic:spPr>
                </pic:pic>
              </a:graphicData>
            </a:graphic>
          </wp:inline>
        </w:drawing>
      </w:r>
    </w:p>
    <w:p w14:paraId="20C18C1C" w14:textId="150678D0" w:rsidR="00CB38E8" w:rsidRDefault="00CB38E8" w:rsidP="00CB38E8">
      <w:pPr>
        <w:tabs>
          <w:tab w:val="left" w:pos="2410"/>
        </w:tabs>
        <w:bidi w:val="0"/>
        <w:jc w:val="center"/>
        <w:rPr>
          <w:rFonts w:asciiTheme="majorBidi" w:eastAsia="Times New Roman" w:hAnsiTheme="majorBidi" w:cstheme="majorBidi"/>
          <w:sz w:val="24"/>
          <w:szCs w:val="24"/>
        </w:rPr>
      </w:pPr>
      <w:r>
        <w:rPr>
          <w:noProof/>
        </w:rPr>
        <w:lastRenderedPageBreak/>
        <w:drawing>
          <wp:inline distT="0" distB="0" distL="0" distR="0" wp14:anchorId="20B2B42E" wp14:editId="4A90E38B">
            <wp:extent cx="4748441" cy="319370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8101" cy="3206930"/>
                    </a:xfrm>
                    <a:prstGeom prst="rect">
                      <a:avLst/>
                    </a:prstGeom>
                  </pic:spPr>
                </pic:pic>
              </a:graphicData>
            </a:graphic>
          </wp:inline>
        </w:drawing>
      </w:r>
    </w:p>
    <w:p w14:paraId="75315A27" w14:textId="17A99CD0" w:rsidR="00CB38E8" w:rsidRDefault="00CB38E8" w:rsidP="00CB38E8">
      <w:pPr>
        <w:bidi w:val="0"/>
        <w:rPr>
          <w:rFonts w:asciiTheme="majorBidi" w:eastAsia="Times New Roman" w:hAnsiTheme="majorBidi" w:cstheme="majorBidi"/>
          <w:sz w:val="24"/>
          <w:szCs w:val="24"/>
        </w:rPr>
      </w:pPr>
    </w:p>
    <w:p w14:paraId="60F19BAC" w14:textId="276626F1" w:rsidR="00844031" w:rsidRPr="00CB38E8" w:rsidRDefault="004E705F" w:rsidP="00CB38E8">
      <w:pPr>
        <w:bidi w:val="0"/>
        <w:rPr>
          <w:rFonts w:asciiTheme="majorBidi" w:eastAsia="Times New Roman" w:hAnsiTheme="majorBidi" w:cstheme="majorBidi"/>
          <w:sz w:val="24"/>
          <w:szCs w:val="24"/>
        </w:rPr>
      </w:pPr>
      <w:r>
        <w:rPr>
          <w:rFonts w:asciiTheme="majorBidi" w:hAnsiTheme="majorBidi" w:cstheme="majorBidi"/>
          <w:sz w:val="24"/>
          <w:szCs w:val="24"/>
        </w:rPr>
        <w:t xml:space="preserve">Fig. S2. </w:t>
      </w:r>
      <w:r w:rsidR="00CB38E8">
        <w:rPr>
          <w:rFonts w:asciiTheme="majorBidi" w:hAnsiTheme="majorBidi" w:cstheme="majorBidi"/>
          <w:sz w:val="24"/>
          <w:szCs w:val="24"/>
        </w:rPr>
        <w:t xml:space="preserve">GC/MS chromatograms of HD-EO of </w:t>
      </w:r>
      <w:r w:rsidR="00CB38E8" w:rsidRPr="00FE7FA1">
        <w:rPr>
          <w:rFonts w:asciiTheme="majorBidi" w:hAnsiTheme="majorBidi" w:cstheme="majorBidi"/>
          <w:i/>
          <w:iCs/>
          <w:sz w:val="24"/>
          <w:szCs w:val="24"/>
        </w:rPr>
        <w:t>S. rubens</w:t>
      </w:r>
      <w:r w:rsidR="00CB38E8">
        <w:rPr>
          <w:rFonts w:asciiTheme="majorBidi" w:hAnsiTheme="majorBidi" w:cstheme="majorBidi"/>
          <w:sz w:val="24"/>
          <w:szCs w:val="24"/>
        </w:rPr>
        <w:t xml:space="preserve"> from Jordan at PF (above) and FF (below) stages.</w:t>
      </w:r>
    </w:p>
    <w:sectPr w:rsidR="00844031" w:rsidRPr="00CB38E8" w:rsidSect="00F172E8">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1040E"/>
    <w:multiLevelType w:val="multilevel"/>
    <w:tmpl w:val="361416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2MjMwMjcyNTc0NzNQ0lEKTi0uzszPAykwrQUAk5QaMywAAAA="/>
  </w:docVars>
  <w:rsids>
    <w:rsidRoot w:val="000F6F87"/>
    <w:rsid w:val="000F6F87"/>
    <w:rsid w:val="001265AA"/>
    <w:rsid w:val="001734C5"/>
    <w:rsid w:val="001A0CBB"/>
    <w:rsid w:val="001F4F93"/>
    <w:rsid w:val="0022222B"/>
    <w:rsid w:val="0035771E"/>
    <w:rsid w:val="003B3830"/>
    <w:rsid w:val="003C614B"/>
    <w:rsid w:val="004A5830"/>
    <w:rsid w:val="004C1BA4"/>
    <w:rsid w:val="004E705F"/>
    <w:rsid w:val="004F5BE9"/>
    <w:rsid w:val="00553DC9"/>
    <w:rsid w:val="00574367"/>
    <w:rsid w:val="00596324"/>
    <w:rsid w:val="005B6041"/>
    <w:rsid w:val="00601056"/>
    <w:rsid w:val="006139F2"/>
    <w:rsid w:val="00653DA8"/>
    <w:rsid w:val="006C4BC9"/>
    <w:rsid w:val="0078579C"/>
    <w:rsid w:val="007926A4"/>
    <w:rsid w:val="00821078"/>
    <w:rsid w:val="00844031"/>
    <w:rsid w:val="0086150D"/>
    <w:rsid w:val="00873E5C"/>
    <w:rsid w:val="0089784E"/>
    <w:rsid w:val="008C10CF"/>
    <w:rsid w:val="008C6426"/>
    <w:rsid w:val="0094424D"/>
    <w:rsid w:val="009852C7"/>
    <w:rsid w:val="009D604A"/>
    <w:rsid w:val="00A03B55"/>
    <w:rsid w:val="00AE56F3"/>
    <w:rsid w:val="00CB38E8"/>
    <w:rsid w:val="00CC1C87"/>
    <w:rsid w:val="00D937D9"/>
    <w:rsid w:val="00DD38E0"/>
    <w:rsid w:val="00E303C5"/>
    <w:rsid w:val="00EF2F37"/>
    <w:rsid w:val="00EF58CF"/>
    <w:rsid w:val="00F172E8"/>
    <w:rsid w:val="00FC2BDB"/>
    <w:rsid w:val="00FC5906"/>
    <w:rsid w:val="00FE7F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1C0AC"/>
  <w15:chartTrackingRefBased/>
  <w15:docId w15:val="{DD4A78AC-BCF9-466F-977F-E5DEE5AD6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F87"/>
    <w:pPr>
      <w:bidi/>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6F87"/>
    <w:pPr>
      <w:bidi/>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6150D"/>
    <w:rPr>
      <w:color w:val="0000FF"/>
      <w:u w:val="single"/>
    </w:rPr>
  </w:style>
  <w:style w:type="paragraph" w:styleId="ListParagraph">
    <w:name w:val="List Paragraph"/>
    <w:basedOn w:val="Normal"/>
    <w:uiPriority w:val="34"/>
    <w:qFormat/>
    <w:rsid w:val="0086150D"/>
    <w:pPr>
      <w:bidi w:val="0"/>
      <w:spacing w:after="160" w:line="259" w:lineRule="auto"/>
      <w:ind w:left="720"/>
      <w:contextualSpacing/>
    </w:pPr>
    <w:rPr>
      <w:rFonts w:asciiTheme="minorHAnsi" w:eastAsiaTheme="minorHAnsi" w:hAnsiTheme="minorHAnsi" w:cstheme="minorBidi"/>
    </w:rPr>
  </w:style>
  <w:style w:type="character" w:styleId="Strong">
    <w:name w:val="Strong"/>
    <w:basedOn w:val="DefaultParagraphFont"/>
    <w:uiPriority w:val="22"/>
    <w:qFormat/>
    <w:rsid w:val="0086150D"/>
    <w:rPr>
      <w:b/>
      <w:bCs/>
    </w:rPr>
  </w:style>
  <w:style w:type="character" w:customStyle="1" w:styleId="gd">
    <w:name w:val="gd"/>
    <w:basedOn w:val="DefaultParagraphFont"/>
    <w:rsid w:val="0086150D"/>
  </w:style>
  <w:style w:type="paragraph" w:customStyle="1" w:styleId="MDPI16affiliation">
    <w:name w:val="MDPI_1.6_affiliation"/>
    <w:qFormat/>
    <w:rsid w:val="0086150D"/>
    <w:pPr>
      <w:adjustRightInd w:val="0"/>
      <w:snapToGrid w:val="0"/>
      <w:spacing w:after="0" w:line="260" w:lineRule="atLeast"/>
      <w:ind w:left="311" w:hanging="198"/>
    </w:pPr>
    <w:rPr>
      <w:rFonts w:ascii="Palatino Linotype" w:eastAsia="Times New Roman" w:hAnsi="Palatino Linotype" w:cs="Times New Roman"/>
      <w:color w:val="000000"/>
      <w:sz w:val="18"/>
      <w:szCs w:val="18"/>
      <w:lang w:eastAsia="de-DE" w:bidi="en-US"/>
    </w:rPr>
  </w:style>
  <w:style w:type="character" w:customStyle="1" w:styleId="orcid-id-https">
    <w:name w:val="orcid-id-https"/>
    <w:basedOn w:val="DefaultParagraphFont"/>
    <w:rsid w:val="00861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29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al-qudah</dc:creator>
  <cp:keywords/>
  <dc:description/>
  <cp:lastModifiedBy>User</cp:lastModifiedBy>
  <cp:revision>39</cp:revision>
  <dcterms:created xsi:type="dcterms:W3CDTF">2022-09-22T13:13:00Z</dcterms:created>
  <dcterms:modified xsi:type="dcterms:W3CDTF">2023-02-14T19:25:00Z</dcterms:modified>
</cp:coreProperties>
</file>