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97E0" w14:textId="77777777" w:rsidR="006B44B6" w:rsidRPr="006A6050" w:rsidRDefault="006B44B6" w:rsidP="006B44B6">
      <w:pPr>
        <w:widowControl w:val="0"/>
        <w:spacing w:line="480" w:lineRule="auto"/>
        <w:jc w:val="center"/>
        <w:rPr>
          <w:b/>
          <w:bCs/>
          <w:kern w:val="2"/>
          <w:sz w:val="32"/>
          <w:szCs w:val="32"/>
          <w:lang w:eastAsia="zh-CN"/>
        </w:rPr>
      </w:pPr>
      <w:bookmarkStart w:id="0" w:name="OLE_LINK110"/>
      <w:bookmarkStart w:id="1" w:name="OLE_LINK112"/>
      <w:r w:rsidRPr="006A6050">
        <w:rPr>
          <w:rFonts w:hint="eastAsia"/>
          <w:b/>
          <w:bCs/>
          <w:sz w:val="32"/>
          <w:szCs w:val="32"/>
          <w:lang w:eastAsia="zh-CN"/>
        </w:rPr>
        <w:t>S</w:t>
      </w:r>
      <w:r w:rsidRPr="006A6050">
        <w:rPr>
          <w:b/>
          <w:bCs/>
          <w:kern w:val="2"/>
          <w:sz w:val="32"/>
          <w:szCs w:val="32"/>
          <w:lang w:eastAsia="zh-CN"/>
        </w:rPr>
        <w:t>elf-exothermic</w:t>
      </w:r>
      <w:r>
        <w:rPr>
          <w:b/>
          <w:bCs/>
          <w:kern w:val="2"/>
          <w:sz w:val="32"/>
          <w:szCs w:val="32"/>
          <w:lang w:eastAsia="zh-CN"/>
        </w:rPr>
        <w:t xml:space="preserve"> </w:t>
      </w:r>
      <w:r>
        <w:rPr>
          <w:rFonts w:hint="eastAsia"/>
          <w:b/>
          <w:bCs/>
          <w:kern w:val="2"/>
          <w:sz w:val="32"/>
          <w:szCs w:val="32"/>
          <w:lang w:eastAsia="zh-CN"/>
        </w:rPr>
        <w:t>reaction</w:t>
      </w:r>
      <w:r>
        <w:rPr>
          <w:b/>
          <w:bCs/>
          <w:kern w:val="2"/>
          <w:sz w:val="32"/>
          <w:szCs w:val="32"/>
          <w:lang w:eastAsia="zh-CN"/>
        </w:rPr>
        <w:t xml:space="preserve"> </w:t>
      </w:r>
      <w:r>
        <w:rPr>
          <w:rFonts w:hint="eastAsia"/>
          <w:b/>
          <w:bCs/>
          <w:kern w:val="2"/>
          <w:sz w:val="32"/>
          <w:szCs w:val="32"/>
          <w:lang w:eastAsia="zh-CN"/>
        </w:rPr>
        <w:t>assisted</w:t>
      </w:r>
      <w:r>
        <w:rPr>
          <w:b/>
          <w:bCs/>
          <w:kern w:val="2"/>
          <w:sz w:val="32"/>
          <w:szCs w:val="32"/>
          <w:lang w:eastAsia="zh-CN"/>
        </w:rPr>
        <w:t xml:space="preserve"> </w:t>
      </w:r>
      <w:r>
        <w:rPr>
          <w:rFonts w:hint="eastAsia"/>
          <w:b/>
          <w:bCs/>
          <w:kern w:val="2"/>
          <w:sz w:val="32"/>
          <w:szCs w:val="32"/>
          <w:lang w:eastAsia="zh-CN"/>
        </w:rPr>
        <w:t>green</w:t>
      </w:r>
      <w:r w:rsidRPr="006A6050">
        <w:rPr>
          <w:rFonts w:hint="eastAsia"/>
          <w:b/>
          <w:bCs/>
          <w:kern w:val="2"/>
          <w:sz w:val="32"/>
          <w:szCs w:val="32"/>
          <w:lang w:eastAsia="zh-CN"/>
        </w:rPr>
        <w:t xml:space="preserve"> </w:t>
      </w:r>
      <w:r w:rsidRPr="006A6050">
        <w:rPr>
          <w:b/>
          <w:bCs/>
          <w:kern w:val="2"/>
          <w:sz w:val="32"/>
          <w:szCs w:val="32"/>
          <w:lang w:eastAsia="zh-CN"/>
        </w:rPr>
        <w:t>synthesis of carbon dots</w:t>
      </w:r>
      <w:r>
        <w:rPr>
          <w:b/>
          <w:bCs/>
          <w:kern w:val="2"/>
          <w:sz w:val="32"/>
          <w:szCs w:val="32"/>
          <w:lang w:eastAsia="zh-CN"/>
        </w:rPr>
        <w:t xml:space="preserve"> </w:t>
      </w:r>
      <w:r w:rsidRPr="006A6050">
        <w:rPr>
          <w:rFonts w:hint="eastAsia"/>
          <w:b/>
          <w:bCs/>
          <w:kern w:val="2"/>
          <w:sz w:val="32"/>
          <w:szCs w:val="32"/>
          <w:lang w:eastAsia="zh-CN"/>
        </w:rPr>
        <w:t>for</w:t>
      </w:r>
      <w:r>
        <w:rPr>
          <w:b/>
          <w:bCs/>
          <w:kern w:val="2"/>
          <w:sz w:val="32"/>
          <w:szCs w:val="32"/>
          <w:lang w:eastAsia="zh-CN"/>
        </w:rPr>
        <w:t xml:space="preserve"> </w:t>
      </w:r>
      <w:r>
        <w:rPr>
          <w:rFonts w:hint="eastAsia"/>
          <w:b/>
          <w:bCs/>
          <w:kern w:val="2"/>
          <w:sz w:val="32"/>
          <w:szCs w:val="32"/>
          <w:lang w:eastAsia="zh-CN"/>
        </w:rPr>
        <w:t>the</w:t>
      </w:r>
      <w:r>
        <w:rPr>
          <w:b/>
          <w:bCs/>
          <w:kern w:val="2"/>
          <w:sz w:val="32"/>
          <w:szCs w:val="32"/>
          <w:lang w:eastAsia="zh-CN"/>
        </w:rPr>
        <w:t xml:space="preserve"> </w:t>
      </w:r>
      <w:r>
        <w:rPr>
          <w:rFonts w:hint="eastAsia"/>
          <w:b/>
          <w:bCs/>
          <w:kern w:val="2"/>
          <w:sz w:val="32"/>
          <w:szCs w:val="32"/>
          <w:lang w:eastAsia="zh-CN"/>
        </w:rPr>
        <w:t>detection</w:t>
      </w:r>
      <w:r w:rsidRPr="006A6050">
        <w:rPr>
          <w:b/>
          <w:bCs/>
          <w:kern w:val="2"/>
          <w:sz w:val="32"/>
          <w:szCs w:val="32"/>
          <w:lang w:eastAsia="zh-CN"/>
        </w:rPr>
        <w:t xml:space="preserve"> of</w:t>
      </w:r>
      <w:r w:rsidRPr="006A6050">
        <w:rPr>
          <w:rFonts w:hint="eastAsia"/>
          <w:b/>
          <w:bCs/>
          <w:kern w:val="2"/>
          <w:sz w:val="32"/>
          <w:szCs w:val="32"/>
          <w:lang w:eastAsia="zh-CN"/>
        </w:rPr>
        <w:t xml:space="preserve"> para</w:t>
      </w:r>
      <w:r w:rsidRPr="006A6050">
        <w:rPr>
          <w:b/>
          <w:bCs/>
          <w:kern w:val="2"/>
          <w:sz w:val="32"/>
          <w:szCs w:val="32"/>
          <w:lang w:eastAsia="zh-CN"/>
        </w:rPr>
        <w:t>-</w:t>
      </w:r>
      <w:r w:rsidRPr="006A6050">
        <w:rPr>
          <w:rFonts w:hint="eastAsia"/>
          <w:b/>
          <w:bCs/>
          <w:kern w:val="2"/>
          <w:sz w:val="32"/>
          <w:szCs w:val="32"/>
          <w:lang w:eastAsia="zh-CN"/>
        </w:rPr>
        <w:t>nitrophenol</w:t>
      </w:r>
      <w:r w:rsidRPr="006A6050">
        <w:rPr>
          <w:b/>
          <w:bCs/>
          <w:kern w:val="2"/>
          <w:sz w:val="32"/>
          <w:szCs w:val="32"/>
          <w:lang w:eastAsia="zh-CN"/>
        </w:rPr>
        <w:t xml:space="preserve"> </w:t>
      </w:r>
      <w:r w:rsidRPr="006A6050">
        <w:rPr>
          <w:rFonts w:hint="eastAsia"/>
          <w:b/>
          <w:bCs/>
          <w:kern w:val="2"/>
          <w:sz w:val="32"/>
          <w:szCs w:val="32"/>
          <w:lang w:eastAsia="zh-CN"/>
        </w:rPr>
        <w:t>and</w:t>
      </w:r>
      <w:r w:rsidRPr="006A6050">
        <w:rPr>
          <w:b/>
          <w:bCs/>
          <w:kern w:val="2"/>
          <w:sz w:val="32"/>
          <w:szCs w:val="32"/>
          <w:lang w:eastAsia="zh-CN"/>
        </w:rPr>
        <w:t xml:space="preserve"> β-glucosidase activity</w:t>
      </w:r>
      <w:bookmarkEnd w:id="0"/>
    </w:p>
    <w:p w14:paraId="04961969" w14:textId="77777777" w:rsidR="006B44B6" w:rsidRDefault="006B44B6" w:rsidP="006B44B6">
      <w:pPr>
        <w:widowControl w:val="0"/>
        <w:spacing w:line="480" w:lineRule="auto"/>
        <w:rPr>
          <w:kern w:val="2"/>
          <w:sz w:val="24"/>
          <w:szCs w:val="24"/>
          <w:lang w:eastAsia="zh-CN"/>
        </w:rPr>
      </w:pPr>
      <w:bookmarkStart w:id="2" w:name="OLE_LINK111"/>
      <w:bookmarkEnd w:id="1"/>
      <w:r w:rsidRPr="008824FF">
        <w:rPr>
          <w:rFonts w:hint="eastAsia"/>
          <w:kern w:val="2"/>
          <w:sz w:val="24"/>
          <w:szCs w:val="24"/>
          <w:lang w:eastAsia="zh-CN"/>
        </w:rPr>
        <w:t>Bocong</w:t>
      </w:r>
      <w:r w:rsidRPr="008824FF">
        <w:rPr>
          <w:kern w:val="2"/>
          <w:sz w:val="24"/>
          <w:szCs w:val="24"/>
          <w:lang w:eastAsia="zh-CN"/>
        </w:rPr>
        <w:t xml:space="preserve"> </w:t>
      </w:r>
      <w:r w:rsidRPr="008824FF">
        <w:rPr>
          <w:rFonts w:hint="eastAsia"/>
          <w:kern w:val="2"/>
          <w:sz w:val="24"/>
          <w:szCs w:val="24"/>
          <w:lang w:eastAsia="zh-CN"/>
        </w:rPr>
        <w:t>Li</w:t>
      </w:r>
      <w:r w:rsidRPr="008824FF">
        <w:rPr>
          <w:kern w:val="2"/>
          <w:sz w:val="24"/>
          <w:szCs w:val="24"/>
          <w:lang w:eastAsia="zh-CN"/>
        </w:rPr>
        <w:t>, Guoqiang Xiang*,</w:t>
      </w:r>
      <w:r>
        <w:rPr>
          <w:kern w:val="2"/>
          <w:sz w:val="24"/>
          <w:szCs w:val="24"/>
          <w:lang w:eastAsia="zh-CN"/>
        </w:rPr>
        <w:t xml:space="preserve"> </w:t>
      </w:r>
      <w:r>
        <w:rPr>
          <w:rFonts w:hint="eastAsia"/>
          <w:kern w:val="2"/>
          <w:sz w:val="24"/>
          <w:szCs w:val="24"/>
          <w:lang w:eastAsia="zh-CN"/>
        </w:rPr>
        <w:t>Gao</w:t>
      </w:r>
      <w:r>
        <w:rPr>
          <w:kern w:val="2"/>
          <w:sz w:val="24"/>
          <w:szCs w:val="24"/>
          <w:lang w:eastAsia="zh-CN"/>
        </w:rPr>
        <w:t xml:space="preserve"> </w:t>
      </w:r>
      <w:r>
        <w:rPr>
          <w:rFonts w:hint="eastAsia"/>
          <w:kern w:val="2"/>
          <w:sz w:val="24"/>
          <w:szCs w:val="24"/>
          <w:lang w:eastAsia="zh-CN"/>
        </w:rPr>
        <w:t>Huang,</w:t>
      </w:r>
      <w:r>
        <w:rPr>
          <w:kern w:val="2"/>
          <w:sz w:val="24"/>
          <w:szCs w:val="24"/>
          <w:lang w:eastAsia="zh-CN"/>
        </w:rPr>
        <w:t xml:space="preserve"> </w:t>
      </w:r>
      <w:r w:rsidRPr="008824FF">
        <w:rPr>
          <w:kern w:val="2"/>
          <w:sz w:val="24"/>
          <w:szCs w:val="24"/>
          <w:lang w:eastAsia="zh-CN"/>
        </w:rPr>
        <w:t>Xiuming Jiang, Lijun He</w:t>
      </w:r>
      <w:bookmarkEnd w:id="2"/>
    </w:p>
    <w:p w14:paraId="0D598AFE" w14:textId="77777777" w:rsidR="006B44B6" w:rsidRDefault="006B44B6" w:rsidP="006B44B6">
      <w:pPr>
        <w:widowControl w:val="0"/>
        <w:spacing w:line="480" w:lineRule="auto"/>
        <w:rPr>
          <w:kern w:val="2"/>
          <w:sz w:val="24"/>
          <w:szCs w:val="24"/>
          <w:lang w:eastAsia="zh-CN"/>
        </w:rPr>
      </w:pPr>
      <w:r w:rsidRPr="006A6050">
        <w:rPr>
          <w:kern w:val="2"/>
          <w:sz w:val="24"/>
          <w:szCs w:val="24"/>
          <w:lang w:eastAsia="zh-CN"/>
        </w:rPr>
        <w:t xml:space="preserve">School of Chemistry and Chemical Engineering, </w:t>
      </w:r>
      <w:r w:rsidRPr="006A6050">
        <w:rPr>
          <w:sz w:val="24"/>
          <w:szCs w:val="24"/>
        </w:rPr>
        <w:t>Henan University of Technology, Zhengzhou, 450001, P.R. China</w:t>
      </w:r>
    </w:p>
    <w:p w14:paraId="3F35EE71" w14:textId="77777777" w:rsidR="006B44B6" w:rsidRPr="00454CD5" w:rsidRDefault="006B44B6" w:rsidP="006B44B6">
      <w:pPr>
        <w:widowControl w:val="0"/>
        <w:spacing w:line="480" w:lineRule="auto"/>
        <w:rPr>
          <w:kern w:val="2"/>
          <w:sz w:val="24"/>
          <w:szCs w:val="24"/>
          <w:lang w:eastAsia="zh-CN"/>
        </w:rPr>
      </w:pPr>
      <w:r w:rsidRPr="006A6050">
        <w:rPr>
          <w:sz w:val="24"/>
          <w:szCs w:val="24"/>
          <w:lang w:val="de-DE"/>
        </w:rPr>
        <w:t>* E-mail:</w:t>
      </w:r>
      <w:r w:rsidRPr="009200A2">
        <w:rPr>
          <w:sz w:val="24"/>
          <w:szCs w:val="24"/>
          <w:lang w:val="de-DE"/>
        </w:rPr>
        <w:t xml:space="preserve"> </w:t>
      </w:r>
      <w:hyperlink r:id="rId7" w:history="1">
        <w:r w:rsidRPr="009200A2">
          <w:rPr>
            <w:rStyle w:val="a3"/>
            <w:sz w:val="24"/>
            <w:szCs w:val="24"/>
            <w:lang w:val="de-DE"/>
          </w:rPr>
          <w:t>xianggq@haut.edu.cn</w:t>
        </w:r>
      </w:hyperlink>
    </w:p>
    <w:p w14:paraId="1309396C" w14:textId="77777777" w:rsidR="006B44B6" w:rsidRDefault="006B44B6" w:rsidP="006B44B6">
      <w:pPr>
        <w:rPr>
          <w:sz w:val="24"/>
          <w:szCs w:val="24"/>
          <w:lang w:val="de-DE"/>
        </w:rPr>
      </w:pPr>
    </w:p>
    <w:p w14:paraId="3DB4CE45" w14:textId="15DAD39D" w:rsidR="004C264A" w:rsidRDefault="00454CD5" w:rsidP="00454CD5">
      <w:pPr>
        <w:pStyle w:val="a4"/>
        <w:numPr>
          <w:ilvl w:val="0"/>
          <w:numId w:val="1"/>
        </w:numPr>
        <w:ind w:firstLineChars="0"/>
        <w:rPr>
          <w:b/>
          <w:bCs/>
          <w:sz w:val="24"/>
          <w:szCs w:val="24"/>
          <w:lang w:val="de-DE" w:eastAsia="zh-CN"/>
        </w:rPr>
      </w:pPr>
      <w:r w:rsidRPr="00454CD5">
        <w:rPr>
          <w:rFonts w:hint="eastAsia"/>
          <w:b/>
          <w:bCs/>
          <w:sz w:val="24"/>
          <w:szCs w:val="24"/>
          <w:lang w:val="de-DE" w:eastAsia="zh-CN"/>
        </w:rPr>
        <w:t>Stability</w:t>
      </w:r>
      <w:r w:rsidRPr="00454CD5">
        <w:rPr>
          <w:b/>
          <w:bCs/>
          <w:sz w:val="24"/>
          <w:szCs w:val="24"/>
          <w:lang w:val="de-DE" w:eastAsia="zh-CN"/>
        </w:rPr>
        <w:t xml:space="preserve"> </w:t>
      </w:r>
      <w:r w:rsidR="006B2C8F">
        <w:rPr>
          <w:b/>
          <w:bCs/>
          <w:sz w:val="24"/>
          <w:szCs w:val="24"/>
          <w:lang w:val="de-DE" w:eastAsia="zh-CN"/>
        </w:rPr>
        <w:t>of G-CDs</w:t>
      </w:r>
    </w:p>
    <w:p w14:paraId="60DA11D4" w14:textId="43275077" w:rsidR="00454CD5" w:rsidRDefault="00454CD5" w:rsidP="00454CD5">
      <w:pPr>
        <w:rPr>
          <w:b/>
          <w:bCs/>
          <w:sz w:val="24"/>
          <w:szCs w:val="24"/>
          <w:lang w:val="de-DE" w:eastAsia="zh-CN"/>
        </w:rPr>
      </w:pPr>
      <w:r>
        <w:rPr>
          <w:rFonts w:hint="eastAsia"/>
          <w:b/>
          <w:bCs/>
          <w:noProof/>
          <w:sz w:val="24"/>
          <w:szCs w:val="24"/>
          <w:lang w:val="de-DE" w:eastAsia="zh-CN"/>
        </w:rPr>
        <w:drawing>
          <wp:inline distT="0" distB="0" distL="0" distR="0" wp14:anchorId="521E13FC" wp14:editId="068EF537">
            <wp:extent cx="5274310" cy="39534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3406"/>
                    </a:xfrm>
                    <a:prstGeom prst="rect">
                      <a:avLst/>
                    </a:prstGeom>
                  </pic:spPr>
                </pic:pic>
              </a:graphicData>
            </a:graphic>
          </wp:inline>
        </w:drawing>
      </w:r>
    </w:p>
    <w:p w14:paraId="3209981A" w14:textId="0D886C14" w:rsidR="00454CD5" w:rsidRPr="009A77E6" w:rsidRDefault="00454CD5" w:rsidP="00454CD5">
      <w:pPr>
        <w:adjustRightInd w:val="0"/>
        <w:snapToGrid w:val="0"/>
        <w:spacing w:beforeLines="50" w:before="156" w:line="360" w:lineRule="auto"/>
        <w:jc w:val="center"/>
        <w:rPr>
          <w:sz w:val="24"/>
          <w:lang w:eastAsia="zh-CN"/>
        </w:rPr>
      </w:pPr>
      <w:r w:rsidRPr="009A77E6">
        <w:rPr>
          <w:b/>
          <w:sz w:val="24"/>
          <w:szCs w:val="24"/>
        </w:rPr>
        <w:t>F</w:t>
      </w:r>
      <w:r>
        <w:rPr>
          <w:rFonts w:hint="eastAsia"/>
          <w:b/>
          <w:sz w:val="24"/>
          <w:szCs w:val="24"/>
        </w:rPr>
        <w:t>ig</w:t>
      </w:r>
      <w:r>
        <w:rPr>
          <w:b/>
          <w:sz w:val="24"/>
          <w:szCs w:val="24"/>
        </w:rPr>
        <w:t>.</w:t>
      </w:r>
      <w:r w:rsidRPr="009A77E6">
        <w:rPr>
          <w:b/>
          <w:sz w:val="24"/>
          <w:szCs w:val="24"/>
        </w:rPr>
        <w:t xml:space="preserve"> </w:t>
      </w:r>
      <w:r w:rsidR="007A58E1">
        <w:rPr>
          <w:b/>
          <w:sz w:val="24"/>
          <w:szCs w:val="24"/>
        </w:rPr>
        <w:t>S</w:t>
      </w:r>
      <w:r>
        <w:rPr>
          <w:b/>
          <w:sz w:val="24"/>
          <w:szCs w:val="24"/>
        </w:rPr>
        <w:t>1</w:t>
      </w:r>
      <w:r w:rsidRPr="009A77E6">
        <w:rPr>
          <w:b/>
          <w:sz w:val="24"/>
          <w:szCs w:val="24"/>
        </w:rPr>
        <w:t xml:space="preserve"> </w:t>
      </w:r>
      <w:r w:rsidRPr="00454CD5">
        <w:rPr>
          <w:bCs/>
          <w:sz w:val="24"/>
          <w:szCs w:val="24"/>
        </w:rPr>
        <w:t>Study on the stability of</w:t>
      </w:r>
      <w:r>
        <w:rPr>
          <w:bCs/>
          <w:sz w:val="24"/>
          <w:szCs w:val="24"/>
        </w:rPr>
        <w:t xml:space="preserve"> </w:t>
      </w:r>
      <w:r>
        <w:rPr>
          <w:rFonts w:hint="eastAsia"/>
          <w:bCs/>
          <w:sz w:val="24"/>
          <w:szCs w:val="24"/>
          <w:lang w:eastAsia="zh-CN"/>
        </w:rPr>
        <w:t>G</w:t>
      </w:r>
      <w:r w:rsidRPr="009A77E6">
        <w:rPr>
          <w:bCs/>
          <w:sz w:val="24"/>
          <w:szCs w:val="24"/>
        </w:rPr>
        <w:t xml:space="preserve">-CDs. </w:t>
      </w:r>
      <w:r w:rsidRPr="00454CD5">
        <w:rPr>
          <w:sz w:val="24"/>
          <w:szCs w:val="24"/>
        </w:rPr>
        <w:t>Effect of</w:t>
      </w:r>
      <w:r w:rsidR="007A58E1" w:rsidRPr="007A58E1">
        <w:rPr>
          <w:sz w:val="24"/>
          <w:szCs w:val="24"/>
        </w:rPr>
        <w:t xml:space="preserve"> </w:t>
      </w:r>
      <w:r w:rsidR="007A58E1">
        <w:rPr>
          <w:sz w:val="24"/>
          <w:szCs w:val="24"/>
        </w:rPr>
        <w:t>NaCl</w:t>
      </w:r>
      <w:r w:rsidRPr="00454CD5">
        <w:rPr>
          <w:sz w:val="24"/>
          <w:szCs w:val="24"/>
        </w:rPr>
        <w:t xml:space="preserve"> </w:t>
      </w:r>
      <w:r>
        <w:rPr>
          <w:sz w:val="24"/>
          <w:szCs w:val="24"/>
        </w:rPr>
        <w:t xml:space="preserve">concentration </w:t>
      </w:r>
      <w:r w:rsidRPr="00454CD5">
        <w:rPr>
          <w:sz w:val="24"/>
          <w:szCs w:val="24"/>
        </w:rPr>
        <w:t>on the fluorescence intensity of G-CDs (</w:t>
      </w:r>
      <w:r>
        <w:rPr>
          <w:sz w:val="24"/>
          <w:szCs w:val="24"/>
        </w:rPr>
        <w:t>A</w:t>
      </w:r>
      <w:r w:rsidRPr="00454CD5">
        <w:rPr>
          <w:sz w:val="24"/>
          <w:szCs w:val="24"/>
        </w:rPr>
        <w:t xml:space="preserve">), </w:t>
      </w:r>
      <w:bookmarkStart w:id="3" w:name="OLE_LINK6"/>
      <w:r w:rsidRPr="00454CD5">
        <w:rPr>
          <w:sz w:val="24"/>
          <w:szCs w:val="24"/>
        </w:rPr>
        <w:t xml:space="preserve">Effect of </w:t>
      </w:r>
      <w:r>
        <w:rPr>
          <w:rFonts w:hint="eastAsia"/>
          <w:sz w:val="24"/>
          <w:szCs w:val="24"/>
          <w:lang w:eastAsia="zh-CN"/>
        </w:rPr>
        <w:t>storage</w:t>
      </w:r>
      <w:r>
        <w:rPr>
          <w:sz w:val="24"/>
          <w:szCs w:val="24"/>
          <w:lang w:eastAsia="zh-CN"/>
        </w:rPr>
        <w:t xml:space="preserve"> </w:t>
      </w:r>
      <w:r>
        <w:rPr>
          <w:rFonts w:hint="eastAsia"/>
          <w:sz w:val="24"/>
          <w:szCs w:val="24"/>
          <w:lang w:eastAsia="zh-CN"/>
        </w:rPr>
        <w:t>time</w:t>
      </w:r>
      <w:r w:rsidRPr="00454CD5">
        <w:rPr>
          <w:sz w:val="24"/>
          <w:szCs w:val="24"/>
        </w:rPr>
        <w:t xml:space="preserve"> on the fluorescence intensity of G-CDs (</w:t>
      </w:r>
      <w:r>
        <w:rPr>
          <w:rFonts w:hint="eastAsia"/>
          <w:sz w:val="24"/>
          <w:szCs w:val="24"/>
          <w:lang w:eastAsia="zh-CN"/>
        </w:rPr>
        <w:t>B</w:t>
      </w:r>
      <w:r w:rsidRPr="00454CD5">
        <w:rPr>
          <w:sz w:val="24"/>
          <w:szCs w:val="24"/>
        </w:rPr>
        <w:t>)</w:t>
      </w:r>
      <w:bookmarkEnd w:id="3"/>
      <w:r>
        <w:rPr>
          <w:sz w:val="24"/>
          <w:szCs w:val="24"/>
          <w:lang w:eastAsia="zh-CN"/>
        </w:rPr>
        <w:t xml:space="preserve">, </w:t>
      </w:r>
      <w:r w:rsidRPr="00454CD5">
        <w:rPr>
          <w:rFonts w:hint="eastAsia"/>
          <w:sz w:val="24"/>
          <w:szCs w:val="24"/>
          <w:lang w:eastAsia="zh-CN"/>
        </w:rPr>
        <w:t>E</w:t>
      </w:r>
      <w:r w:rsidRPr="00454CD5">
        <w:rPr>
          <w:sz w:val="24"/>
          <w:szCs w:val="24"/>
        </w:rPr>
        <w:t xml:space="preserve">ffect of </w:t>
      </w:r>
      <w:r>
        <w:rPr>
          <w:rFonts w:hint="eastAsia"/>
          <w:sz w:val="24"/>
          <w:szCs w:val="24"/>
          <w:lang w:eastAsia="zh-CN"/>
        </w:rPr>
        <w:t>irradiation</w:t>
      </w:r>
      <w:r>
        <w:rPr>
          <w:sz w:val="24"/>
          <w:szCs w:val="24"/>
          <w:lang w:eastAsia="zh-CN"/>
        </w:rPr>
        <w:t xml:space="preserve"> </w:t>
      </w:r>
      <w:r>
        <w:rPr>
          <w:rFonts w:hint="eastAsia"/>
          <w:sz w:val="24"/>
          <w:szCs w:val="24"/>
          <w:lang w:eastAsia="zh-CN"/>
        </w:rPr>
        <w:t>time</w:t>
      </w:r>
      <w:r w:rsidRPr="00454CD5">
        <w:rPr>
          <w:sz w:val="24"/>
          <w:szCs w:val="24"/>
        </w:rPr>
        <w:t xml:space="preserve"> on the fluorescence intensity of G-CDs (</w:t>
      </w:r>
      <w:r>
        <w:rPr>
          <w:rFonts w:hint="eastAsia"/>
          <w:sz w:val="24"/>
          <w:szCs w:val="24"/>
          <w:lang w:eastAsia="zh-CN"/>
        </w:rPr>
        <w:t>C</w:t>
      </w:r>
      <w:r w:rsidRPr="00454CD5">
        <w:rPr>
          <w:sz w:val="24"/>
          <w:szCs w:val="24"/>
        </w:rPr>
        <w:t>)</w:t>
      </w:r>
      <w:r w:rsidR="00516768">
        <w:rPr>
          <w:sz w:val="24"/>
          <w:szCs w:val="24"/>
          <w:lang w:eastAsia="zh-CN"/>
        </w:rPr>
        <w:t>.</w:t>
      </w:r>
    </w:p>
    <w:p w14:paraId="5646BF5E" w14:textId="394A785F" w:rsidR="00454CD5" w:rsidRPr="00454CD5" w:rsidRDefault="00454CD5" w:rsidP="00454CD5">
      <w:pPr>
        <w:rPr>
          <w:b/>
          <w:bCs/>
          <w:sz w:val="24"/>
          <w:szCs w:val="24"/>
          <w:lang w:val="en-GB" w:eastAsia="zh-CN"/>
        </w:rPr>
      </w:pPr>
    </w:p>
    <w:p w14:paraId="78F8B64A" w14:textId="50406903" w:rsidR="00454CD5" w:rsidRDefault="00454CD5" w:rsidP="00454CD5">
      <w:pPr>
        <w:rPr>
          <w:b/>
          <w:bCs/>
          <w:sz w:val="24"/>
          <w:szCs w:val="24"/>
          <w:lang w:val="de-DE" w:eastAsia="zh-CN"/>
        </w:rPr>
      </w:pPr>
    </w:p>
    <w:p w14:paraId="7077D0CD" w14:textId="77777777" w:rsidR="00F54F19" w:rsidRPr="00F54F19" w:rsidRDefault="007A58E1" w:rsidP="00F54F19">
      <w:pPr>
        <w:pStyle w:val="a4"/>
        <w:numPr>
          <w:ilvl w:val="0"/>
          <w:numId w:val="1"/>
        </w:numPr>
        <w:ind w:firstLineChars="0"/>
        <w:rPr>
          <w:b/>
          <w:bCs/>
          <w:sz w:val="24"/>
          <w:szCs w:val="24"/>
          <w:lang w:val="de-DE" w:eastAsia="zh-CN"/>
        </w:rPr>
      </w:pPr>
      <w:r>
        <w:rPr>
          <w:rFonts w:eastAsiaTheme="minorEastAsia" w:cs="Arial"/>
          <w:b/>
          <w:bCs/>
          <w:sz w:val="24"/>
          <w:szCs w:val="28"/>
          <w:lang w:val="en-GB" w:eastAsia="en-GB"/>
        </w:rPr>
        <w:lastRenderedPageBreak/>
        <w:t>Comparison of analytical performance</w:t>
      </w:r>
    </w:p>
    <w:p w14:paraId="6D17C22A" w14:textId="309F75D2" w:rsidR="00454CD5" w:rsidRPr="00F54F19" w:rsidRDefault="00454CD5" w:rsidP="00F54F19">
      <w:pPr>
        <w:rPr>
          <w:b/>
          <w:bCs/>
          <w:sz w:val="24"/>
          <w:szCs w:val="24"/>
          <w:lang w:val="de-DE" w:eastAsia="zh-CN"/>
        </w:rPr>
      </w:pPr>
      <w:r w:rsidRPr="00F54F19">
        <w:rPr>
          <w:rFonts w:eastAsiaTheme="minorEastAsia"/>
          <w:b/>
          <w:bCs/>
          <w:sz w:val="24"/>
          <w:szCs w:val="24"/>
          <w:lang w:val="en-GB" w:eastAsia="en-GB"/>
        </w:rPr>
        <w:t xml:space="preserve">Table </w:t>
      </w:r>
      <w:r w:rsidR="007A58E1" w:rsidRPr="00F54F19">
        <w:rPr>
          <w:rFonts w:eastAsiaTheme="minorEastAsia"/>
          <w:b/>
          <w:bCs/>
          <w:sz w:val="24"/>
          <w:szCs w:val="24"/>
          <w:lang w:val="en-GB" w:eastAsia="en-GB"/>
        </w:rPr>
        <w:t>S</w:t>
      </w:r>
      <w:r w:rsidRPr="00F54F19">
        <w:rPr>
          <w:rFonts w:eastAsiaTheme="minorEastAsia"/>
          <w:b/>
          <w:bCs/>
          <w:sz w:val="24"/>
          <w:szCs w:val="24"/>
          <w:lang w:val="en-GB" w:eastAsia="en-GB"/>
        </w:rPr>
        <w:t>1</w:t>
      </w:r>
      <w:r w:rsidRPr="00F54F19">
        <w:rPr>
          <w:rFonts w:eastAsiaTheme="minorEastAsia"/>
          <w:sz w:val="24"/>
          <w:szCs w:val="24"/>
          <w:lang w:val="en-GB" w:eastAsia="en-GB"/>
        </w:rPr>
        <w:t xml:space="preserve"> </w:t>
      </w:r>
      <w:r w:rsidR="00F54F19" w:rsidRPr="00F54F19">
        <w:rPr>
          <w:rFonts w:eastAsiaTheme="minorEastAsia" w:hint="eastAsia"/>
          <w:sz w:val="24"/>
          <w:szCs w:val="24"/>
          <w:lang w:val="en-GB" w:eastAsia="zh-CN"/>
        </w:rPr>
        <w:t>A</w:t>
      </w:r>
      <w:r w:rsidRPr="00F54F19">
        <w:rPr>
          <w:rFonts w:eastAsiaTheme="minorEastAsia" w:hint="eastAsia"/>
          <w:sz w:val="24"/>
          <w:szCs w:val="24"/>
          <w:lang w:val="en-GB" w:eastAsia="en-GB"/>
        </w:rPr>
        <w:t>nalytical</w:t>
      </w:r>
      <w:r w:rsidRPr="00F54F19">
        <w:rPr>
          <w:rFonts w:eastAsiaTheme="minorEastAsia"/>
          <w:sz w:val="24"/>
          <w:szCs w:val="24"/>
          <w:lang w:val="en-GB" w:eastAsia="en-GB"/>
        </w:rPr>
        <w:t xml:space="preserve"> </w:t>
      </w:r>
      <w:r w:rsidRPr="00F54F19">
        <w:rPr>
          <w:rFonts w:eastAsiaTheme="minorEastAsia" w:hint="eastAsia"/>
          <w:sz w:val="24"/>
          <w:szCs w:val="24"/>
          <w:lang w:val="en-GB" w:eastAsia="en-GB"/>
        </w:rPr>
        <w:t>performance</w:t>
      </w:r>
      <w:r w:rsidRPr="00F54F19">
        <w:rPr>
          <w:rFonts w:eastAsiaTheme="minorEastAsia"/>
          <w:sz w:val="24"/>
          <w:szCs w:val="24"/>
          <w:lang w:val="en-GB" w:eastAsia="en-GB"/>
        </w:rPr>
        <w:t xml:space="preserve"> </w:t>
      </w:r>
      <w:r w:rsidR="00F54F19" w:rsidRPr="00F54F19">
        <w:rPr>
          <w:rFonts w:eastAsiaTheme="minorEastAsia" w:hint="eastAsia"/>
          <w:sz w:val="24"/>
          <w:szCs w:val="24"/>
          <w:lang w:val="en-GB" w:eastAsia="zh-CN"/>
        </w:rPr>
        <w:t>of</w:t>
      </w:r>
      <w:r w:rsidR="00F54F19" w:rsidRPr="00F54F19">
        <w:rPr>
          <w:rFonts w:eastAsiaTheme="minorEastAsia"/>
          <w:sz w:val="24"/>
          <w:szCs w:val="24"/>
          <w:lang w:val="en-GB" w:eastAsia="en-GB"/>
        </w:rPr>
        <w:t xml:space="preserve"> </w:t>
      </w:r>
      <w:r w:rsidR="00F54F19" w:rsidRPr="00F54F19">
        <w:rPr>
          <w:rFonts w:eastAsiaTheme="minorEastAsia" w:hint="eastAsia"/>
          <w:sz w:val="24"/>
          <w:szCs w:val="24"/>
          <w:lang w:val="en-GB" w:eastAsia="zh-CN"/>
        </w:rPr>
        <w:t>fluorescence</w:t>
      </w:r>
      <w:r w:rsidR="00F54F19" w:rsidRPr="00F54F19">
        <w:rPr>
          <w:rFonts w:eastAsiaTheme="minorEastAsia"/>
          <w:sz w:val="24"/>
          <w:szCs w:val="24"/>
          <w:lang w:val="en-GB" w:eastAsia="zh-CN"/>
        </w:rPr>
        <w:t xml:space="preserve"> </w:t>
      </w:r>
      <w:r w:rsidR="00F54F19" w:rsidRPr="00F54F19">
        <w:rPr>
          <w:rFonts w:eastAsiaTheme="minorEastAsia" w:hint="eastAsia"/>
          <w:sz w:val="24"/>
          <w:szCs w:val="24"/>
          <w:lang w:val="en-GB" w:eastAsia="zh-CN"/>
        </w:rPr>
        <w:t>assays</w:t>
      </w:r>
      <w:r w:rsidR="00F54F19" w:rsidRPr="00F54F19">
        <w:rPr>
          <w:rFonts w:eastAsiaTheme="minorEastAsia"/>
          <w:sz w:val="24"/>
          <w:szCs w:val="24"/>
          <w:lang w:val="en-GB" w:eastAsia="zh-CN"/>
        </w:rPr>
        <w:t xml:space="preserve"> </w:t>
      </w:r>
      <w:r w:rsidRPr="00F54F19">
        <w:rPr>
          <w:rFonts w:eastAsiaTheme="minorEastAsia" w:hint="eastAsia"/>
          <w:sz w:val="24"/>
          <w:szCs w:val="24"/>
          <w:lang w:val="en-GB" w:eastAsia="en-GB"/>
        </w:rPr>
        <w:t>for</w:t>
      </w:r>
      <w:r w:rsidRPr="00F54F19">
        <w:rPr>
          <w:rFonts w:eastAsiaTheme="minorEastAsia"/>
          <w:sz w:val="24"/>
          <w:szCs w:val="24"/>
          <w:lang w:val="en-GB" w:eastAsia="en-GB"/>
        </w:rPr>
        <w:t xml:space="preserve"> β-Glu activity </w:t>
      </w:r>
      <w:r w:rsidR="00F54F19" w:rsidRPr="00F54F19">
        <w:rPr>
          <w:rFonts w:eastAsiaTheme="minorEastAsia" w:hint="eastAsia"/>
          <w:sz w:val="24"/>
          <w:szCs w:val="24"/>
          <w:lang w:val="en-GB" w:eastAsia="zh-CN"/>
        </w:rPr>
        <w:t>based</w:t>
      </w:r>
      <w:r w:rsidR="00F54F19" w:rsidRPr="00F54F19">
        <w:rPr>
          <w:rFonts w:eastAsiaTheme="minorEastAsia"/>
          <w:sz w:val="24"/>
          <w:szCs w:val="24"/>
          <w:lang w:val="en-GB" w:eastAsia="en-GB"/>
        </w:rPr>
        <w:t xml:space="preserve"> </w:t>
      </w:r>
      <w:r w:rsidR="00F54F19" w:rsidRPr="00F54F19">
        <w:rPr>
          <w:rFonts w:eastAsiaTheme="minorEastAsia" w:hint="eastAsia"/>
          <w:sz w:val="24"/>
          <w:szCs w:val="24"/>
          <w:lang w:val="en-GB" w:eastAsia="zh-CN"/>
        </w:rPr>
        <w:t>on</w:t>
      </w:r>
      <w:r w:rsidR="00F54F19" w:rsidRPr="00F54F19">
        <w:rPr>
          <w:rFonts w:eastAsiaTheme="minorEastAsia"/>
          <w:sz w:val="24"/>
          <w:szCs w:val="24"/>
          <w:lang w:val="en-GB" w:eastAsia="en-GB"/>
        </w:rPr>
        <w:t xml:space="preserve"> </w:t>
      </w:r>
      <w:r w:rsidR="00F54F19" w:rsidRPr="00F54F19">
        <w:rPr>
          <w:rFonts w:eastAsiaTheme="minorEastAsia" w:hint="eastAsia"/>
          <w:sz w:val="24"/>
          <w:szCs w:val="24"/>
          <w:lang w:val="en-GB" w:eastAsia="zh-CN"/>
        </w:rPr>
        <w:t>CDs</w:t>
      </w:r>
      <w:r w:rsidR="00516768" w:rsidRPr="00F54F19">
        <w:rPr>
          <w:rFonts w:eastAsiaTheme="minorEastAsia"/>
          <w:sz w:val="24"/>
          <w:szCs w:val="24"/>
          <w:lang w:val="en-GB" w:eastAsia="en-GB"/>
        </w:rPr>
        <w:t>.</w:t>
      </w:r>
    </w:p>
    <w:tbl>
      <w:tblPr>
        <w:tblStyle w:val="a5"/>
        <w:tblW w:w="10491"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843"/>
        <w:gridCol w:w="2126"/>
        <w:gridCol w:w="1559"/>
        <w:gridCol w:w="1722"/>
        <w:gridCol w:w="830"/>
      </w:tblGrid>
      <w:tr w:rsidR="0067186D" w14:paraId="419126B2" w14:textId="77777777" w:rsidTr="007D67B7">
        <w:tc>
          <w:tcPr>
            <w:tcW w:w="2411" w:type="dxa"/>
            <w:tcBorders>
              <w:top w:val="single" w:sz="4" w:space="0" w:color="auto"/>
              <w:bottom w:val="single" w:sz="4" w:space="0" w:color="auto"/>
            </w:tcBorders>
            <w:vAlign w:val="center"/>
          </w:tcPr>
          <w:p w14:paraId="124064D7" w14:textId="7BD5C71D" w:rsidR="00414C67" w:rsidRPr="00414C67" w:rsidRDefault="00414C67" w:rsidP="00414C67">
            <w:pPr>
              <w:jc w:val="center"/>
              <w:rPr>
                <w:sz w:val="24"/>
                <w:szCs w:val="24"/>
                <w:lang w:val="de-DE" w:eastAsia="zh-CN"/>
              </w:rPr>
            </w:pPr>
            <w:r w:rsidRPr="00414C67">
              <w:rPr>
                <w:sz w:val="24"/>
                <w:szCs w:val="24"/>
                <w:lang w:val="de-DE" w:eastAsia="zh-CN"/>
              </w:rPr>
              <w:t>Carbon source</w:t>
            </w:r>
          </w:p>
        </w:tc>
        <w:tc>
          <w:tcPr>
            <w:tcW w:w="1843" w:type="dxa"/>
            <w:tcBorders>
              <w:top w:val="single" w:sz="4" w:space="0" w:color="auto"/>
              <w:bottom w:val="single" w:sz="4" w:space="0" w:color="auto"/>
            </w:tcBorders>
            <w:vAlign w:val="center"/>
          </w:tcPr>
          <w:p w14:paraId="4B693EFB" w14:textId="268B98CC" w:rsidR="00414C67" w:rsidRPr="00414C67" w:rsidRDefault="00414C67" w:rsidP="00414C67">
            <w:pPr>
              <w:jc w:val="center"/>
              <w:rPr>
                <w:sz w:val="24"/>
                <w:szCs w:val="24"/>
                <w:lang w:val="de-DE" w:eastAsia="zh-CN"/>
              </w:rPr>
            </w:pPr>
            <w:r w:rsidRPr="00414C67">
              <w:rPr>
                <w:sz w:val="24"/>
                <w:szCs w:val="24"/>
                <w:lang w:val="de-DE" w:eastAsia="zh-CN"/>
              </w:rPr>
              <w:t>Methods</w:t>
            </w:r>
          </w:p>
        </w:tc>
        <w:tc>
          <w:tcPr>
            <w:tcW w:w="2126" w:type="dxa"/>
            <w:tcBorders>
              <w:top w:val="single" w:sz="4" w:space="0" w:color="auto"/>
              <w:bottom w:val="single" w:sz="4" w:space="0" w:color="auto"/>
            </w:tcBorders>
            <w:vAlign w:val="center"/>
          </w:tcPr>
          <w:p w14:paraId="1FA209D6" w14:textId="721CE0F9" w:rsidR="00414C67" w:rsidRPr="00414C67" w:rsidRDefault="00414C67" w:rsidP="00414C67">
            <w:pPr>
              <w:jc w:val="center"/>
              <w:rPr>
                <w:sz w:val="24"/>
                <w:szCs w:val="24"/>
                <w:lang w:val="de-DE" w:eastAsia="zh-CN"/>
              </w:rPr>
            </w:pPr>
            <w:r w:rsidRPr="00414C67">
              <w:rPr>
                <w:sz w:val="24"/>
                <w:szCs w:val="24"/>
                <w:lang w:val="de-DE" w:eastAsia="zh-CN"/>
              </w:rPr>
              <w:t>Conditions</w:t>
            </w:r>
          </w:p>
        </w:tc>
        <w:tc>
          <w:tcPr>
            <w:tcW w:w="1559" w:type="dxa"/>
            <w:tcBorders>
              <w:top w:val="single" w:sz="4" w:space="0" w:color="auto"/>
              <w:bottom w:val="single" w:sz="4" w:space="0" w:color="auto"/>
            </w:tcBorders>
            <w:vAlign w:val="center"/>
          </w:tcPr>
          <w:p w14:paraId="1126EA17" w14:textId="77777777" w:rsidR="0067186D" w:rsidRDefault="00414C67" w:rsidP="00414C67">
            <w:pPr>
              <w:jc w:val="center"/>
              <w:rPr>
                <w:sz w:val="24"/>
                <w:szCs w:val="24"/>
                <w:lang w:val="de-DE" w:eastAsia="zh-CN"/>
              </w:rPr>
            </w:pPr>
            <w:r w:rsidRPr="00414C67">
              <w:rPr>
                <w:sz w:val="24"/>
                <w:szCs w:val="24"/>
                <w:lang w:val="de-DE" w:eastAsia="zh-CN"/>
              </w:rPr>
              <w:t>Linear range</w:t>
            </w:r>
            <w:bookmarkStart w:id="4" w:name="OLE_LINK1"/>
          </w:p>
          <w:p w14:paraId="26602ABD" w14:textId="6F0AECAF" w:rsidR="00414C67" w:rsidRPr="00414C67" w:rsidRDefault="0067186D" w:rsidP="00414C67">
            <w:pPr>
              <w:jc w:val="center"/>
              <w:rPr>
                <w:sz w:val="24"/>
                <w:szCs w:val="24"/>
                <w:lang w:val="de-DE" w:eastAsia="zh-CN"/>
              </w:rPr>
            </w:pPr>
            <w:r>
              <w:rPr>
                <w:sz w:val="24"/>
                <w:szCs w:val="24"/>
                <w:lang w:val="de-DE" w:eastAsia="zh-CN"/>
              </w:rPr>
              <w:t>(U</w:t>
            </w:r>
            <w:r w:rsidRPr="0067186D">
              <w:rPr>
                <w:sz w:val="24"/>
                <w:szCs w:val="24"/>
                <w:lang w:val="de-DE" w:eastAsia="zh-CN"/>
              </w:rPr>
              <w:t>·</w:t>
            </w:r>
            <w:r>
              <w:rPr>
                <w:sz w:val="24"/>
                <w:szCs w:val="24"/>
                <w:lang w:eastAsia="zh-CN"/>
              </w:rPr>
              <w:t>L</w:t>
            </w:r>
            <w:r w:rsidRPr="0067186D">
              <w:rPr>
                <w:sz w:val="24"/>
                <w:szCs w:val="24"/>
                <w:vertAlign w:val="superscript"/>
                <w:lang w:eastAsia="zh-CN"/>
              </w:rPr>
              <w:t>-1</w:t>
            </w:r>
            <w:r>
              <w:rPr>
                <w:sz w:val="24"/>
                <w:szCs w:val="24"/>
                <w:lang w:val="de-DE" w:eastAsia="zh-CN"/>
              </w:rPr>
              <w:t>)</w:t>
            </w:r>
            <w:bookmarkEnd w:id="4"/>
          </w:p>
        </w:tc>
        <w:tc>
          <w:tcPr>
            <w:tcW w:w="1722" w:type="dxa"/>
            <w:tcBorders>
              <w:top w:val="single" w:sz="4" w:space="0" w:color="auto"/>
              <w:bottom w:val="single" w:sz="4" w:space="0" w:color="auto"/>
            </w:tcBorders>
            <w:vAlign w:val="center"/>
          </w:tcPr>
          <w:p w14:paraId="2072CA0D" w14:textId="77777777" w:rsidR="0067186D" w:rsidRDefault="00414C67" w:rsidP="00414C67">
            <w:pPr>
              <w:jc w:val="center"/>
              <w:rPr>
                <w:sz w:val="24"/>
                <w:szCs w:val="24"/>
                <w:lang w:val="de-DE" w:eastAsia="zh-CN"/>
              </w:rPr>
            </w:pPr>
            <w:r w:rsidRPr="00414C67">
              <w:rPr>
                <w:sz w:val="24"/>
                <w:szCs w:val="24"/>
                <w:lang w:val="de-DE" w:eastAsia="zh-CN"/>
              </w:rPr>
              <w:t>Detection</w:t>
            </w:r>
            <w:r w:rsidR="0067186D">
              <w:rPr>
                <w:sz w:val="24"/>
                <w:szCs w:val="24"/>
                <w:lang w:val="de-DE" w:eastAsia="zh-CN"/>
              </w:rPr>
              <w:t xml:space="preserve"> </w:t>
            </w:r>
            <w:r w:rsidRPr="00414C67">
              <w:rPr>
                <w:sz w:val="24"/>
                <w:szCs w:val="24"/>
                <w:lang w:val="de-DE" w:eastAsia="zh-CN"/>
              </w:rPr>
              <w:t>limit</w:t>
            </w:r>
          </w:p>
          <w:p w14:paraId="52545FE3" w14:textId="1CEF3938" w:rsidR="00414C67" w:rsidRPr="00414C67" w:rsidRDefault="0067186D" w:rsidP="00414C67">
            <w:pPr>
              <w:jc w:val="center"/>
              <w:rPr>
                <w:sz w:val="24"/>
                <w:szCs w:val="24"/>
                <w:lang w:val="de-DE" w:eastAsia="zh-CN"/>
              </w:rPr>
            </w:pPr>
            <w:r>
              <w:rPr>
                <w:sz w:val="24"/>
                <w:szCs w:val="24"/>
                <w:lang w:val="de-DE" w:eastAsia="zh-CN"/>
              </w:rPr>
              <w:t>(U</w:t>
            </w:r>
            <w:r w:rsidRPr="0067186D">
              <w:rPr>
                <w:sz w:val="24"/>
                <w:szCs w:val="24"/>
                <w:lang w:val="de-DE" w:eastAsia="zh-CN"/>
              </w:rPr>
              <w:t>·</w:t>
            </w:r>
            <w:r>
              <w:rPr>
                <w:sz w:val="24"/>
                <w:szCs w:val="24"/>
                <w:lang w:eastAsia="zh-CN"/>
              </w:rPr>
              <w:t>L</w:t>
            </w:r>
            <w:r w:rsidRPr="0067186D">
              <w:rPr>
                <w:sz w:val="24"/>
                <w:szCs w:val="24"/>
                <w:vertAlign w:val="superscript"/>
                <w:lang w:eastAsia="zh-CN"/>
              </w:rPr>
              <w:t>-1</w:t>
            </w:r>
            <w:r>
              <w:rPr>
                <w:sz w:val="24"/>
                <w:szCs w:val="24"/>
                <w:lang w:val="de-DE" w:eastAsia="zh-CN"/>
              </w:rPr>
              <w:t>)</w:t>
            </w:r>
          </w:p>
        </w:tc>
        <w:tc>
          <w:tcPr>
            <w:tcW w:w="830" w:type="dxa"/>
            <w:tcBorders>
              <w:top w:val="single" w:sz="4" w:space="0" w:color="auto"/>
              <w:bottom w:val="single" w:sz="4" w:space="0" w:color="auto"/>
            </w:tcBorders>
            <w:vAlign w:val="center"/>
          </w:tcPr>
          <w:p w14:paraId="09EF6F65" w14:textId="10E20B80" w:rsidR="00414C67" w:rsidRPr="00414C67" w:rsidRDefault="00414C67" w:rsidP="00414C67">
            <w:pPr>
              <w:jc w:val="center"/>
              <w:rPr>
                <w:sz w:val="24"/>
                <w:szCs w:val="24"/>
                <w:lang w:val="de-DE" w:eastAsia="zh-CN"/>
              </w:rPr>
            </w:pPr>
            <w:r w:rsidRPr="00414C67">
              <w:rPr>
                <w:sz w:val="24"/>
                <w:szCs w:val="24"/>
                <w:lang w:val="de-DE" w:eastAsia="zh-CN"/>
              </w:rPr>
              <w:t>Ref</w:t>
            </w:r>
          </w:p>
        </w:tc>
      </w:tr>
      <w:tr w:rsidR="0067186D" w14:paraId="520A6857" w14:textId="77777777" w:rsidTr="007D67B7">
        <w:tc>
          <w:tcPr>
            <w:tcW w:w="2411" w:type="dxa"/>
            <w:tcBorders>
              <w:top w:val="single" w:sz="4" w:space="0" w:color="auto"/>
            </w:tcBorders>
            <w:vAlign w:val="center"/>
          </w:tcPr>
          <w:p w14:paraId="78864C8F" w14:textId="6CEDBA22" w:rsidR="00414C67" w:rsidRPr="00414C67" w:rsidRDefault="00414C67" w:rsidP="00414C67">
            <w:pPr>
              <w:jc w:val="center"/>
              <w:rPr>
                <w:sz w:val="24"/>
                <w:szCs w:val="24"/>
                <w:lang w:val="de-DE" w:eastAsia="zh-CN"/>
              </w:rPr>
            </w:pPr>
            <w:bookmarkStart w:id="5" w:name="OLE_LINK21"/>
            <w:r w:rsidRPr="00414C67">
              <w:rPr>
                <w:sz w:val="24"/>
              </w:rPr>
              <w:t>1,2-diaminobenzene</w:t>
            </w:r>
            <w:bookmarkStart w:id="6" w:name="OLE_LINK16"/>
            <w:bookmarkEnd w:id="5"/>
            <w:r w:rsidR="003553EE">
              <w:rPr>
                <w:sz w:val="24"/>
              </w:rPr>
              <w:t xml:space="preserve">, </w:t>
            </w:r>
            <w:r w:rsidR="0067186D" w:rsidRPr="00414C67">
              <w:rPr>
                <w:sz w:val="24"/>
              </w:rPr>
              <w:t>EDA</w:t>
            </w:r>
            <w:bookmarkEnd w:id="6"/>
          </w:p>
        </w:tc>
        <w:tc>
          <w:tcPr>
            <w:tcW w:w="1843" w:type="dxa"/>
            <w:tcBorders>
              <w:top w:val="single" w:sz="4" w:space="0" w:color="auto"/>
            </w:tcBorders>
            <w:vAlign w:val="center"/>
          </w:tcPr>
          <w:p w14:paraId="5333F83E" w14:textId="6A141CC0" w:rsidR="00414C67" w:rsidRPr="00414C67" w:rsidRDefault="00414C67" w:rsidP="00414C67">
            <w:pPr>
              <w:jc w:val="center"/>
              <w:rPr>
                <w:sz w:val="24"/>
                <w:szCs w:val="24"/>
                <w:lang w:val="de-DE" w:eastAsia="zh-CN"/>
              </w:rPr>
            </w:pPr>
            <w:bookmarkStart w:id="7" w:name="OLE_LINK27"/>
            <w:r w:rsidRPr="00414C67">
              <w:rPr>
                <w:sz w:val="24"/>
              </w:rPr>
              <w:t>Solvothermal method</w:t>
            </w:r>
            <w:bookmarkEnd w:id="7"/>
          </w:p>
        </w:tc>
        <w:tc>
          <w:tcPr>
            <w:tcW w:w="2126" w:type="dxa"/>
            <w:tcBorders>
              <w:top w:val="single" w:sz="4" w:space="0" w:color="auto"/>
            </w:tcBorders>
            <w:vAlign w:val="center"/>
          </w:tcPr>
          <w:p w14:paraId="0BC74AC1" w14:textId="286B4AE9" w:rsidR="00414C67" w:rsidRPr="00414C67" w:rsidRDefault="00414C67" w:rsidP="00414C67">
            <w:pPr>
              <w:jc w:val="center"/>
              <w:rPr>
                <w:sz w:val="24"/>
                <w:szCs w:val="24"/>
                <w:lang w:val="de-DE" w:eastAsia="zh-CN"/>
              </w:rPr>
            </w:pPr>
            <w:bookmarkStart w:id="8" w:name="OLE_LINK32"/>
            <w:r w:rsidRPr="00414C67">
              <w:rPr>
                <w:sz w:val="24"/>
              </w:rPr>
              <w:t>180</w:t>
            </w:r>
            <w:r w:rsidR="00620665">
              <w:rPr>
                <w:sz w:val="24"/>
              </w:rPr>
              <w:t xml:space="preserve"> </w:t>
            </w:r>
            <w:bookmarkStart w:id="9" w:name="OLE_LINK4"/>
            <w:r w:rsidRPr="00414C67">
              <w:rPr>
                <w:sz w:val="24"/>
              </w:rPr>
              <w:t>°C</w:t>
            </w:r>
            <w:bookmarkEnd w:id="9"/>
            <w:r w:rsidR="0067186D">
              <w:rPr>
                <w:rFonts w:hint="eastAsia"/>
                <w:sz w:val="24"/>
              </w:rPr>
              <w:t>,</w:t>
            </w:r>
            <w:r w:rsidR="0067186D">
              <w:rPr>
                <w:sz w:val="24"/>
              </w:rPr>
              <w:t xml:space="preserve"> </w:t>
            </w:r>
            <w:r w:rsidRPr="00414C67">
              <w:rPr>
                <w:sz w:val="24"/>
              </w:rPr>
              <w:t>12 h</w:t>
            </w:r>
            <w:bookmarkEnd w:id="8"/>
          </w:p>
        </w:tc>
        <w:tc>
          <w:tcPr>
            <w:tcW w:w="1559" w:type="dxa"/>
            <w:tcBorders>
              <w:top w:val="single" w:sz="4" w:space="0" w:color="auto"/>
            </w:tcBorders>
            <w:vAlign w:val="center"/>
          </w:tcPr>
          <w:p w14:paraId="778B74A0" w14:textId="3382B738" w:rsidR="00414C67" w:rsidRPr="00414C67" w:rsidRDefault="00414C67" w:rsidP="00414C67">
            <w:pPr>
              <w:jc w:val="center"/>
              <w:rPr>
                <w:sz w:val="24"/>
                <w:szCs w:val="24"/>
                <w:lang w:val="de-DE" w:eastAsia="zh-CN"/>
              </w:rPr>
            </w:pPr>
            <w:r w:rsidRPr="00414C67">
              <w:rPr>
                <w:sz w:val="24"/>
              </w:rPr>
              <w:t>0-</w:t>
            </w:r>
            <w:r w:rsidR="0067186D">
              <w:rPr>
                <w:sz w:val="24"/>
              </w:rPr>
              <w:t>250</w:t>
            </w:r>
          </w:p>
        </w:tc>
        <w:tc>
          <w:tcPr>
            <w:tcW w:w="1722" w:type="dxa"/>
            <w:tcBorders>
              <w:top w:val="single" w:sz="4" w:space="0" w:color="auto"/>
            </w:tcBorders>
            <w:vAlign w:val="center"/>
          </w:tcPr>
          <w:p w14:paraId="3C0605E7" w14:textId="33089EC8" w:rsidR="00414C67" w:rsidRPr="00414C67" w:rsidRDefault="0067186D" w:rsidP="00414C67">
            <w:pPr>
              <w:jc w:val="center"/>
              <w:rPr>
                <w:sz w:val="24"/>
                <w:szCs w:val="24"/>
                <w:lang w:val="de-DE" w:eastAsia="zh-CN"/>
              </w:rPr>
            </w:pPr>
            <w:r>
              <w:rPr>
                <w:sz w:val="24"/>
              </w:rPr>
              <w:t>12.3</w:t>
            </w:r>
          </w:p>
        </w:tc>
        <w:tc>
          <w:tcPr>
            <w:tcW w:w="830" w:type="dxa"/>
            <w:tcBorders>
              <w:top w:val="single" w:sz="4" w:space="0" w:color="auto"/>
            </w:tcBorders>
            <w:vAlign w:val="center"/>
          </w:tcPr>
          <w:p w14:paraId="4E1D386C" w14:textId="2C0A558C" w:rsidR="00414C67" w:rsidRPr="00414C67" w:rsidRDefault="00414C67" w:rsidP="00414C67">
            <w:pPr>
              <w:jc w:val="center"/>
              <w:rPr>
                <w:sz w:val="24"/>
                <w:szCs w:val="24"/>
                <w:lang w:val="de-DE" w:eastAsia="zh-CN"/>
              </w:rPr>
            </w:pPr>
            <w:r w:rsidRPr="00414C67">
              <w:rPr>
                <w:sz w:val="24"/>
                <w:szCs w:val="24"/>
                <w:lang w:val="de-DE" w:eastAsia="zh-CN"/>
              </w:rPr>
              <w:fldChar w:fldCharType="begin"/>
            </w:r>
            <w:r w:rsidRPr="00414C67">
              <w:rPr>
                <w:sz w:val="24"/>
                <w:szCs w:val="24"/>
                <w:lang w:val="de-DE" w:eastAsia="zh-CN"/>
              </w:rPr>
              <w:instrText xml:space="preserve"> ADDIN ZOTERO_ITEM CSL_CITATION {"citationID":"VLfbUEhh","properties":{"formattedCitation":"(Kong et al., 2020)","plainCitation":"(Kong et al., 2020)","noteIndex":0},"citationItems":[{"id":284,"uris":["http://zotero.org/users/8969946/items/L4QA9SGF"],"ite</w:instrText>
            </w:r>
            <w:r w:rsidRPr="00414C67">
              <w:rPr>
                <w:rFonts w:hint="eastAsia"/>
                <w:sz w:val="24"/>
                <w:szCs w:val="24"/>
                <w:lang w:val="de-DE" w:eastAsia="zh-CN"/>
              </w:rPr>
              <w:instrText>mData":{"id":284,"type":"article-journal","abstract":"Energy transfer engineering based on fluorescent probes for directly sensing enzyme activities are in great demand as enzyme</w:instrText>
            </w:r>
            <w:r w:rsidRPr="00414C67">
              <w:rPr>
                <w:rFonts w:hint="eastAsia"/>
                <w:sz w:val="24"/>
                <w:szCs w:val="24"/>
                <w:lang w:val="de-DE" w:eastAsia="zh-CN"/>
              </w:rPr>
              <w:instrText>‐</w:instrText>
            </w:r>
            <w:r w:rsidRPr="00414C67">
              <w:rPr>
                <w:rFonts w:hint="eastAsia"/>
                <w:sz w:val="24"/>
                <w:szCs w:val="24"/>
                <w:lang w:val="de-DE" w:eastAsia="zh-CN"/>
              </w:rPr>
              <w:instrText>mediated transformations, which are central to all biological processes. Here, a fluorescence carbon dot (CD)</w:instrText>
            </w:r>
            <w:r w:rsidRPr="00414C67">
              <w:rPr>
                <w:rFonts w:hint="eastAsia"/>
                <w:sz w:val="24"/>
                <w:szCs w:val="24"/>
                <w:lang w:val="de-DE" w:eastAsia="zh-CN"/>
              </w:rPr>
              <w:instrText>‐</w:instrText>
            </w:r>
            <w:r w:rsidRPr="00414C67">
              <w:rPr>
                <w:rFonts w:hint="eastAsia"/>
                <w:sz w:val="24"/>
                <w:szCs w:val="24"/>
                <w:lang w:val="de-DE" w:eastAsia="zh-CN"/>
              </w:rPr>
              <w:instrText xml:space="preserve">based assay exhibiting selective responses to the quantitation of </w:instrText>
            </w:r>
            <w:r w:rsidRPr="00414C67">
              <w:rPr>
                <w:rFonts w:hint="eastAsia"/>
                <w:sz w:val="24"/>
                <w:szCs w:val="24"/>
                <w:lang w:val="de-DE" w:eastAsia="zh-CN"/>
              </w:rPr>
              <w:instrText>β‐</w:instrText>
            </w:r>
            <w:r w:rsidRPr="00414C67">
              <w:rPr>
                <w:rFonts w:hint="eastAsia"/>
                <w:sz w:val="24"/>
                <w:szCs w:val="24"/>
                <w:lang w:val="de-DE" w:eastAsia="zh-CN"/>
              </w:rPr>
              <w:instrText>glucosidase and the effect of its inhibitor was developed. The most common substrate, para</w:instrText>
            </w:r>
            <w:r w:rsidRPr="00414C67">
              <w:rPr>
                <w:rFonts w:hint="eastAsia"/>
                <w:sz w:val="24"/>
                <w:szCs w:val="24"/>
                <w:lang w:val="de-DE" w:eastAsia="zh-CN"/>
              </w:rPr>
              <w:instrText>‐</w:instrText>
            </w:r>
            <w:r w:rsidRPr="00414C67">
              <w:rPr>
                <w:rFonts w:hint="eastAsia"/>
                <w:sz w:val="24"/>
                <w:szCs w:val="24"/>
                <w:lang w:val="de-DE" w:eastAsia="zh-CN"/>
              </w:rPr>
              <w:instrText>nitrophenyl</w:instrText>
            </w:r>
            <w:r w:rsidRPr="00414C67">
              <w:rPr>
                <w:rFonts w:hint="eastAsia"/>
                <w:sz w:val="24"/>
                <w:szCs w:val="24"/>
                <w:lang w:val="de-DE" w:eastAsia="zh-CN"/>
              </w:rPr>
              <w:instrText>‐β‐</w:instrText>
            </w:r>
            <w:r w:rsidRPr="00414C67">
              <w:rPr>
                <w:rFonts w:hint="eastAsia"/>
                <w:sz w:val="24"/>
                <w:szCs w:val="24"/>
                <w:lang w:val="de-DE" w:eastAsia="zh-CN"/>
              </w:rPr>
              <w:instrText xml:space="preserve">Dglucopyranoside (pNPG) was hydrolyzed by </w:instrText>
            </w:r>
            <w:r w:rsidRPr="00414C67">
              <w:rPr>
                <w:rFonts w:hint="eastAsia"/>
                <w:sz w:val="24"/>
                <w:szCs w:val="24"/>
                <w:lang w:val="de-DE" w:eastAsia="zh-CN"/>
              </w:rPr>
              <w:instrText>β‐</w:instrText>
            </w:r>
            <w:r w:rsidRPr="00414C67">
              <w:rPr>
                <w:rFonts w:hint="eastAsia"/>
                <w:sz w:val="24"/>
                <w:szCs w:val="24"/>
                <w:lang w:val="de-DE" w:eastAsia="zh-CN"/>
              </w:rPr>
              <w:instrText>glucosidase to release p</w:instrText>
            </w:r>
            <w:r w:rsidRPr="00414C67">
              <w:rPr>
                <w:rFonts w:hint="eastAsia"/>
                <w:sz w:val="24"/>
                <w:szCs w:val="24"/>
                <w:lang w:val="de-DE" w:eastAsia="zh-CN"/>
              </w:rPr>
              <w:instrText>‐</w:instrText>
            </w:r>
            <w:r w:rsidRPr="00414C67">
              <w:rPr>
                <w:rFonts w:hint="eastAsia"/>
                <w:sz w:val="24"/>
                <w:szCs w:val="24"/>
                <w:lang w:val="de-DE" w:eastAsia="zh-CN"/>
              </w:rPr>
              <w:instrText xml:space="preserve">nitrophenol (pNP), which can efficiently quench fluorescence of CDs via an inner filter effect and electron transfer. However, in the presence of inhibitors of </w:instrText>
            </w:r>
            <w:r w:rsidRPr="00414C67">
              <w:rPr>
                <w:rFonts w:hint="eastAsia"/>
                <w:sz w:val="24"/>
                <w:szCs w:val="24"/>
                <w:lang w:val="de-DE" w:eastAsia="zh-CN"/>
              </w:rPr>
              <w:instrText>β‐</w:instrText>
            </w:r>
            <w:r w:rsidRPr="00414C67">
              <w:rPr>
                <w:rFonts w:hint="eastAsia"/>
                <w:sz w:val="24"/>
                <w:szCs w:val="24"/>
                <w:lang w:val="de-DE" w:eastAsia="zh-CN"/>
              </w:rPr>
              <w:instrText>glucosidase, the fluorescence intensity gradually recovered as the concentration of inhibitors increased. Therefore, the enzyme</w:instrText>
            </w:r>
            <w:r w:rsidRPr="00414C67">
              <w:rPr>
                <w:rFonts w:hint="eastAsia"/>
                <w:sz w:val="24"/>
                <w:szCs w:val="24"/>
                <w:lang w:val="de-DE" w:eastAsia="zh-CN"/>
              </w:rPr>
              <w:instrText>‐</w:instrText>
            </w:r>
            <w:r w:rsidRPr="00414C67">
              <w:rPr>
                <w:rFonts w:hint="eastAsia"/>
                <w:sz w:val="24"/>
                <w:szCs w:val="24"/>
                <w:lang w:val="de-DE" w:eastAsia="zh-CN"/>
              </w:rPr>
              <w:instrText>triggered fluorescence turn</w:instrText>
            </w:r>
            <w:r w:rsidRPr="00414C67">
              <w:rPr>
                <w:rFonts w:hint="eastAsia"/>
                <w:sz w:val="24"/>
                <w:szCs w:val="24"/>
                <w:lang w:val="de-DE" w:eastAsia="zh-CN"/>
              </w:rPr>
              <w:instrText>‐</w:instrText>
            </w:r>
            <w:r w:rsidRPr="00414C67">
              <w:rPr>
                <w:rFonts w:hint="eastAsia"/>
                <w:sz w:val="24"/>
                <w:szCs w:val="24"/>
                <w:lang w:val="de-DE" w:eastAsia="zh-CN"/>
              </w:rPr>
              <w:instrText>off/turn</w:instrText>
            </w:r>
            <w:r w:rsidRPr="00414C67">
              <w:rPr>
                <w:rFonts w:hint="eastAsia"/>
                <w:sz w:val="24"/>
                <w:szCs w:val="24"/>
                <w:lang w:val="de-DE" w:eastAsia="zh-CN"/>
              </w:rPr>
              <w:instrText>‐</w:instrText>
            </w:r>
            <w:r w:rsidRPr="00414C67">
              <w:rPr>
                <w:rFonts w:hint="eastAsia"/>
                <w:sz w:val="24"/>
                <w:szCs w:val="24"/>
                <w:lang w:val="de-DE" w:eastAsia="zh-CN"/>
              </w:rPr>
              <w:instrText xml:space="preserve">on of specific CDs successfully achieved sensitive detection of </w:instrText>
            </w:r>
            <w:r w:rsidRPr="00414C67">
              <w:rPr>
                <w:rFonts w:hint="eastAsia"/>
                <w:sz w:val="24"/>
                <w:szCs w:val="24"/>
                <w:lang w:val="de-DE" w:eastAsia="zh-CN"/>
              </w:rPr>
              <w:instrText>β‐</w:instrText>
            </w:r>
            <w:r w:rsidRPr="00414C67">
              <w:rPr>
                <w:rFonts w:hint="eastAsia"/>
                <w:sz w:val="24"/>
                <w:szCs w:val="24"/>
                <w:lang w:val="de-DE" w:eastAsia="zh-CN"/>
              </w:rPr>
              <w:instrText xml:space="preserve">glucosidase and monitored the effect of its inhibitors. This new strategy was applied to detect </w:instrText>
            </w:r>
            <w:r w:rsidRPr="00414C67">
              <w:rPr>
                <w:rFonts w:hint="eastAsia"/>
                <w:sz w:val="24"/>
                <w:szCs w:val="24"/>
                <w:lang w:val="de-DE" w:eastAsia="zh-CN"/>
              </w:rPr>
              <w:instrText>β‐</w:instrText>
            </w:r>
            <w:r w:rsidRPr="00414C67">
              <w:rPr>
                <w:rFonts w:hint="eastAsia"/>
                <w:sz w:val="24"/>
                <w:szCs w:val="24"/>
                <w:lang w:val="de-DE" w:eastAsia="zh-CN"/>
              </w:rPr>
              <w:instrText xml:space="preserve">glucosidase and monitor </w:instrText>
            </w:r>
            <w:r w:rsidRPr="00414C67">
              <w:rPr>
                <w:rFonts w:hint="eastAsia"/>
                <w:sz w:val="24"/>
                <w:szCs w:val="24"/>
                <w:lang w:val="de-DE" w:eastAsia="zh-CN"/>
              </w:rPr>
              <w:instrText>β‐</w:instrText>
            </w:r>
            <w:r w:rsidRPr="00414C67">
              <w:rPr>
                <w:rFonts w:hint="eastAsia"/>
                <w:sz w:val="24"/>
                <w:szCs w:val="24"/>
                <w:lang w:val="de-DE" w:eastAsia="zh-CN"/>
              </w:rPr>
              <w:instrText>glucosidase inhibitor in hepatoma cells using cell imaging. All results suggest that the new method is sensitive and promising for use in cancer diagnosis and treatment.\n\n</w:instrText>
            </w:r>
            <w:r w:rsidRPr="00414C67">
              <w:rPr>
                <w:rFonts w:hint="eastAsia"/>
                <w:sz w:val="24"/>
                <w:szCs w:val="24"/>
                <w:lang w:val="de-DE" w:eastAsia="zh-CN"/>
              </w:rPr>
              <w:instrText>【摘要翻译】基于用于直接感测酶活性的荧光探针的能量转移工程作为酶介导的转化有很大的需求，这是所有生物过程的核心。在这里，建立了一种基于荧光碳点（</w:instrText>
            </w:r>
            <w:r w:rsidRPr="00414C67">
              <w:rPr>
                <w:rFonts w:hint="eastAsia"/>
                <w:sz w:val="24"/>
                <w:szCs w:val="24"/>
                <w:lang w:val="de-DE" w:eastAsia="zh-CN"/>
              </w:rPr>
              <w:instrText>CD</w:instrText>
            </w:r>
            <w:r w:rsidRPr="00414C67">
              <w:rPr>
                <w:rFonts w:hint="eastAsia"/>
                <w:sz w:val="24"/>
                <w:szCs w:val="24"/>
                <w:lang w:val="de-DE" w:eastAsia="zh-CN"/>
              </w:rPr>
              <w:instrText>）的检测方法，该方法对β</w:instrText>
            </w:r>
            <w:r w:rsidRPr="00414C67">
              <w:rPr>
                <w:rFonts w:hint="eastAsia"/>
                <w:sz w:val="24"/>
                <w:szCs w:val="24"/>
                <w:lang w:val="de-DE" w:eastAsia="zh-CN"/>
              </w:rPr>
              <w:instrText>-</w:instrText>
            </w:r>
            <w:r w:rsidRPr="00414C67">
              <w:rPr>
                <w:rFonts w:hint="eastAsia"/>
                <w:sz w:val="24"/>
                <w:szCs w:val="24"/>
                <w:lang w:val="de-DE" w:eastAsia="zh-CN"/>
              </w:rPr>
              <w:instrText>葡萄糖苷酶的定量及其抑制剂的作用表现出选择性反应。最常见的底物对硝基苯基</w:instrText>
            </w:r>
            <w:r w:rsidRPr="00414C67">
              <w:rPr>
                <w:rFonts w:hint="eastAsia"/>
                <w:sz w:val="24"/>
                <w:szCs w:val="24"/>
                <w:lang w:val="de-DE" w:eastAsia="zh-CN"/>
              </w:rPr>
              <w:instrText>-</w:instrText>
            </w:r>
            <w:r w:rsidRPr="00414C67">
              <w:rPr>
                <w:rFonts w:hint="eastAsia"/>
                <w:sz w:val="24"/>
                <w:szCs w:val="24"/>
                <w:lang w:val="de-DE" w:eastAsia="zh-CN"/>
              </w:rPr>
              <w:instrText>β</w:instrText>
            </w:r>
            <w:r w:rsidRPr="00414C67">
              <w:rPr>
                <w:rFonts w:hint="eastAsia"/>
                <w:sz w:val="24"/>
                <w:szCs w:val="24"/>
                <w:lang w:val="de-DE" w:eastAsia="zh-CN"/>
              </w:rPr>
              <w:instrText>-</w:instrText>
            </w:r>
            <w:r w:rsidRPr="00414C67">
              <w:rPr>
                <w:rFonts w:hint="eastAsia"/>
                <w:sz w:val="24"/>
                <w:szCs w:val="24"/>
                <w:lang w:val="de-DE" w:eastAsia="zh-CN"/>
              </w:rPr>
              <w:instrText>二吡喃葡萄糖苷（</w:instrText>
            </w:r>
            <w:r w:rsidRPr="00414C67">
              <w:rPr>
                <w:rFonts w:hint="eastAsia"/>
                <w:sz w:val="24"/>
                <w:szCs w:val="24"/>
                <w:lang w:val="de-DE" w:eastAsia="zh-CN"/>
              </w:rPr>
              <w:instrText>pNPG</w:instrText>
            </w:r>
            <w:r w:rsidRPr="00414C67">
              <w:rPr>
                <w:rFonts w:hint="eastAsia"/>
                <w:sz w:val="24"/>
                <w:szCs w:val="24"/>
                <w:lang w:val="de-DE" w:eastAsia="zh-CN"/>
              </w:rPr>
              <w:instrText>）被β</w:instrText>
            </w:r>
            <w:r w:rsidRPr="00414C67">
              <w:rPr>
                <w:rFonts w:hint="eastAsia"/>
                <w:sz w:val="24"/>
                <w:szCs w:val="24"/>
                <w:lang w:val="de-DE" w:eastAsia="zh-CN"/>
              </w:rPr>
              <w:instrText>-</w:instrText>
            </w:r>
            <w:r w:rsidRPr="00414C67">
              <w:rPr>
                <w:rFonts w:hint="eastAsia"/>
                <w:sz w:val="24"/>
                <w:szCs w:val="24"/>
                <w:lang w:val="de-DE" w:eastAsia="zh-CN"/>
              </w:rPr>
              <w:instrText>葡萄糖苷酶水解，释放出对硝基苯酚（</w:instrText>
            </w:r>
            <w:r w:rsidRPr="00414C67">
              <w:rPr>
                <w:rFonts w:hint="eastAsia"/>
                <w:sz w:val="24"/>
                <w:szCs w:val="24"/>
                <w:lang w:val="de-DE" w:eastAsia="zh-CN"/>
              </w:rPr>
              <w:instrText>pNP</w:instrText>
            </w:r>
            <w:r w:rsidRPr="00414C67">
              <w:rPr>
                <w:rFonts w:hint="eastAsia"/>
                <w:sz w:val="24"/>
                <w:szCs w:val="24"/>
                <w:lang w:val="de-DE" w:eastAsia="zh-CN"/>
              </w:rPr>
              <w:instrText>），通过内滤效应和电子转移有效地猝灭了</w:instrText>
            </w:r>
            <w:r w:rsidRPr="00414C67">
              <w:rPr>
                <w:rFonts w:hint="eastAsia"/>
                <w:sz w:val="24"/>
                <w:szCs w:val="24"/>
                <w:lang w:val="de-DE" w:eastAsia="zh-CN"/>
              </w:rPr>
              <w:instrText>CDs</w:instrText>
            </w:r>
            <w:r w:rsidRPr="00414C67">
              <w:rPr>
                <w:rFonts w:hint="eastAsia"/>
                <w:sz w:val="24"/>
                <w:szCs w:val="24"/>
                <w:lang w:val="de-DE" w:eastAsia="zh-CN"/>
              </w:rPr>
              <w:instrText>的荧光。然而，在β</w:instrText>
            </w:r>
            <w:r w:rsidRPr="00414C67">
              <w:rPr>
                <w:rFonts w:hint="eastAsia"/>
                <w:sz w:val="24"/>
                <w:szCs w:val="24"/>
                <w:lang w:val="de-DE" w:eastAsia="zh-CN"/>
              </w:rPr>
              <w:instrText>-</w:instrText>
            </w:r>
            <w:r w:rsidRPr="00414C67">
              <w:rPr>
                <w:rFonts w:hint="eastAsia"/>
                <w:sz w:val="24"/>
                <w:szCs w:val="24"/>
                <w:lang w:val="de-DE" w:eastAsia="zh-CN"/>
              </w:rPr>
              <w:instrText>葡萄糖苷酶抑制剂存在的情况下，随着抑制剂浓度的增加，荧光强度逐渐恢复。因此，酶触发的特异性</w:instrText>
            </w:r>
            <w:r w:rsidRPr="00414C67">
              <w:rPr>
                <w:rFonts w:hint="eastAsia"/>
                <w:sz w:val="24"/>
                <w:szCs w:val="24"/>
                <w:lang w:val="de-DE" w:eastAsia="zh-CN"/>
              </w:rPr>
              <w:instrText>CDs</w:instrText>
            </w:r>
            <w:r w:rsidRPr="00414C67">
              <w:rPr>
                <w:rFonts w:hint="eastAsia"/>
                <w:sz w:val="24"/>
                <w:szCs w:val="24"/>
                <w:lang w:val="de-DE" w:eastAsia="zh-CN"/>
              </w:rPr>
              <w:instrText>荧光关闭</w:instrText>
            </w:r>
            <w:r w:rsidRPr="00414C67">
              <w:rPr>
                <w:rFonts w:hint="eastAsia"/>
                <w:sz w:val="24"/>
                <w:szCs w:val="24"/>
                <w:lang w:val="de-DE" w:eastAsia="zh-CN"/>
              </w:rPr>
              <w:instrText>/</w:instrText>
            </w:r>
            <w:r w:rsidRPr="00414C67">
              <w:rPr>
                <w:rFonts w:hint="eastAsia"/>
                <w:sz w:val="24"/>
                <w:szCs w:val="24"/>
                <w:lang w:val="de-DE" w:eastAsia="zh-CN"/>
              </w:rPr>
              <w:instrText>开启成功地实现了β</w:instrText>
            </w:r>
            <w:r w:rsidRPr="00414C67">
              <w:rPr>
                <w:rFonts w:hint="eastAsia"/>
                <w:sz w:val="24"/>
                <w:szCs w:val="24"/>
                <w:lang w:val="de-DE" w:eastAsia="zh-CN"/>
              </w:rPr>
              <w:instrText>-</w:instrText>
            </w:r>
            <w:r w:rsidRPr="00414C67">
              <w:rPr>
                <w:rFonts w:hint="eastAsia"/>
                <w:sz w:val="24"/>
                <w:szCs w:val="24"/>
                <w:lang w:val="de-DE" w:eastAsia="zh-CN"/>
              </w:rPr>
              <w:instrText>葡萄糖苷酶的灵敏检测，并监测了其抑制剂的作用。应用该方法检测肝癌细胞中的β</w:instrText>
            </w:r>
            <w:r w:rsidRPr="00414C67">
              <w:rPr>
                <w:rFonts w:hint="eastAsia"/>
                <w:sz w:val="24"/>
                <w:szCs w:val="24"/>
                <w:lang w:val="de-DE" w:eastAsia="zh-CN"/>
              </w:rPr>
              <w:instrText>-</w:instrText>
            </w:r>
            <w:r w:rsidRPr="00414C67">
              <w:rPr>
                <w:rFonts w:hint="eastAsia"/>
                <w:sz w:val="24"/>
                <w:szCs w:val="24"/>
                <w:lang w:val="de-DE" w:eastAsia="zh-CN"/>
              </w:rPr>
              <w:instrText>葡萄糖苷酶，并利用细胞成像技术监测β</w:instrText>
            </w:r>
            <w:r w:rsidRPr="00414C67">
              <w:rPr>
                <w:rFonts w:hint="eastAsia"/>
                <w:sz w:val="24"/>
                <w:szCs w:val="24"/>
                <w:lang w:val="de-DE" w:eastAsia="zh-CN"/>
              </w:rPr>
              <w:instrText>-</w:instrText>
            </w:r>
            <w:r w:rsidRPr="00414C67">
              <w:rPr>
                <w:rFonts w:hint="eastAsia"/>
                <w:sz w:val="24"/>
                <w:szCs w:val="24"/>
                <w:lang w:val="de-DE" w:eastAsia="zh-CN"/>
              </w:rPr>
              <w:instrText>葡萄糖苷酶抑制剂。所有结果表明，新方法是敏感的，有希望用于癌症的诊断和治疗。</w:instrText>
            </w:r>
            <w:r w:rsidRPr="00414C67">
              <w:rPr>
                <w:rFonts w:hint="eastAsia"/>
                <w:sz w:val="24"/>
                <w:szCs w:val="24"/>
                <w:lang w:val="de-DE" w:eastAsia="zh-CN"/>
              </w:rPr>
              <w:instrText>","call-number":"4","container-title":"Luminescence","DOI":"10.1002/bio.3717","ISSN":"1522-7235, 1522-7243","issue":"2","journalAbbreviation":"Luminescence","language":"en","page":"222-230","source":"2.613","title":"Enzyme</w:instrText>
            </w:r>
            <w:r w:rsidRPr="00414C67">
              <w:rPr>
                <w:rFonts w:hint="eastAsia"/>
                <w:sz w:val="24"/>
                <w:szCs w:val="24"/>
                <w:lang w:val="de-DE" w:eastAsia="zh-CN"/>
              </w:rPr>
              <w:instrText>‐</w:instrText>
            </w:r>
            <w:r w:rsidRPr="00414C67">
              <w:rPr>
                <w:rFonts w:hint="eastAsia"/>
                <w:sz w:val="24"/>
                <w:szCs w:val="24"/>
                <w:lang w:val="de-DE" w:eastAsia="zh-CN"/>
              </w:rPr>
              <w:instrText>triggered fluorescence turn</w:instrText>
            </w:r>
            <w:r w:rsidRPr="00414C67">
              <w:rPr>
                <w:rFonts w:hint="eastAsia"/>
                <w:sz w:val="24"/>
                <w:szCs w:val="24"/>
                <w:lang w:val="de-DE" w:eastAsia="zh-CN"/>
              </w:rPr>
              <w:instrText>‐</w:instrText>
            </w:r>
            <w:r w:rsidRPr="00414C67">
              <w:rPr>
                <w:rFonts w:hint="eastAsia"/>
                <w:sz w:val="24"/>
                <w:szCs w:val="24"/>
                <w:lang w:val="de-DE" w:eastAsia="zh-CN"/>
              </w:rPr>
              <w:instrText>off/turn</w:instrText>
            </w:r>
            <w:r w:rsidRPr="00414C67">
              <w:rPr>
                <w:rFonts w:hint="eastAsia"/>
                <w:sz w:val="24"/>
                <w:szCs w:val="24"/>
                <w:lang w:val="de-DE" w:eastAsia="zh-CN"/>
              </w:rPr>
              <w:instrText>‐</w:instrText>
            </w:r>
            <w:r w:rsidRPr="00414C67">
              <w:rPr>
                <w:rFonts w:hint="eastAsia"/>
                <w:sz w:val="24"/>
                <w:szCs w:val="24"/>
                <w:lang w:val="de-DE" w:eastAsia="zh-CN"/>
              </w:rPr>
              <w:instrText xml:space="preserve">on of carbon dots for monitoring </w:instrText>
            </w:r>
            <w:r w:rsidRPr="00414C67">
              <w:rPr>
                <w:rFonts w:hint="eastAsia"/>
                <w:sz w:val="24"/>
                <w:szCs w:val="24"/>
                <w:lang w:val="de-DE" w:eastAsia="zh-CN"/>
              </w:rPr>
              <w:instrText>β‐</w:instrText>
            </w:r>
            <w:r w:rsidRPr="00414C67">
              <w:rPr>
                <w:rFonts w:hint="eastAsia"/>
                <w:sz w:val="24"/>
                <w:szCs w:val="24"/>
                <w:lang w:val="de-DE" w:eastAsia="zh-CN"/>
              </w:rPr>
              <w:instrText>glucosidase and its inhibitor in living cells","title-short":"</w:instrText>
            </w:r>
            <w:r w:rsidRPr="00414C67">
              <w:rPr>
                <w:rFonts w:hint="eastAsia"/>
                <w:sz w:val="24"/>
                <w:szCs w:val="24"/>
                <w:lang w:val="de-DE" w:eastAsia="zh-CN"/>
              </w:rPr>
              <w:instrText>酶触发的碳点荧光关闭</w:instrText>
            </w:r>
            <w:r w:rsidRPr="00414C67">
              <w:rPr>
                <w:rFonts w:hint="eastAsia"/>
                <w:sz w:val="24"/>
                <w:szCs w:val="24"/>
                <w:lang w:val="de-DE" w:eastAsia="zh-CN"/>
              </w:rPr>
              <w:instrText>/</w:instrText>
            </w:r>
            <w:r w:rsidRPr="00414C67">
              <w:rPr>
                <w:rFonts w:hint="eastAsia"/>
                <w:sz w:val="24"/>
                <w:szCs w:val="24"/>
                <w:lang w:val="de-DE" w:eastAsia="zh-CN"/>
              </w:rPr>
              <w:instrText>开启监测活细胞中β</w:instrText>
            </w:r>
            <w:r w:rsidRPr="00414C67">
              <w:rPr>
                <w:rFonts w:hint="eastAsia"/>
                <w:sz w:val="24"/>
                <w:szCs w:val="24"/>
                <w:lang w:val="de-DE" w:eastAsia="zh-CN"/>
              </w:rPr>
              <w:instrText>-</w:instrText>
            </w:r>
            <w:r w:rsidRPr="00414C67">
              <w:rPr>
                <w:rFonts w:hint="eastAsia"/>
                <w:sz w:val="24"/>
                <w:szCs w:val="24"/>
                <w:lang w:val="de-DE" w:eastAsia="zh-CN"/>
              </w:rPr>
              <w:instrText>葡萄糖</w:instrText>
            </w:r>
            <w:r w:rsidRPr="00414C67">
              <w:rPr>
                <w:rFonts w:hint="eastAsia"/>
                <w:sz w:val="24"/>
                <w:szCs w:val="24"/>
                <w:lang w:val="de-DE" w:eastAsia="zh-CN"/>
              </w:rPr>
              <w:instrText xml:space="preserve"> </w:instrText>
            </w:r>
            <w:r w:rsidRPr="00414C67">
              <w:rPr>
                <w:rFonts w:hint="eastAsia"/>
                <w:sz w:val="24"/>
                <w:szCs w:val="24"/>
                <w:lang w:val="de-DE" w:eastAsia="zh-CN"/>
              </w:rPr>
              <w:instrText>苷酶及其抑制剂</w:instrText>
            </w:r>
            <w:r w:rsidRPr="00414C67">
              <w:rPr>
                <w:rFonts w:hint="eastAsia"/>
                <w:sz w:val="24"/>
                <w:szCs w:val="24"/>
                <w:lang w:val="de-DE" w:eastAsia="zh-CN"/>
              </w:rPr>
              <w:instrText>","volume":"35","author":[{"family":"Kong","given":"Bo"},{"family":"Yang","giv</w:instrText>
            </w:r>
            <w:r w:rsidRPr="00414C67">
              <w:rPr>
                <w:sz w:val="24"/>
                <w:szCs w:val="24"/>
                <w:lang w:val="de-DE" w:eastAsia="zh-CN"/>
              </w:rPr>
              <w:instrText xml:space="preserve">en":"Tong"},{"family":"Hou","given":"Peng"},{"family":"Li","given":"Chun Hong"},{"family":"Zou","given":"Hong Yan"},{"family":"Huang","given":"Cheng Zhi"}],"issued":{"date-parts":[["2020",3]]}}}],"schema":"https://github.com/citation-style-language/schema/raw/master/csl-citation.json"} </w:instrText>
            </w:r>
            <w:r w:rsidRPr="00414C67">
              <w:rPr>
                <w:sz w:val="24"/>
                <w:szCs w:val="24"/>
                <w:lang w:val="de-DE" w:eastAsia="zh-CN"/>
              </w:rPr>
              <w:fldChar w:fldCharType="separate"/>
            </w:r>
            <w:r w:rsidRPr="00414C67">
              <w:rPr>
                <w:noProof/>
                <w:sz w:val="24"/>
                <w:szCs w:val="24"/>
                <w:lang w:val="de-DE" w:eastAsia="zh-CN"/>
              </w:rPr>
              <w:t>(Kong et al., 2020)</w:t>
            </w:r>
            <w:r w:rsidRPr="00414C67">
              <w:rPr>
                <w:sz w:val="24"/>
                <w:szCs w:val="24"/>
                <w:lang w:val="de-DE" w:eastAsia="zh-CN"/>
              </w:rPr>
              <w:fldChar w:fldCharType="end"/>
            </w:r>
          </w:p>
        </w:tc>
      </w:tr>
      <w:tr w:rsidR="0067186D" w14:paraId="5EBD8572" w14:textId="77777777" w:rsidTr="007D67B7">
        <w:tc>
          <w:tcPr>
            <w:tcW w:w="2411" w:type="dxa"/>
            <w:vAlign w:val="center"/>
          </w:tcPr>
          <w:p w14:paraId="7451BB07" w14:textId="35D1FC41" w:rsidR="00414C67" w:rsidRPr="00414C67" w:rsidRDefault="00414C67" w:rsidP="00414C67">
            <w:pPr>
              <w:jc w:val="center"/>
              <w:rPr>
                <w:sz w:val="24"/>
                <w:szCs w:val="24"/>
                <w:lang w:val="de-DE" w:eastAsia="zh-CN"/>
              </w:rPr>
            </w:pPr>
            <w:r w:rsidRPr="00414C67">
              <w:rPr>
                <w:sz w:val="24"/>
              </w:rPr>
              <w:t>1,2-diaminobenzene</w:t>
            </w:r>
            <w:r w:rsidR="003553EE">
              <w:rPr>
                <w:sz w:val="24"/>
              </w:rPr>
              <w:t xml:space="preserve">, </w:t>
            </w:r>
            <w:r w:rsidR="0067186D" w:rsidRPr="00414C67">
              <w:rPr>
                <w:sz w:val="24"/>
              </w:rPr>
              <w:t>EDA</w:t>
            </w:r>
          </w:p>
        </w:tc>
        <w:tc>
          <w:tcPr>
            <w:tcW w:w="1843" w:type="dxa"/>
            <w:vAlign w:val="center"/>
          </w:tcPr>
          <w:p w14:paraId="7E80EB2F" w14:textId="572BD6EE" w:rsidR="00414C67" w:rsidRPr="00414C67" w:rsidRDefault="00414C67" w:rsidP="00414C67">
            <w:pPr>
              <w:jc w:val="center"/>
              <w:rPr>
                <w:sz w:val="24"/>
                <w:szCs w:val="24"/>
                <w:lang w:val="de-DE" w:eastAsia="zh-CN"/>
              </w:rPr>
            </w:pPr>
            <w:r w:rsidRPr="00414C67">
              <w:rPr>
                <w:sz w:val="24"/>
              </w:rPr>
              <w:t>Hydrothermal method</w:t>
            </w:r>
          </w:p>
        </w:tc>
        <w:tc>
          <w:tcPr>
            <w:tcW w:w="2126" w:type="dxa"/>
            <w:vAlign w:val="center"/>
          </w:tcPr>
          <w:p w14:paraId="32CB5CCA" w14:textId="4BECA57D" w:rsidR="00414C67" w:rsidRPr="00414C67" w:rsidRDefault="00414C67" w:rsidP="00414C67">
            <w:pPr>
              <w:jc w:val="center"/>
              <w:rPr>
                <w:sz w:val="24"/>
                <w:szCs w:val="24"/>
                <w:lang w:val="de-DE" w:eastAsia="zh-CN"/>
              </w:rPr>
            </w:pPr>
            <w:r w:rsidRPr="00414C67">
              <w:rPr>
                <w:sz w:val="24"/>
              </w:rPr>
              <w:t>180 °C</w:t>
            </w:r>
            <w:r w:rsidR="0067186D">
              <w:rPr>
                <w:rFonts w:hint="eastAsia"/>
                <w:sz w:val="24"/>
              </w:rPr>
              <w:t>,</w:t>
            </w:r>
            <w:r w:rsidR="0067186D">
              <w:rPr>
                <w:sz w:val="24"/>
              </w:rPr>
              <w:t xml:space="preserve"> </w:t>
            </w:r>
            <w:r w:rsidRPr="00414C67">
              <w:rPr>
                <w:sz w:val="24"/>
              </w:rPr>
              <w:t>12 h</w:t>
            </w:r>
          </w:p>
        </w:tc>
        <w:tc>
          <w:tcPr>
            <w:tcW w:w="1559" w:type="dxa"/>
            <w:vAlign w:val="center"/>
          </w:tcPr>
          <w:p w14:paraId="3EB38ED2" w14:textId="6A40745D" w:rsidR="00414C67" w:rsidRPr="00414C67" w:rsidRDefault="00414C67" w:rsidP="00414C67">
            <w:pPr>
              <w:jc w:val="center"/>
              <w:rPr>
                <w:sz w:val="24"/>
                <w:szCs w:val="24"/>
                <w:lang w:val="de-DE" w:eastAsia="zh-CN"/>
              </w:rPr>
            </w:pPr>
            <w:r w:rsidRPr="00414C67">
              <w:rPr>
                <w:sz w:val="24"/>
              </w:rPr>
              <w:t>1-60</w:t>
            </w:r>
          </w:p>
        </w:tc>
        <w:tc>
          <w:tcPr>
            <w:tcW w:w="1722" w:type="dxa"/>
            <w:vAlign w:val="center"/>
          </w:tcPr>
          <w:p w14:paraId="097AD52D" w14:textId="4EF517CF" w:rsidR="00414C67" w:rsidRPr="00414C67" w:rsidRDefault="00414C67" w:rsidP="00414C67">
            <w:pPr>
              <w:jc w:val="center"/>
              <w:rPr>
                <w:sz w:val="24"/>
                <w:szCs w:val="24"/>
                <w:lang w:val="de-DE" w:eastAsia="zh-CN"/>
              </w:rPr>
            </w:pPr>
            <w:r w:rsidRPr="00414C67">
              <w:rPr>
                <w:sz w:val="24"/>
              </w:rPr>
              <w:t>0.3</w:t>
            </w:r>
          </w:p>
        </w:tc>
        <w:tc>
          <w:tcPr>
            <w:tcW w:w="830" w:type="dxa"/>
            <w:vAlign w:val="center"/>
          </w:tcPr>
          <w:p w14:paraId="4850CC61" w14:textId="4D0B46F0" w:rsidR="00414C67" w:rsidRPr="00414C67" w:rsidRDefault="00414C67" w:rsidP="00414C67">
            <w:pPr>
              <w:jc w:val="center"/>
              <w:rPr>
                <w:sz w:val="24"/>
                <w:szCs w:val="24"/>
                <w:lang w:val="de-DE" w:eastAsia="zh-CN"/>
              </w:rPr>
            </w:pPr>
            <w:r w:rsidRPr="00414C67">
              <w:rPr>
                <w:sz w:val="24"/>
                <w:szCs w:val="24"/>
                <w:lang w:val="de-DE" w:eastAsia="zh-CN"/>
              </w:rPr>
              <w:fldChar w:fldCharType="begin"/>
            </w:r>
            <w:r w:rsidRPr="00414C67">
              <w:rPr>
                <w:sz w:val="24"/>
                <w:szCs w:val="24"/>
                <w:lang w:val="de-DE" w:eastAsia="zh-CN"/>
              </w:rPr>
              <w:instrText xml:space="preserve"> ADDIN ZOTERO_ITEM CSL_CITATION {"citationID":"i0GmdUXr","properties":{"formattedCitation":"(Lu et al., 2016)","plainCitation":"(Lu et al., 2016)","noteIndex":0},"citationItems":[{"id":22323,"uris":["http://zotero.org/users/8969946/items/36LM2L63"],"itemData":{"id":22323,"type":"article-journal","archive_location":"80 </w:instrText>
            </w:r>
            <w:r w:rsidRPr="00414C67">
              <w:rPr>
                <w:rFonts w:ascii="Apple Color Emoji" w:hAnsi="Apple Color Emoji" w:cs="Apple Color Emoji"/>
                <w:sz w:val="24"/>
                <w:szCs w:val="24"/>
                <w:lang w:val="de-DE" w:eastAsia="zh-CN"/>
              </w:rPr>
              <w:instrText>📊</w:instrText>
            </w:r>
            <w:r w:rsidRPr="00414C67">
              <w:rPr>
                <w:sz w:val="24"/>
                <w:szCs w:val="24"/>
                <w:lang w:val="de-DE" w:eastAsia="zh-CN"/>
              </w:rPr>
              <w:instrText>","call-number":"1","container-title":"Biosensors and Bioelectronics","DOI":"10.1016/j.bios.2016.05.021","ISSN":"0956-5663","journalAbbreviation":"Biosens Bioelectron","language":"en","pag</w:instrText>
            </w:r>
            <w:r w:rsidRPr="00414C67">
              <w:rPr>
                <w:rFonts w:hint="eastAsia"/>
                <w:sz w:val="24"/>
                <w:szCs w:val="24"/>
                <w:lang w:val="de-DE" w:eastAsia="zh-CN"/>
              </w:rPr>
              <w:instrText xml:space="preserve">e":"358-362","source":"12.545","title":"Facile and ultrasensitive fluorescence sensor platform for tumor invasive biomaker </w:instrText>
            </w:r>
            <w:r w:rsidRPr="00414C67">
              <w:rPr>
                <w:rFonts w:hint="eastAsia"/>
                <w:sz w:val="24"/>
                <w:szCs w:val="24"/>
                <w:lang w:val="de-DE" w:eastAsia="zh-CN"/>
              </w:rPr>
              <w:instrText>β</w:instrText>
            </w:r>
            <w:r w:rsidRPr="00414C67">
              <w:rPr>
                <w:rFonts w:hint="eastAsia"/>
                <w:sz w:val="24"/>
                <w:szCs w:val="24"/>
                <w:lang w:val="de-DE" w:eastAsia="zh-CN"/>
              </w:rPr>
              <w:instrText>-glucuronidase detection and inhibitor evaluation with carbon quantum dots based on inner-filter effect","title-short":"</w:instrText>
            </w:r>
            <w:r w:rsidRPr="00414C67">
              <w:rPr>
                <w:rFonts w:hint="eastAsia"/>
                <w:sz w:val="24"/>
                <w:szCs w:val="24"/>
                <w:lang w:val="de-DE" w:eastAsia="zh-CN"/>
              </w:rPr>
              <w:instrText>基于内滤光效应的碳量子点检测肿瘤侵袭性生物分子β</w:instrText>
            </w:r>
            <w:r w:rsidRPr="00414C67">
              <w:rPr>
                <w:rFonts w:hint="eastAsia"/>
                <w:sz w:val="24"/>
                <w:szCs w:val="24"/>
                <w:lang w:val="de-DE" w:eastAsia="zh-CN"/>
              </w:rPr>
              <w:instrText xml:space="preserve"> -</w:instrText>
            </w:r>
            <w:r w:rsidRPr="00414C67">
              <w:rPr>
                <w:rFonts w:hint="eastAsia"/>
                <w:sz w:val="24"/>
                <w:szCs w:val="24"/>
                <w:lang w:val="de-DE" w:eastAsia="zh-CN"/>
              </w:rPr>
              <w:instrText>葡萄糖醛酸酶及其抑制剂的简易超灵敏荧光传感器平台</w:instrText>
            </w:r>
            <w:r w:rsidRPr="00414C67">
              <w:rPr>
                <w:rFonts w:hint="eastAsia"/>
                <w:sz w:val="24"/>
                <w:szCs w:val="24"/>
                <w:lang w:val="de-DE" w:eastAsia="zh-CN"/>
              </w:rPr>
              <w:instrText>","volume":"85","author":[{"family":"Lu","given":"Shuaimin"},{"family":"Li","given":"Guoliang"},{"family":"Lv","given":"Zhengxian"},{"family":"Qiu","given":"Nannan"},{"family":"Kong","given":"Weiheng"},{"family":"Gon</w:instrText>
            </w:r>
            <w:r w:rsidRPr="00414C67">
              <w:rPr>
                <w:sz w:val="24"/>
                <w:szCs w:val="24"/>
                <w:lang w:val="de-DE" w:eastAsia="zh-CN"/>
              </w:rPr>
              <w:instrText xml:space="preserve">g","given":"Peiwei"},{"family":"Chen","given":"Guang"},{"family":"Xia","given":"Lian"},{"family":"Guo","given":"Xiaoxi"},{"family":"You","given":"Jinmao"},{"family":"Wu","given":"Yongning"}],"issued":{"date-parts":[["2016",11]]}}}],"schema":"https://github.com/citation-style-language/schema/raw/master/csl-citation.json"} </w:instrText>
            </w:r>
            <w:r w:rsidRPr="00414C67">
              <w:rPr>
                <w:sz w:val="24"/>
                <w:szCs w:val="24"/>
                <w:lang w:val="de-DE" w:eastAsia="zh-CN"/>
              </w:rPr>
              <w:fldChar w:fldCharType="separate"/>
            </w:r>
            <w:r w:rsidRPr="00414C67">
              <w:rPr>
                <w:noProof/>
                <w:sz w:val="24"/>
                <w:szCs w:val="24"/>
                <w:lang w:val="de-DE" w:eastAsia="zh-CN"/>
              </w:rPr>
              <w:t>(Lu et al., 2016)</w:t>
            </w:r>
            <w:r w:rsidRPr="00414C67">
              <w:rPr>
                <w:sz w:val="24"/>
                <w:szCs w:val="24"/>
                <w:lang w:val="de-DE" w:eastAsia="zh-CN"/>
              </w:rPr>
              <w:fldChar w:fldCharType="end"/>
            </w:r>
          </w:p>
        </w:tc>
      </w:tr>
      <w:tr w:rsidR="0067186D" w14:paraId="48EB4CED" w14:textId="77777777" w:rsidTr="007D67B7">
        <w:tc>
          <w:tcPr>
            <w:tcW w:w="2411" w:type="dxa"/>
            <w:vAlign w:val="center"/>
          </w:tcPr>
          <w:p w14:paraId="6AEDA877" w14:textId="53C71B49" w:rsidR="0067186D" w:rsidRDefault="00414C67" w:rsidP="00414C67">
            <w:pPr>
              <w:jc w:val="center"/>
              <w:rPr>
                <w:sz w:val="24"/>
              </w:rPr>
            </w:pPr>
            <w:r w:rsidRPr="00414C67">
              <w:rPr>
                <w:sz w:val="24"/>
              </w:rPr>
              <w:t>Hydroquinone</w:t>
            </w:r>
            <w:r w:rsidR="003553EE">
              <w:rPr>
                <w:sz w:val="24"/>
              </w:rPr>
              <w:t>,</w:t>
            </w:r>
          </w:p>
          <w:p w14:paraId="27B548F2" w14:textId="24D7192D" w:rsidR="00414C67" w:rsidRPr="00414C67" w:rsidRDefault="0067186D" w:rsidP="00414C67">
            <w:pPr>
              <w:jc w:val="center"/>
              <w:rPr>
                <w:sz w:val="24"/>
                <w:szCs w:val="24"/>
                <w:lang w:val="de-DE" w:eastAsia="zh-CN"/>
              </w:rPr>
            </w:pPr>
            <w:r w:rsidRPr="00414C67">
              <w:rPr>
                <w:sz w:val="24"/>
              </w:rPr>
              <w:t>EDA</w:t>
            </w:r>
          </w:p>
        </w:tc>
        <w:tc>
          <w:tcPr>
            <w:tcW w:w="1843" w:type="dxa"/>
            <w:vAlign w:val="center"/>
          </w:tcPr>
          <w:p w14:paraId="70BC4048" w14:textId="4BB3A308" w:rsidR="00414C67" w:rsidRPr="00414C67" w:rsidRDefault="00414C67" w:rsidP="00414C67">
            <w:pPr>
              <w:jc w:val="center"/>
              <w:rPr>
                <w:sz w:val="24"/>
                <w:szCs w:val="24"/>
                <w:lang w:val="de-DE" w:eastAsia="zh-CN"/>
              </w:rPr>
            </w:pPr>
            <w:r w:rsidRPr="00414C67">
              <w:rPr>
                <w:sz w:val="24"/>
              </w:rPr>
              <w:t>Hydrothermal method</w:t>
            </w:r>
          </w:p>
        </w:tc>
        <w:tc>
          <w:tcPr>
            <w:tcW w:w="2126" w:type="dxa"/>
            <w:vAlign w:val="center"/>
          </w:tcPr>
          <w:p w14:paraId="00FAF83B" w14:textId="21D4855E" w:rsidR="00414C67" w:rsidRPr="00414C67" w:rsidRDefault="00414C67" w:rsidP="00414C67">
            <w:pPr>
              <w:jc w:val="center"/>
              <w:rPr>
                <w:sz w:val="24"/>
                <w:szCs w:val="24"/>
                <w:lang w:val="de-DE" w:eastAsia="zh-CN"/>
              </w:rPr>
            </w:pPr>
            <w:r w:rsidRPr="00414C67">
              <w:rPr>
                <w:sz w:val="24"/>
              </w:rPr>
              <w:t xml:space="preserve">180 </w:t>
            </w:r>
            <w:bookmarkStart w:id="10" w:name="OLE_LINK31"/>
            <w:r w:rsidRPr="00414C67">
              <w:rPr>
                <w:sz w:val="24"/>
              </w:rPr>
              <w:t>°C</w:t>
            </w:r>
            <w:bookmarkEnd w:id="10"/>
            <w:r w:rsidR="0067186D">
              <w:rPr>
                <w:rFonts w:hint="eastAsia"/>
                <w:sz w:val="24"/>
              </w:rPr>
              <w:t>,</w:t>
            </w:r>
            <w:r w:rsidR="0067186D">
              <w:rPr>
                <w:sz w:val="24"/>
              </w:rPr>
              <w:t xml:space="preserve"> </w:t>
            </w:r>
            <w:r w:rsidRPr="00414C67">
              <w:rPr>
                <w:sz w:val="24"/>
              </w:rPr>
              <w:t>12 h</w:t>
            </w:r>
          </w:p>
        </w:tc>
        <w:tc>
          <w:tcPr>
            <w:tcW w:w="1559" w:type="dxa"/>
            <w:vAlign w:val="center"/>
          </w:tcPr>
          <w:p w14:paraId="37119C77" w14:textId="15C78BB7" w:rsidR="00414C67" w:rsidRPr="00414C67" w:rsidRDefault="00414C67" w:rsidP="00414C67">
            <w:pPr>
              <w:jc w:val="center"/>
              <w:rPr>
                <w:sz w:val="24"/>
                <w:szCs w:val="24"/>
                <w:lang w:val="de-DE" w:eastAsia="zh-CN"/>
              </w:rPr>
            </w:pPr>
            <w:r w:rsidRPr="00414C67">
              <w:rPr>
                <w:sz w:val="24"/>
              </w:rPr>
              <w:t>1-15</w:t>
            </w:r>
          </w:p>
        </w:tc>
        <w:tc>
          <w:tcPr>
            <w:tcW w:w="1722" w:type="dxa"/>
            <w:vAlign w:val="center"/>
          </w:tcPr>
          <w:p w14:paraId="39AC6171" w14:textId="2B9F352B" w:rsidR="00414C67" w:rsidRPr="00414C67" w:rsidRDefault="00414C67" w:rsidP="00414C67">
            <w:pPr>
              <w:jc w:val="center"/>
              <w:rPr>
                <w:sz w:val="24"/>
                <w:szCs w:val="24"/>
                <w:lang w:val="de-DE" w:eastAsia="zh-CN"/>
              </w:rPr>
            </w:pPr>
            <w:r w:rsidRPr="00414C67">
              <w:rPr>
                <w:sz w:val="24"/>
              </w:rPr>
              <w:t>0.3</w:t>
            </w:r>
          </w:p>
        </w:tc>
        <w:tc>
          <w:tcPr>
            <w:tcW w:w="830" w:type="dxa"/>
            <w:vAlign w:val="center"/>
          </w:tcPr>
          <w:p w14:paraId="2522F3AF" w14:textId="1FF78EB1" w:rsidR="00414C67" w:rsidRPr="00414C67" w:rsidRDefault="00414C67" w:rsidP="00414C67">
            <w:pPr>
              <w:jc w:val="center"/>
              <w:rPr>
                <w:sz w:val="24"/>
                <w:szCs w:val="24"/>
                <w:lang w:val="de-DE" w:eastAsia="zh-CN"/>
              </w:rPr>
            </w:pPr>
            <w:r w:rsidRPr="00414C67">
              <w:rPr>
                <w:sz w:val="24"/>
                <w:szCs w:val="24"/>
                <w:lang w:val="de-DE" w:eastAsia="zh-CN"/>
              </w:rPr>
              <w:fldChar w:fldCharType="begin"/>
            </w:r>
            <w:r w:rsidRPr="00414C67">
              <w:rPr>
                <w:sz w:val="24"/>
                <w:szCs w:val="24"/>
                <w:lang w:val="de-DE" w:eastAsia="zh-CN"/>
              </w:rPr>
              <w:instrText xml:space="preserve"> ADDIN ZOTERO_ITEM CSL_CITATION {"citationID":"kLWCkRRu","properties":{"formattedCitation":"(Gong et al., 2019)","plainCitation":"(Gong et al., 2019)","noteIndex":0},"citationItems":[{"id":22302,"uris":["http://zotero.org/users/8969946/items/KQ75LFY2"],"itemData":{"id":22302,"type":"article-journal","archive_location":"123 </w:instrText>
            </w:r>
            <w:r w:rsidRPr="00414C67">
              <w:rPr>
                <w:rFonts w:ascii="Apple Color Emoji" w:hAnsi="Apple Color Emoji" w:cs="Apple Color Emoji"/>
                <w:sz w:val="24"/>
                <w:szCs w:val="24"/>
                <w:lang w:val="de-DE" w:eastAsia="zh-CN"/>
              </w:rPr>
              <w:instrText>📊</w:instrText>
            </w:r>
            <w:r w:rsidRPr="00414C67">
              <w:rPr>
                <w:sz w:val="24"/>
                <w:szCs w:val="24"/>
                <w:lang w:val="de-DE" w:eastAsia="zh-CN"/>
              </w:rPr>
              <w:instrText>","call-number":"1","container-title":"Chemical Engineering Journal","DOI":"10.1016/j.cej.2018.09.100","ISSN":"1385-8947","journalAbbreviation":"Chem Eng J","language":"en","page":"99</w:instrText>
            </w:r>
            <w:r w:rsidRPr="00414C67">
              <w:rPr>
                <w:rFonts w:hint="eastAsia"/>
                <w:sz w:val="24"/>
                <w:szCs w:val="24"/>
                <w:lang w:val="de-DE" w:eastAsia="zh-CN"/>
              </w:rPr>
              <w:instrText>4-1002","source":"16.744 (Q1)","title":"Highly fluorescent N-doped carbon dots with two-photon emission for ultrasensitive detection of tumor marker and visual monitor anticancer drug loading and delivery","title-short":"</w:instrText>
            </w:r>
            <w:r w:rsidRPr="00414C67">
              <w:rPr>
                <w:rFonts w:hint="eastAsia"/>
                <w:sz w:val="24"/>
                <w:szCs w:val="24"/>
                <w:lang w:val="de-DE" w:eastAsia="zh-CN"/>
              </w:rPr>
              <w:instrText>具有双光子发射的高荧光</w:instrText>
            </w:r>
            <w:r w:rsidRPr="00414C67">
              <w:rPr>
                <w:rFonts w:hint="eastAsia"/>
                <w:sz w:val="24"/>
                <w:szCs w:val="24"/>
                <w:lang w:val="de-DE" w:eastAsia="zh-CN"/>
              </w:rPr>
              <w:instrText>N</w:instrText>
            </w:r>
            <w:r w:rsidRPr="00414C67">
              <w:rPr>
                <w:rFonts w:hint="eastAsia"/>
                <w:sz w:val="24"/>
                <w:szCs w:val="24"/>
                <w:lang w:val="de-DE" w:eastAsia="zh-CN"/>
              </w:rPr>
              <w:instrText>掺杂碳点用于肿瘤标志物的</w:instrText>
            </w:r>
            <w:r w:rsidRPr="00414C67">
              <w:rPr>
                <w:rFonts w:hint="eastAsia"/>
                <w:sz w:val="24"/>
                <w:szCs w:val="24"/>
                <w:lang w:val="de-DE" w:eastAsia="zh-CN"/>
              </w:rPr>
              <w:instrText xml:space="preserve"> </w:instrText>
            </w:r>
            <w:r w:rsidRPr="00414C67">
              <w:rPr>
                <w:rFonts w:hint="eastAsia"/>
                <w:sz w:val="24"/>
                <w:szCs w:val="24"/>
                <w:lang w:val="de-DE" w:eastAsia="zh-CN"/>
              </w:rPr>
              <w:instrText>超灵敏检测和抗癌药物装载和递送的可视化监控</w:instrText>
            </w:r>
            <w:r w:rsidRPr="00414C67">
              <w:rPr>
                <w:rFonts w:hint="eastAsia"/>
                <w:sz w:val="24"/>
                <w:szCs w:val="24"/>
                <w:lang w:val="de-DE" w:eastAsia="zh-CN"/>
              </w:rPr>
              <w:instrText>","volume":"356","author":[{"family":"Gong","given":"Peiwei"},{"family":"Sun","given":"Lu"},{"family":"Wang","given":"Fei"},{"family":"Liu","given":"Xicheng"},{"family":"Yan","given":"Zhengquan"},{"family":"Wang","given":"Mengzhen"},{"family":</w:instrText>
            </w:r>
            <w:r w:rsidRPr="00414C67">
              <w:rPr>
                <w:sz w:val="24"/>
                <w:szCs w:val="24"/>
                <w:lang w:val="de-DE" w:eastAsia="zh-CN"/>
              </w:rPr>
              <w:instrText xml:space="preserve">"Zhang","given":"Lei"},{"family":"Tian","given":"Zhenzhen"},{"family":"Liu","given":"Zhe"},{"family":"You","given":"Jinmao"}],"issued":{"date-parts":[["2019",1]]}}}],"schema":"https://github.com/citation-style-language/schema/raw/master/csl-citation.json"} </w:instrText>
            </w:r>
            <w:r w:rsidRPr="00414C67">
              <w:rPr>
                <w:sz w:val="24"/>
                <w:szCs w:val="24"/>
                <w:lang w:val="de-DE" w:eastAsia="zh-CN"/>
              </w:rPr>
              <w:fldChar w:fldCharType="separate"/>
            </w:r>
            <w:r w:rsidRPr="00414C67">
              <w:rPr>
                <w:noProof/>
                <w:sz w:val="24"/>
                <w:szCs w:val="24"/>
                <w:lang w:val="de-DE" w:eastAsia="zh-CN"/>
              </w:rPr>
              <w:t>(Gong et al., 2019)</w:t>
            </w:r>
            <w:r w:rsidRPr="00414C67">
              <w:rPr>
                <w:sz w:val="24"/>
                <w:szCs w:val="24"/>
                <w:lang w:val="de-DE" w:eastAsia="zh-CN"/>
              </w:rPr>
              <w:fldChar w:fldCharType="end"/>
            </w:r>
          </w:p>
        </w:tc>
      </w:tr>
      <w:tr w:rsidR="0067186D" w14:paraId="5E1FB7F1" w14:textId="77777777" w:rsidTr="007D67B7">
        <w:tc>
          <w:tcPr>
            <w:tcW w:w="2411" w:type="dxa"/>
            <w:vAlign w:val="center"/>
          </w:tcPr>
          <w:p w14:paraId="7EF5F2ED" w14:textId="186E98E9" w:rsidR="0067186D" w:rsidRDefault="00414C67" w:rsidP="00414C67">
            <w:pPr>
              <w:jc w:val="center"/>
              <w:rPr>
                <w:sz w:val="24"/>
              </w:rPr>
            </w:pPr>
            <w:r w:rsidRPr="00414C67">
              <w:rPr>
                <w:sz w:val="24"/>
              </w:rPr>
              <w:t>Cysteine</w:t>
            </w:r>
            <w:r w:rsidR="003553EE">
              <w:rPr>
                <w:sz w:val="24"/>
              </w:rPr>
              <w:t>,</w:t>
            </w:r>
          </w:p>
          <w:p w14:paraId="05F2FD76" w14:textId="03B9837D" w:rsidR="00414C67" w:rsidRPr="00414C67" w:rsidRDefault="00414C67" w:rsidP="00414C67">
            <w:pPr>
              <w:jc w:val="center"/>
              <w:rPr>
                <w:sz w:val="24"/>
                <w:szCs w:val="24"/>
                <w:lang w:val="de-DE" w:eastAsia="zh-CN"/>
              </w:rPr>
            </w:pPr>
            <w:r w:rsidRPr="00414C67">
              <w:rPr>
                <w:sz w:val="24"/>
              </w:rPr>
              <w:t>CuCl</w:t>
            </w:r>
            <w:r w:rsidRPr="00414C67">
              <w:rPr>
                <w:sz w:val="24"/>
                <w:vertAlign w:val="subscript"/>
              </w:rPr>
              <w:t>2</w:t>
            </w:r>
          </w:p>
        </w:tc>
        <w:tc>
          <w:tcPr>
            <w:tcW w:w="1843" w:type="dxa"/>
            <w:vAlign w:val="center"/>
          </w:tcPr>
          <w:p w14:paraId="55F257C8" w14:textId="77E3A9F5" w:rsidR="00414C67" w:rsidRPr="00414C67" w:rsidRDefault="00414C67" w:rsidP="00414C67">
            <w:pPr>
              <w:jc w:val="center"/>
              <w:rPr>
                <w:sz w:val="24"/>
                <w:szCs w:val="24"/>
                <w:lang w:val="de-DE" w:eastAsia="zh-CN"/>
              </w:rPr>
            </w:pPr>
            <w:r w:rsidRPr="00414C67">
              <w:rPr>
                <w:sz w:val="24"/>
              </w:rPr>
              <w:t>Hydrothermal method</w:t>
            </w:r>
          </w:p>
        </w:tc>
        <w:tc>
          <w:tcPr>
            <w:tcW w:w="2126" w:type="dxa"/>
            <w:vAlign w:val="center"/>
          </w:tcPr>
          <w:p w14:paraId="4D1E6B2C" w14:textId="0D5E40CA" w:rsidR="00414C67" w:rsidRPr="00414C67" w:rsidRDefault="00414C67" w:rsidP="00414C67">
            <w:pPr>
              <w:jc w:val="center"/>
              <w:rPr>
                <w:sz w:val="24"/>
                <w:szCs w:val="24"/>
                <w:lang w:val="de-DE" w:eastAsia="zh-CN"/>
              </w:rPr>
            </w:pPr>
            <w:r w:rsidRPr="00414C67">
              <w:rPr>
                <w:sz w:val="24"/>
              </w:rPr>
              <w:t>150 °C</w:t>
            </w:r>
            <w:r w:rsidR="0067186D">
              <w:rPr>
                <w:rFonts w:hint="eastAsia"/>
                <w:sz w:val="24"/>
              </w:rPr>
              <w:t>,</w:t>
            </w:r>
            <w:r w:rsidR="0067186D">
              <w:rPr>
                <w:sz w:val="24"/>
              </w:rPr>
              <w:t xml:space="preserve"> </w:t>
            </w:r>
            <w:r w:rsidRPr="00414C67">
              <w:rPr>
                <w:sz w:val="24"/>
              </w:rPr>
              <w:t>21 h</w:t>
            </w:r>
          </w:p>
        </w:tc>
        <w:tc>
          <w:tcPr>
            <w:tcW w:w="1559" w:type="dxa"/>
            <w:vAlign w:val="center"/>
          </w:tcPr>
          <w:p w14:paraId="230256D2" w14:textId="23479DD6" w:rsidR="00414C67" w:rsidRPr="00414C67" w:rsidRDefault="00414C67" w:rsidP="00414C67">
            <w:pPr>
              <w:jc w:val="center"/>
              <w:rPr>
                <w:sz w:val="24"/>
                <w:szCs w:val="24"/>
                <w:lang w:val="de-DE" w:eastAsia="zh-CN"/>
              </w:rPr>
            </w:pPr>
            <w:r w:rsidRPr="00414C67">
              <w:rPr>
                <w:sz w:val="24"/>
              </w:rPr>
              <w:t>0.5-700</w:t>
            </w:r>
          </w:p>
        </w:tc>
        <w:tc>
          <w:tcPr>
            <w:tcW w:w="1722" w:type="dxa"/>
            <w:vAlign w:val="center"/>
          </w:tcPr>
          <w:p w14:paraId="2BC975FB" w14:textId="0D7ED09E" w:rsidR="00414C67" w:rsidRPr="00414C67" w:rsidRDefault="00414C67" w:rsidP="00414C67">
            <w:pPr>
              <w:jc w:val="center"/>
              <w:rPr>
                <w:sz w:val="24"/>
                <w:szCs w:val="24"/>
                <w:lang w:val="de-DE" w:eastAsia="zh-CN"/>
              </w:rPr>
            </w:pPr>
            <w:r w:rsidRPr="00414C67">
              <w:rPr>
                <w:sz w:val="24"/>
              </w:rPr>
              <w:t>0.2</w:t>
            </w:r>
          </w:p>
        </w:tc>
        <w:tc>
          <w:tcPr>
            <w:tcW w:w="830" w:type="dxa"/>
            <w:vAlign w:val="center"/>
          </w:tcPr>
          <w:p w14:paraId="6ABFE0CB" w14:textId="72A06ABC" w:rsidR="00414C67" w:rsidRPr="00414C67" w:rsidRDefault="00414C67" w:rsidP="00414C67">
            <w:pPr>
              <w:jc w:val="center"/>
              <w:rPr>
                <w:sz w:val="24"/>
                <w:szCs w:val="24"/>
                <w:lang w:val="de-DE" w:eastAsia="zh-CN"/>
              </w:rPr>
            </w:pPr>
            <w:r w:rsidRPr="00414C67">
              <w:rPr>
                <w:sz w:val="24"/>
                <w:szCs w:val="24"/>
                <w:lang w:val="de-DE" w:eastAsia="zh-CN"/>
              </w:rPr>
              <w:fldChar w:fldCharType="begin"/>
            </w:r>
            <w:r w:rsidRPr="00414C67">
              <w:rPr>
                <w:sz w:val="24"/>
                <w:szCs w:val="24"/>
                <w:lang w:val="de-DE" w:eastAsia="zh-CN"/>
              </w:rPr>
              <w:instrText xml:space="preserve"> ADDIN ZOTERO_ITEM CSL_CITATION {"citationID":"uXRtCXnf","properties":{"formattedCitation":"(Liu et al., 2019)","plainCitation":"(Liu et al., 2019)","noteIndex":0},"citationItems":[{"id":263,"uris":["http://zotero.org/users/8969946/items/7CGTEVPS"],"itemData":{"id":263,"type":"article-journal","abstract":"A fluorescent “turn off-on” nanoprobe is described for highly sensitive and selective determination of the activity of the enzyme βglucosidase (β-Glu). Firstly, cysteine modified CuInS2 quantum dots (Cys-CuInS2 QDs) were prepared from indium(III) and copper(II) salts and the presence of thiourea. The red fluorescence of the Cys-CuInS2 QDs, with excitation/emission maxima at 590/656 nm, is quenched by Cu(II). However, in the presence of β-Glu and the cyanogenic glycoside, enzymatic hydrolysis leads to the formation of cyanide. The latter competitively binds to Cu(II) owing to its high affinity for cyanide. This restores the fluorescence of the Cys-CuInS2 QDs. Under the optimum conditions, fluorescence increases linearly in the 0.5–700 U·L−1 β-Glu activity range. The detection limit is 0.2 U·L−1. The nanoprobe was applied to analyze spiked soil samples, and satisfactory results were obtained. The average recoveries of β-Glu were in the range of 96–103%, an</w:instrText>
            </w:r>
            <w:r w:rsidRPr="00414C67">
              <w:rPr>
                <w:rFonts w:hint="eastAsia"/>
                <w:sz w:val="24"/>
                <w:szCs w:val="24"/>
                <w:lang w:val="de-DE" w:eastAsia="zh-CN"/>
              </w:rPr>
              <w:instrText xml:space="preserve">d the RSD was lower than 4.0%. The fluorescent probe can also be used to screen for </w:instrText>
            </w:r>
            <w:r w:rsidRPr="00414C67">
              <w:rPr>
                <w:rFonts w:hint="eastAsia"/>
                <w:sz w:val="24"/>
                <w:szCs w:val="24"/>
                <w:lang w:val="de-DE" w:eastAsia="zh-CN"/>
              </w:rPr>
              <w:instrText>β</w:instrText>
            </w:r>
            <w:r w:rsidRPr="00414C67">
              <w:rPr>
                <w:rFonts w:hint="eastAsia"/>
                <w:sz w:val="24"/>
                <w:szCs w:val="24"/>
                <w:lang w:val="de-DE" w:eastAsia="zh-CN"/>
              </w:rPr>
              <w:instrText>-Glu inhibitors as demonstrated for castanospermine as an example.\n\n</w:instrText>
            </w:r>
            <w:r w:rsidRPr="00414C67">
              <w:rPr>
                <w:rFonts w:hint="eastAsia"/>
                <w:sz w:val="24"/>
                <w:szCs w:val="24"/>
                <w:lang w:val="de-DE" w:eastAsia="zh-CN"/>
              </w:rPr>
              <w:instrText>【摘要翻译】描述了一种荧光“关闭</w:instrText>
            </w:r>
            <w:r w:rsidRPr="00414C67">
              <w:rPr>
                <w:rFonts w:hint="eastAsia"/>
                <w:sz w:val="24"/>
                <w:szCs w:val="24"/>
                <w:lang w:val="de-DE" w:eastAsia="zh-CN"/>
              </w:rPr>
              <w:instrText>-</w:instrText>
            </w:r>
            <w:r w:rsidRPr="00414C67">
              <w:rPr>
                <w:rFonts w:hint="eastAsia"/>
                <w:sz w:val="24"/>
                <w:szCs w:val="24"/>
                <w:lang w:val="de-DE" w:eastAsia="zh-CN"/>
              </w:rPr>
              <w:instrText>打开”纳米探针，用于高灵敏度和选择性地测定β</w:instrText>
            </w:r>
            <w:r w:rsidRPr="00414C67">
              <w:rPr>
                <w:rFonts w:hint="eastAsia"/>
                <w:sz w:val="24"/>
                <w:szCs w:val="24"/>
                <w:lang w:val="de-DE" w:eastAsia="zh-CN"/>
              </w:rPr>
              <w:instrText>-</w:instrText>
            </w:r>
            <w:r w:rsidRPr="00414C67">
              <w:rPr>
                <w:rFonts w:hint="eastAsia"/>
                <w:sz w:val="24"/>
                <w:szCs w:val="24"/>
                <w:lang w:val="de-DE" w:eastAsia="zh-CN"/>
              </w:rPr>
              <w:instrText>葡萄糖苷酶（β</w:instrText>
            </w:r>
            <w:r w:rsidRPr="00414C67">
              <w:rPr>
                <w:rFonts w:hint="eastAsia"/>
                <w:sz w:val="24"/>
                <w:szCs w:val="24"/>
                <w:lang w:val="de-DE" w:eastAsia="zh-CN"/>
              </w:rPr>
              <w:instrText>-Glu</w:instrText>
            </w:r>
            <w:r w:rsidRPr="00414C67">
              <w:rPr>
                <w:rFonts w:hint="eastAsia"/>
                <w:sz w:val="24"/>
                <w:szCs w:val="24"/>
                <w:lang w:val="de-DE" w:eastAsia="zh-CN"/>
              </w:rPr>
              <w:instrText>）的活性。首先，在硫脲的存在下，从铟（</w:instrText>
            </w:r>
            <w:r w:rsidRPr="00414C67">
              <w:rPr>
                <w:rFonts w:hint="eastAsia"/>
                <w:sz w:val="24"/>
                <w:szCs w:val="24"/>
                <w:lang w:val="de-DE" w:eastAsia="zh-CN"/>
              </w:rPr>
              <w:instrText>III</w:instrText>
            </w:r>
            <w:r w:rsidRPr="00414C67">
              <w:rPr>
                <w:rFonts w:hint="eastAsia"/>
                <w:sz w:val="24"/>
                <w:szCs w:val="24"/>
                <w:lang w:val="de-DE" w:eastAsia="zh-CN"/>
              </w:rPr>
              <w:instrText>）和铜（</w:instrText>
            </w:r>
            <w:r w:rsidRPr="00414C67">
              <w:rPr>
                <w:rFonts w:hint="eastAsia"/>
                <w:sz w:val="24"/>
                <w:szCs w:val="24"/>
                <w:lang w:val="de-DE" w:eastAsia="zh-CN"/>
              </w:rPr>
              <w:instrText>II</w:instrText>
            </w:r>
            <w:r w:rsidRPr="00414C67">
              <w:rPr>
                <w:rFonts w:hint="eastAsia"/>
                <w:sz w:val="24"/>
                <w:szCs w:val="24"/>
                <w:lang w:val="de-DE" w:eastAsia="zh-CN"/>
              </w:rPr>
              <w:instrText>）盐制备了半胱氨酸修饰的</w:instrText>
            </w:r>
            <w:r w:rsidRPr="00414C67">
              <w:rPr>
                <w:rFonts w:hint="eastAsia"/>
                <w:sz w:val="24"/>
                <w:szCs w:val="24"/>
                <w:lang w:val="de-DE" w:eastAsia="zh-CN"/>
              </w:rPr>
              <w:instrText>CuINS 2</w:instrText>
            </w:r>
            <w:r w:rsidRPr="00414C67">
              <w:rPr>
                <w:rFonts w:hint="eastAsia"/>
                <w:sz w:val="24"/>
                <w:szCs w:val="24"/>
                <w:lang w:val="de-DE" w:eastAsia="zh-CN"/>
              </w:rPr>
              <w:instrText>量子点（</w:instrText>
            </w:r>
            <w:r w:rsidRPr="00414C67">
              <w:rPr>
                <w:rFonts w:hint="eastAsia"/>
                <w:sz w:val="24"/>
                <w:szCs w:val="24"/>
                <w:lang w:val="de-DE" w:eastAsia="zh-CN"/>
              </w:rPr>
              <w:instrText>Cys-CuINS 2</w:instrText>
            </w:r>
            <w:r w:rsidRPr="00414C67">
              <w:rPr>
                <w:rFonts w:hint="eastAsia"/>
                <w:sz w:val="24"/>
                <w:szCs w:val="24"/>
                <w:lang w:val="de-DE" w:eastAsia="zh-CN"/>
              </w:rPr>
              <w:instrText>量子点）。</w:instrText>
            </w:r>
            <w:r w:rsidRPr="00414C67">
              <w:rPr>
                <w:rFonts w:hint="eastAsia"/>
                <w:sz w:val="24"/>
                <w:szCs w:val="24"/>
                <w:lang w:val="de-DE" w:eastAsia="zh-CN"/>
              </w:rPr>
              <w:instrText>Cys-CuIns 2</w:instrText>
            </w:r>
            <w:r w:rsidRPr="00414C67">
              <w:rPr>
                <w:rFonts w:hint="eastAsia"/>
                <w:sz w:val="24"/>
                <w:szCs w:val="24"/>
                <w:lang w:val="de-DE" w:eastAsia="zh-CN"/>
              </w:rPr>
              <w:instrText>量子点的红色荧光被</w:instrText>
            </w:r>
            <w:r w:rsidRPr="00414C67">
              <w:rPr>
                <w:rFonts w:hint="eastAsia"/>
                <w:sz w:val="24"/>
                <w:szCs w:val="24"/>
                <w:lang w:val="de-DE" w:eastAsia="zh-CN"/>
              </w:rPr>
              <w:instrText>Cu</w:instrText>
            </w:r>
            <w:r w:rsidRPr="00414C67">
              <w:rPr>
                <w:rFonts w:hint="eastAsia"/>
                <w:sz w:val="24"/>
                <w:szCs w:val="24"/>
                <w:lang w:val="de-DE" w:eastAsia="zh-CN"/>
              </w:rPr>
              <w:instrText>（</w:instrText>
            </w:r>
            <w:r w:rsidRPr="00414C67">
              <w:rPr>
                <w:rFonts w:hint="eastAsia"/>
                <w:sz w:val="24"/>
                <w:szCs w:val="24"/>
                <w:lang w:val="de-DE" w:eastAsia="zh-CN"/>
              </w:rPr>
              <w:instrText>II</w:instrText>
            </w:r>
            <w:r w:rsidRPr="00414C67">
              <w:rPr>
                <w:rFonts w:hint="eastAsia"/>
                <w:sz w:val="24"/>
                <w:szCs w:val="24"/>
                <w:lang w:val="de-DE" w:eastAsia="zh-CN"/>
              </w:rPr>
              <w:instrText>）猝灭，激发</w:instrText>
            </w:r>
            <w:r w:rsidRPr="00414C67">
              <w:rPr>
                <w:rFonts w:hint="eastAsia"/>
                <w:sz w:val="24"/>
                <w:szCs w:val="24"/>
                <w:lang w:val="de-DE" w:eastAsia="zh-CN"/>
              </w:rPr>
              <w:instrText>/</w:instrText>
            </w:r>
            <w:r w:rsidRPr="00414C67">
              <w:rPr>
                <w:rFonts w:hint="eastAsia"/>
                <w:sz w:val="24"/>
                <w:szCs w:val="24"/>
                <w:lang w:val="de-DE" w:eastAsia="zh-CN"/>
              </w:rPr>
              <w:instrText>发射最大值在</w:instrText>
            </w:r>
            <w:r w:rsidRPr="00414C67">
              <w:rPr>
                <w:rFonts w:hint="eastAsia"/>
                <w:sz w:val="24"/>
                <w:szCs w:val="24"/>
                <w:lang w:val="de-DE" w:eastAsia="zh-CN"/>
              </w:rPr>
              <w:instrText>590/656nm</w:instrText>
            </w:r>
            <w:r w:rsidRPr="00414C67">
              <w:rPr>
                <w:rFonts w:hint="eastAsia"/>
                <w:sz w:val="24"/>
                <w:szCs w:val="24"/>
                <w:lang w:val="de-DE" w:eastAsia="zh-CN"/>
              </w:rPr>
              <w:instrText>。然而，在β</w:instrText>
            </w:r>
            <w:r w:rsidRPr="00414C67">
              <w:rPr>
                <w:rFonts w:hint="eastAsia"/>
                <w:sz w:val="24"/>
                <w:szCs w:val="24"/>
                <w:lang w:val="de-DE" w:eastAsia="zh-CN"/>
              </w:rPr>
              <w:instrText>-Glu</w:instrText>
            </w:r>
            <w:r w:rsidRPr="00414C67">
              <w:rPr>
                <w:rFonts w:hint="eastAsia"/>
                <w:sz w:val="24"/>
                <w:szCs w:val="24"/>
                <w:lang w:val="de-DE" w:eastAsia="zh-CN"/>
              </w:rPr>
              <w:instrText>和生氰糖苷存在下，酶水解导致氰化物的形成。后者由于其对氰化物的高亲和力而与</w:instrText>
            </w:r>
            <w:r w:rsidRPr="00414C67">
              <w:rPr>
                <w:rFonts w:hint="eastAsia"/>
                <w:sz w:val="24"/>
                <w:szCs w:val="24"/>
                <w:lang w:val="de-DE" w:eastAsia="zh-CN"/>
              </w:rPr>
              <w:instrText>Cu</w:instrText>
            </w:r>
            <w:r w:rsidRPr="00414C67">
              <w:rPr>
                <w:rFonts w:hint="eastAsia"/>
                <w:sz w:val="24"/>
                <w:szCs w:val="24"/>
                <w:lang w:val="de-DE" w:eastAsia="zh-CN"/>
              </w:rPr>
              <w:instrText>（</w:instrText>
            </w:r>
            <w:r w:rsidRPr="00414C67">
              <w:rPr>
                <w:rFonts w:hint="eastAsia"/>
                <w:sz w:val="24"/>
                <w:szCs w:val="24"/>
                <w:lang w:val="de-DE" w:eastAsia="zh-CN"/>
              </w:rPr>
              <w:instrText>II</w:instrText>
            </w:r>
            <w:r w:rsidRPr="00414C67">
              <w:rPr>
                <w:rFonts w:hint="eastAsia"/>
                <w:sz w:val="24"/>
                <w:szCs w:val="24"/>
                <w:lang w:val="de-DE" w:eastAsia="zh-CN"/>
              </w:rPr>
              <w:instrText>）竞争性结合。这恢复了</w:instrText>
            </w:r>
            <w:r w:rsidRPr="00414C67">
              <w:rPr>
                <w:rFonts w:hint="eastAsia"/>
                <w:sz w:val="24"/>
                <w:szCs w:val="24"/>
                <w:lang w:val="de-DE" w:eastAsia="zh-CN"/>
              </w:rPr>
              <w:instrText>Cys-Cuins 2</w:instrText>
            </w:r>
            <w:r w:rsidRPr="00414C67">
              <w:rPr>
                <w:rFonts w:hint="eastAsia"/>
                <w:sz w:val="24"/>
                <w:szCs w:val="24"/>
                <w:lang w:val="de-DE" w:eastAsia="zh-CN"/>
              </w:rPr>
              <w:instrText>量子点的荧光。在最佳条件下，荧光在</w:instrText>
            </w:r>
            <w:r w:rsidRPr="00414C67">
              <w:rPr>
                <w:rFonts w:hint="eastAsia"/>
                <w:sz w:val="24"/>
                <w:szCs w:val="24"/>
                <w:lang w:val="de-DE" w:eastAsia="zh-CN"/>
              </w:rPr>
              <w:instrText>0.5-700U</w:instrText>
            </w:r>
            <w:r w:rsidRPr="00414C67">
              <w:rPr>
                <w:rFonts w:hint="eastAsia"/>
                <w:sz w:val="24"/>
                <w:szCs w:val="24"/>
                <w:lang w:val="de-DE" w:eastAsia="zh-CN"/>
              </w:rPr>
              <w:instrText>·</w:instrText>
            </w:r>
            <w:r w:rsidRPr="00414C67">
              <w:rPr>
                <w:rFonts w:hint="eastAsia"/>
                <w:sz w:val="24"/>
                <w:szCs w:val="24"/>
                <w:lang w:val="de-DE" w:eastAsia="zh-CN"/>
              </w:rPr>
              <w:instrText xml:space="preserve">L-1 </w:instrText>
            </w:r>
            <w:r w:rsidRPr="00414C67">
              <w:rPr>
                <w:rFonts w:hint="eastAsia"/>
                <w:sz w:val="24"/>
                <w:szCs w:val="24"/>
                <w:lang w:val="de-DE" w:eastAsia="zh-CN"/>
              </w:rPr>
              <w:instrText>β</w:instrText>
            </w:r>
            <w:r w:rsidRPr="00414C67">
              <w:rPr>
                <w:rFonts w:hint="eastAsia"/>
                <w:sz w:val="24"/>
                <w:szCs w:val="24"/>
                <w:lang w:val="de-DE" w:eastAsia="zh-CN"/>
              </w:rPr>
              <w:instrText>-Glu</w:instrText>
            </w:r>
            <w:r w:rsidRPr="00414C67">
              <w:rPr>
                <w:rFonts w:hint="eastAsia"/>
                <w:sz w:val="24"/>
                <w:szCs w:val="24"/>
                <w:lang w:val="de-DE" w:eastAsia="zh-CN"/>
              </w:rPr>
              <w:instrText>活性范围内线性增加。检测限为</w:instrText>
            </w:r>
            <w:r w:rsidRPr="00414C67">
              <w:rPr>
                <w:rFonts w:hint="eastAsia"/>
                <w:sz w:val="24"/>
                <w:szCs w:val="24"/>
                <w:lang w:val="de-DE" w:eastAsia="zh-CN"/>
              </w:rPr>
              <w:instrText>0.2U L1</w:instrText>
            </w:r>
            <w:r w:rsidRPr="00414C67">
              <w:rPr>
                <w:rFonts w:hint="eastAsia"/>
                <w:sz w:val="24"/>
                <w:szCs w:val="24"/>
                <w:lang w:val="de-DE" w:eastAsia="zh-CN"/>
              </w:rPr>
              <w:instrText>。将纳米探针应用于掺入土壤样品的分析，获得了满意的结果。β</w:instrText>
            </w:r>
            <w:r w:rsidRPr="00414C67">
              <w:rPr>
                <w:rFonts w:hint="eastAsia"/>
                <w:sz w:val="24"/>
                <w:szCs w:val="24"/>
                <w:lang w:val="de-DE" w:eastAsia="zh-CN"/>
              </w:rPr>
              <w:instrText>-Glu</w:instrText>
            </w:r>
            <w:r w:rsidRPr="00414C67">
              <w:rPr>
                <w:rFonts w:hint="eastAsia"/>
                <w:sz w:val="24"/>
                <w:szCs w:val="24"/>
                <w:lang w:val="de-DE" w:eastAsia="zh-CN"/>
              </w:rPr>
              <w:instrText>的平均回收率在</w:instrText>
            </w:r>
            <w:r w:rsidRPr="00414C67">
              <w:rPr>
                <w:rFonts w:hint="eastAsia"/>
                <w:sz w:val="24"/>
                <w:szCs w:val="24"/>
                <w:lang w:val="de-DE" w:eastAsia="zh-CN"/>
              </w:rPr>
              <w:instrText>96~103%</w:instrText>
            </w:r>
            <w:r w:rsidRPr="00414C67">
              <w:rPr>
                <w:rFonts w:hint="eastAsia"/>
                <w:sz w:val="24"/>
                <w:szCs w:val="24"/>
                <w:lang w:val="de-DE" w:eastAsia="zh-CN"/>
              </w:rPr>
              <w:instrText>之间，相对标准偏差小于</w:instrText>
            </w:r>
            <w:r w:rsidRPr="00414C67">
              <w:rPr>
                <w:rFonts w:hint="eastAsia"/>
                <w:sz w:val="24"/>
                <w:szCs w:val="24"/>
                <w:lang w:val="de-DE" w:eastAsia="zh-CN"/>
              </w:rPr>
              <w:instrText>4.0%</w:instrText>
            </w:r>
            <w:r w:rsidRPr="00414C67">
              <w:rPr>
                <w:rFonts w:hint="eastAsia"/>
                <w:sz w:val="24"/>
                <w:szCs w:val="24"/>
                <w:lang w:val="de-DE" w:eastAsia="zh-CN"/>
              </w:rPr>
              <w:instrText>。荧光探针也可用于β</w:instrText>
            </w:r>
            <w:r w:rsidRPr="00414C67">
              <w:rPr>
                <w:rFonts w:hint="eastAsia"/>
                <w:sz w:val="24"/>
                <w:szCs w:val="24"/>
                <w:lang w:val="de-DE" w:eastAsia="zh-CN"/>
              </w:rPr>
              <w:instrText>-Glu</w:instrText>
            </w:r>
            <w:r w:rsidRPr="00414C67">
              <w:rPr>
                <w:rFonts w:hint="eastAsia"/>
                <w:sz w:val="24"/>
                <w:szCs w:val="24"/>
                <w:lang w:val="de-DE" w:eastAsia="zh-CN"/>
              </w:rPr>
              <w:instrText>抑制剂的筛选，如栗子碱所示。</w:instrText>
            </w:r>
            <w:r w:rsidRPr="00414C67">
              <w:rPr>
                <w:rFonts w:hint="eastAsia"/>
                <w:sz w:val="24"/>
                <w:szCs w:val="24"/>
                <w:lang w:val="de-DE" w:eastAsia="zh-CN"/>
              </w:rPr>
              <w:instrText xml:space="preserve">","call-number":"5.833","container-title":"Microchimica Acta","DOI":"10.1007/s00604-019-3918-3","ISSN":"0026-3672, 1436-5073","issue":"12","journalAbbreviation":"Microchim Acta","language":"en","page":"806","source":"2","title":"A </w:instrText>
            </w:r>
            <w:r w:rsidRPr="00414C67">
              <w:rPr>
                <w:rFonts w:hint="eastAsia"/>
                <w:sz w:val="24"/>
                <w:szCs w:val="24"/>
                <w:lang w:val="de-DE" w:eastAsia="zh-CN"/>
              </w:rPr>
              <w:instrText>“</w:instrText>
            </w:r>
            <w:r w:rsidRPr="00414C67">
              <w:rPr>
                <w:rFonts w:hint="eastAsia"/>
                <w:sz w:val="24"/>
                <w:szCs w:val="24"/>
                <w:lang w:val="de-DE" w:eastAsia="zh-CN"/>
              </w:rPr>
              <w:instrText>turn off-on</w:instrText>
            </w:r>
            <w:r w:rsidRPr="00414C67">
              <w:rPr>
                <w:rFonts w:hint="eastAsia"/>
                <w:sz w:val="24"/>
                <w:szCs w:val="24"/>
                <w:lang w:val="de-DE" w:eastAsia="zh-CN"/>
              </w:rPr>
              <w:instrText>”</w:instrText>
            </w:r>
            <w:r w:rsidRPr="00414C67">
              <w:rPr>
                <w:rFonts w:hint="eastAsia"/>
                <w:sz w:val="24"/>
                <w:szCs w:val="24"/>
                <w:lang w:val="de-DE" w:eastAsia="zh-CN"/>
              </w:rPr>
              <w:instrText xml:space="preserve"> fluorescent nanoprobe consisting of CuInS2 quantum dots for determination of the activity of </w:instrText>
            </w:r>
            <w:r w:rsidRPr="00414C67">
              <w:rPr>
                <w:rFonts w:hint="eastAsia"/>
                <w:sz w:val="24"/>
                <w:szCs w:val="24"/>
                <w:lang w:val="de-DE" w:eastAsia="zh-CN"/>
              </w:rPr>
              <w:instrText>β</w:instrText>
            </w:r>
            <w:r w:rsidRPr="00414C67">
              <w:rPr>
                <w:rFonts w:hint="eastAsia"/>
                <w:sz w:val="24"/>
                <w:szCs w:val="24"/>
                <w:lang w:val="de-DE" w:eastAsia="zh-CN"/>
              </w:rPr>
              <w:instrText>-glucosidase and for inhibitor screening","title-short":"CuInS2</w:instrText>
            </w:r>
            <w:r w:rsidRPr="00414C67">
              <w:rPr>
                <w:rFonts w:hint="eastAsia"/>
                <w:sz w:val="24"/>
                <w:szCs w:val="24"/>
                <w:lang w:val="de-DE" w:eastAsia="zh-CN"/>
              </w:rPr>
              <w:instrText>量子点荧光纳米探针用于β</w:instrText>
            </w:r>
            <w:r w:rsidRPr="00414C67">
              <w:rPr>
                <w:rFonts w:hint="eastAsia"/>
                <w:sz w:val="24"/>
                <w:szCs w:val="24"/>
                <w:lang w:val="de-DE" w:eastAsia="zh-CN"/>
              </w:rPr>
              <w:instrText>-</w:instrText>
            </w:r>
            <w:r w:rsidRPr="00414C67">
              <w:rPr>
                <w:rFonts w:hint="eastAsia"/>
                <w:sz w:val="24"/>
                <w:szCs w:val="24"/>
                <w:lang w:val="de-DE" w:eastAsia="zh-CN"/>
              </w:rPr>
              <w:instrText>葡萄糖苷酶</w:instrText>
            </w:r>
            <w:r w:rsidRPr="00414C67">
              <w:rPr>
                <w:rFonts w:hint="eastAsia"/>
                <w:sz w:val="24"/>
                <w:szCs w:val="24"/>
                <w:lang w:val="de-DE" w:eastAsia="zh-CN"/>
              </w:rPr>
              <w:instrText xml:space="preserve"> </w:instrText>
            </w:r>
            <w:r w:rsidRPr="00414C67">
              <w:rPr>
                <w:rFonts w:hint="eastAsia"/>
                <w:sz w:val="24"/>
                <w:szCs w:val="24"/>
                <w:lang w:val="de-DE" w:eastAsia="zh-CN"/>
              </w:rPr>
              <w:instrText>活性测定和抑制剂筛选</w:instrText>
            </w:r>
            <w:r w:rsidRPr="00414C67">
              <w:rPr>
                <w:rFonts w:hint="eastAsia"/>
                <w:sz w:val="24"/>
                <w:szCs w:val="24"/>
                <w:lang w:val="de-DE" w:eastAsia="zh-CN"/>
              </w:rPr>
              <w:instrText>","volume":"186","author":[{"family":"Liu","given</w:instrText>
            </w:r>
            <w:r w:rsidRPr="00414C67">
              <w:rPr>
                <w:sz w:val="24"/>
                <w:szCs w:val="24"/>
                <w:lang w:val="de-DE" w:eastAsia="zh-CN"/>
              </w:rPr>
              <w:instrText xml:space="preserve">":"Ziping"},{"family":"Tian","given":"Ye"},{"family":"Han","given":"Yang"},{"family":"Bai","given":"Edith"},{"family":"Li","given":"Yanan"},{"family":"Xu","given":"Zhiwei"},{"family":"Liu","given":"Shasha"}],"issued":{"date-parts":[["2019",12]]}}}],"schema":"https://github.com/citation-style-language/schema/raw/master/csl-citation.json"} </w:instrText>
            </w:r>
            <w:r w:rsidRPr="00414C67">
              <w:rPr>
                <w:sz w:val="24"/>
                <w:szCs w:val="24"/>
                <w:lang w:val="de-DE" w:eastAsia="zh-CN"/>
              </w:rPr>
              <w:fldChar w:fldCharType="separate"/>
            </w:r>
            <w:r w:rsidRPr="00414C67">
              <w:rPr>
                <w:noProof/>
                <w:sz w:val="24"/>
                <w:szCs w:val="24"/>
                <w:lang w:val="de-DE" w:eastAsia="zh-CN"/>
              </w:rPr>
              <w:t>(Liu et al., 2019)</w:t>
            </w:r>
            <w:r w:rsidRPr="00414C67">
              <w:rPr>
                <w:sz w:val="24"/>
                <w:szCs w:val="24"/>
                <w:lang w:val="de-DE" w:eastAsia="zh-CN"/>
              </w:rPr>
              <w:fldChar w:fldCharType="end"/>
            </w:r>
          </w:p>
        </w:tc>
      </w:tr>
      <w:tr w:rsidR="0067186D" w14:paraId="7226B91E" w14:textId="77777777" w:rsidTr="007D67B7">
        <w:tc>
          <w:tcPr>
            <w:tcW w:w="2411" w:type="dxa"/>
            <w:vAlign w:val="center"/>
          </w:tcPr>
          <w:p w14:paraId="01E07D7C" w14:textId="0BAE7920" w:rsidR="00414C67" w:rsidRPr="00414C67" w:rsidRDefault="00414C67" w:rsidP="00414C67">
            <w:pPr>
              <w:jc w:val="center"/>
              <w:rPr>
                <w:sz w:val="24"/>
                <w:szCs w:val="24"/>
                <w:lang w:val="de-DE" w:eastAsia="zh-CN"/>
              </w:rPr>
            </w:pPr>
            <w:r w:rsidRPr="00414C67">
              <w:rPr>
                <w:sz w:val="24"/>
              </w:rPr>
              <w:t>Ganpu tea</w:t>
            </w:r>
          </w:p>
        </w:tc>
        <w:tc>
          <w:tcPr>
            <w:tcW w:w="1843" w:type="dxa"/>
            <w:vAlign w:val="center"/>
          </w:tcPr>
          <w:p w14:paraId="1C3AA4DD" w14:textId="30DB2C6B" w:rsidR="00414C67" w:rsidRPr="00414C67" w:rsidRDefault="00414C67" w:rsidP="00414C67">
            <w:pPr>
              <w:jc w:val="center"/>
              <w:rPr>
                <w:sz w:val="24"/>
                <w:szCs w:val="24"/>
                <w:lang w:val="de-DE" w:eastAsia="zh-CN"/>
              </w:rPr>
            </w:pPr>
            <w:r w:rsidRPr="00414C67">
              <w:rPr>
                <w:sz w:val="24"/>
              </w:rPr>
              <w:t>Self-exothermic reaction</w:t>
            </w:r>
          </w:p>
        </w:tc>
        <w:tc>
          <w:tcPr>
            <w:tcW w:w="2126" w:type="dxa"/>
            <w:vAlign w:val="center"/>
          </w:tcPr>
          <w:p w14:paraId="10D36937" w14:textId="73E842F9" w:rsidR="00414C67" w:rsidRPr="00414C67" w:rsidRDefault="00414C67" w:rsidP="00414C67">
            <w:pPr>
              <w:jc w:val="center"/>
              <w:rPr>
                <w:sz w:val="24"/>
                <w:szCs w:val="24"/>
                <w:lang w:val="de-DE" w:eastAsia="zh-CN"/>
              </w:rPr>
            </w:pPr>
            <w:r w:rsidRPr="00414C67">
              <w:rPr>
                <w:sz w:val="24"/>
              </w:rPr>
              <w:t>Room temperature,</w:t>
            </w:r>
            <w:r w:rsidR="0067186D">
              <w:rPr>
                <w:sz w:val="24"/>
              </w:rPr>
              <w:t xml:space="preserve"> </w:t>
            </w:r>
            <w:r w:rsidRPr="00414C67">
              <w:rPr>
                <w:sz w:val="24"/>
              </w:rPr>
              <w:t>5 min</w:t>
            </w:r>
          </w:p>
        </w:tc>
        <w:tc>
          <w:tcPr>
            <w:tcW w:w="1559" w:type="dxa"/>
            <w:vAlign w:val="center"/>
          </w:tcPr>
          <w:p w14:paraId="19780C91" w14:textId="551607E0" w:rsidR="00414C67" w:rsidRPr="00414C67" w:rsidRDefault="00414C67" w:rsidP="00414C67">
            <w:pPr>
              <w:jc w:val="center"/>
              <w:rPr>
                <w:sz w:val="24"/>
                <w:szCs w:val="24"/>
                <w:lang w:val="de-DE" w:eastAsia="zh-CN"/>
              </w:rPr>
            </w:pPr>
            <w:r w:rsidRPr="00414C67">
              <w:rPr>
                <w:sz w:val="24"/>
              </w:rPr>
              <w:t>0.1-20</w:t>
            </w:r>
          </w:p>
        </w:tc>
        <w:tc>
          <w:tcPr>
            <w:tcW w:w="1722" w:type="dxa"/>
            <w:vAlign w:val="center"/>
          </w:tcPr>
          <w:p w14:paraId="2D86E940" w14:textId="2C75092F" w:rsidR="00414C67" w:rsidRPr="00414C67" w:rsidRDefault="00414C67" w:rsidP="00414C67">
            <w:pPr>
              <w:jc w:val="center"/>
              <w:rPr>
                <w:sz w:val="24"/>
                <w:szCs w:val="24"/>
                <w:lang w:val="de-DE" w:eastAsia="zh-CN"/>
              </w:rPr>
            </w:pPr>
            <w:r w:rsidRPr="00414C67">
              <w:rPr>
                <w:sz w:val="24"/>
              </w:rPr>
              <w:t>0.074</w:t>
            </w:r>
          </w:p>
        </w:tc>
        <w:tc>
          <w:tcPr>
            <w:tcW w:w="830" w:type="dxa"/>
            <w:vAlign w:val="center"/>
          </w:tcPr>
          <w:p w14:paraId="2BAEF62C" w14:textId="749461D2" w:rsidR="00414C67" w:rsidRPr="00414C67" w:rsidRDefault="00414C67" w:rsidP="00414C67">
            <w:pPr>
              <w:jc w:val="center"/>
              <w:rPr>
                <w:sz w:val="24"/>
                <w:szCs w:val="24"/>
                <w:lang w:val="de-DE" w:eastAsia="zh-CN"/>
              </w:rPr>
            </w:pPr>
            <w:r w:rsidRPr="00414C67">
              <w:rPr>
                <w:sz w:val="24"/>
                <w:szCs w:val="24"/>
                <w:lang w:val="de-DE" w:eastAsia="zh-CN"/>
              </w:rPr>
              <w:t xml:space="preserve">This </w:t>
            </w:r>
            <w:r w:rsidR="0067186D">
              <w:rPr>
                <w:sz w:val="24"/>
                <w:szCs w:val="24"/>
                <w:lang w:val="de-DE" w:eastAsia="zh-CN"/>
              </w:rPr>
              <w:t>work</w:t>
            </w:r>
          </w:p>
        </w:tc>
      </w:tr>
    </w:tbl>
    <w:p w14:paraId="60DBC907" w14:textId="002B74AB" w:rsidR="001342B3" w:rsidRDefault="001342B3" w:rsidP="00F54F19">
      <w:pPr>
        <w:pStyle w:val="1"/>
        <w:ind w:left="0" w:firstLine="0"/>
        <w:rPr>
          <w:b w:val="0"/>
          <w:bCs w:val="0"/>
          <w:lang w:val="en-US"/>
        </w:rPr>
      </w:pPr>
    </w:p>
    <w:p w14:paraId="1E2782FD" w14:textId="3703241C" w:rsidR="00F54F19" w:rsidRDefault="00F54F19" w:rsidP="00F54F19">
      <w:pPr>
        <w:pStyle w:val="1"/>
        <w:ind w:left="0" w:firstLine="0"/>
        <w:rPr>
          <w:b w:val="0"/>
          <w:bCs w:val="0"/>
          <w:lang w:val="en-US"/>
        </w:rPr>
      </w:pPr>
    </w:p>
    <w:p w14:paraId="0E8D19DF" w14:textId="56262F5E" w:rsidR="00F54F19" w:rsidRDefault="00F54F19" w:rsidP="00F54F19">
      <w:pPr>
        <w:pStyle w:val="1"/>
        <w:ind w:left="0" w:firstLine="0"/>
        <w:rPr>
          <w:b w:val="0"/>
          <w:bCs w:val="0"/>
          <w:lang w:val="en-US"/>
        </w:rPr>
      </w:pPr>
    </w:p>
    <w:p w14:paraId="11F3FB33" w14:textId="77777777" w:rsidR="00F54F19" w:rsidRDefault="00F54F19" w:rsidP="00F54F19">
      <w:pPr>
        <w:pStyle w:val="1"/>
        <w:ind w:left="0" w:firstLine="0"/>
        <w:rPr>
          <w:rFonts w:hint="eastAsia"/>
          <w:b w:val="0"/>
          <w:bCs w:val="0"/>
          <w:lang w:val="en-US"/>
        </w:rPr>
      </w:pPr>
    </w:p>
    <w:p w14:paraId="5C15E57A" w14:textId="4F116C09" w:rsidR="00F54F19" w:rsidRPr="00F54F19" w:rsidRDefault="00F54F19" w:rsidP="00F54F19">
      <w:pPr>
        <w:pStyle w:val="1"/>
        <w:ind w:left="0" w:firstLine="0"/>
        <w:jc w:val="left"/>
        <w:rPr>
          <w:rFonts w:hint="eastAsia"/>
          <w:lang w:val="en-US"/>
        </w:rPr>
      </w:pPr>
      <w:r w:rsidRPr="00F54F19">
        <w:rPr>
          <w:rFonts w:hint="eastAsia"/>
          <w:lang w:val="en-US"/>
        </w:rPr>
        <w:t>References</w:t>
      </w:r>
      <w:r w:rsidRPr="00F54F19">
        <w:rPr>
          <w:rFonts w:hint="eastAsia"/>
          <w:lang w:val="en-US"/>
        </w:rPr>
        <w:t>：</w:t>
      </w:r>
    </w:p>
    <w:p w14:paraId="52E87E17" w14:textId="4D2A0A59" w:rsidR="00414C67" w:rsidRPr="00F54F19" w:rsidRDefault="00414C67" w:rsidP="00F54F19">
      <w:pPr>
        <w:pStyle w:val="EndNoteBibliography"/>
        <w:widowControl w:val="0"/>
        <w:spacing w:line="360" w:lineRule="auto"/>
        <w:ind w:left="201" w:hangingChars="100" w:hanging="201"/>
        <w:jc w:val="both"/>
        <w:rPr>
          <w:noProof/>
          <w:sz w:val="24"/>
          <w:lang w:eastAsia="zh-CN"/>
        </w:rPr>
      </w:pPr>
      <w:r w:rsidRPr="00414C67">
        <w:rPr>
          <w:b/>
          <w:bCs/>
        </w:rPr>
        <w:fldChar w:fldCharType="begin"/>
      </w:r>
      <w:r w:rsidRPr="00414C67">
        <w:instrText xml:space="preserve"> ADDIN ZOTERO_BIBL {"uncited":[],"omitted":[],"custom":[]} CSL_BIBLIOGRAPHY </w:instrText>
      </w:r>
      <w:r w:rsidRPr="00414C67">
        <w:rPr>
          <w:b/>
          <w:bCs/>
        </w:rPr>
        <w:fldChar w:fldCharType="separate"/>
      </w:r>
      <w:r w:rsidRPr="00F54F19">
        <w:rPr>
          <w:noProof/>
          <w:sz w:val="24"/>
          <w:lang w:eastAsia="zh-CN"/>
        </w:rPr>
        <w:t>Gong, P., Sun, L., Wang, F., Liu, X., Yan, Z., Wang, M., Zhang, L., Tian, Z., Liu, Z., You, J., 2019. Highly fluorescent N-doped carbon dots with two-photon emission for ultrasensitive detection of tumor marker and visual monitor anticancer drug loading and delivery. Chem Eng J 356, 994–1002. https://doi.org/10.1016/j.cej.2018.09.100</w:t>
      </w:r>
    </w:p>
    <w:p w14:paraId="3C3A1FC2" w14:textId="77777777" w:rsidR="00414C67" w:rsidRPr="00F54F19" w:rsidRDefault="00414C67" w:rsidP="00F54F19">
      <w:pPr>
        <w:pStyle w:val="EndNoteBibliography"/>
        <w:widowControl w:val="0"/>
        <w:spacing w:line="360" w:lineRule="auto"/>
        <w:ind w:left="240" w:hangingChars="100" w:hanging="240"/>
        <w:jc w:val="both"/>
        <w:rPr>
          <w:noProof/>
          <w:sz w:val="24"/>
          <w:lang w:eastAsia="zh-CN"/>
        </w:rPr>
      </w:pPr>
      <w:r w:rsidRPr="00F54F19">
        <w:rPr>
          <w:noProof/>
          <w:sz w:val="24"/>
          <w:lang w:eastAsia="zh-CN"/>
        </w:rPr>
        <w:t>Kong, B., Yang, T., Hou, P., Li, C.H., Zou, H.Y., Huang, C.Z., 2020. Enzyme‐triggered fluorescence turn‐off/turn‐on of carbon dots for monitoring β‐glucosidase and its inhibitor in living cells. Luminescence 35, 222–230. https://doi.org/10.1002/bio.3717</w:t>
      </w:r>
    </w:p>
    <w:p w14:paraId="1CE1226E" w14:textId="77777777" w:rsidR="00414C67" w:rsidRPr="00F54F19" w:rsidRDefault="00414C67" w:rsidP="00F54F19">
      <w:pPr>
        <w:pStyle w:val="EndNoteBibliography"/>
        <w:widowControl w:val="0"/>
        <w:spacing w:line="360" w:lineRule="auto"/>
        <w:ind w:left="240" w:hangingChars="100" w:hanging="240"/>
        <w:jc w:val="both"/>
        <w:rPr>
          <w:noProof/>
          <w:sz w:val="24"/>
          <w:lang w:eastAsia="zh-CN"/>
        </w:rPr>
      </w:pPr>
      <w:r w:rsidRPr="00F54F19">
        <w:rPr>
          <w:noProof/>
          <w:sz w:val="24"/>
          <w:lang w:eastAsia="zh-CN"/>
        </w:rPr>
        <w:t>Liu, Z., Tian, Y., Han, Y., Bai, E., Li, Y., Xu, Z., Liu, S., 2019. A “turn off-on” fluorescent nanoprobe consisting of CuInS2 quantum dots for determination of the activity of β-glucosidase and for inhibitor screening. Microchim Acta 186, 806. https://doi.org/10.1007/s00604-019-3918-3</w:t>
      </w:r>
    </w:p>
    <w:p w14:paraId="03F29E58" w14:textId="77777777" w:rsidR="00414C67" w:rsidRPr="00414C67" w:rsidRDefault="00414C67" w:rsidP="00F54F19">
      <w:pPr>
        <w:pStyle w:val="EndNoteBibliography"/>
        <w:widowControl w:val="0"/>
        <w:spacing w:line="360" w:lineRule="auto"/>
        <w:ind w:left="240" w:hangingChars="100" w:hanging="240"/>
        <w:jc w:val="both"/>
        <w:rPr>
          <w:b/>
          <w:bCs/>
        </w:rPr>
      </w:pPr>
      <w:r w:rsidRPr="00F54F19">
        <w:rPr>
          <w:noProof/>
          <w:sz w:val="24"/>
          <w:lang w:eastAsia="zh-CN"/>
        </w:rPr>
        <w:t xml:space="preserve">Lu, S., Li, G., Lv, Z., Qiu, N., Kong, W., Gong, P., Chen, G., Xia, L., Guo, X., You, J., </w:t>
      </w:r>
      <w:r w:rsidRPr="00F54F19">
        <w:rPr>
          <w:noProof/>
          <w:sz w:val="24"/>
          <w:lang w:eastAsia="zh-CN"/>
        </w:rPr>
        <w:lastRenderedPageBreak/>
        <w:t>Wu, Y., 2016. Facile and ultrasensitive fluorescence sensor platform for tumor invasive biomaker β-glucuronidase detection and inhibitor evaluation with carbon quantum dots based on inner-filter effect. Biosens Bioelectron 85, 358–362. https://doi.org/10.1016/j.bios.2016.05.021</w:t>
      </w:r>
    </w:p>
    <w:p w14:paraId="3F4B403D" w14:textId="68078D4E" w:rsidR="00454CD5" w:rsidRPr="00414C67" w:rsidRDefault="00414C67" w:rsidP="009C07EF">
      <w:pPr>
        <w:rPr>
          <w:sz w:val="24"/>
          <w:szCs w:val="24"/>
          <w:lang w:val="de-DE" w:eastAsia="zh-CN"/>
        </w:rPr>
      </w:pPr>
      <w:r w:rsidRPr="00414C67">
        <w:rPr>
          <w:sz w:val="24"/>
          <w:szCs w:val="24"/>
          <w:lang w:val="de-DE" w:eastAsia="zh-CN"/>
        </w:rPr>
        <w:fldChar w:fldCharType="end"/>
      </w:r>
    </w:p>
    <w:sectPr w:rsidR="00454CD5" w:rsidRPr="00414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182B" w14:textId="77777777" w:rsidR="00ED771C" w:rsidRDefault="00ED771C" w:rsidP="006B2C8F">
      <w:r>
        <w:separator/>
      </w:r>
    </w:p>
  </w:endnote>
  <w:endnote w:type="continuationSeparator" w:id="0">
    <w:p w14:paraId="78E282BB" w14:textId="77777777" w:rsidR="00ED771C" w:rsidRDefault="00ED771C" w:rsidP="006B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10D7" w14:textId="77777777" w:rsidR="00ED771C" w:rsidRDefault="00ED771C" w:rsidP="006B2C8F">
      <w:r>
        <w:separator/>
      </w:r>
    </w:p>
  </w:footnote>
  <w:footnote w:type="continuationSeparator" w:id="0">
    <w:p w14:paraId="2D8510C7" w14:textId="77777777" w:rsidR="00ED771C" w:rsidRDefault="00ED771C" w:rsidP="006B2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4A97"/>
    <w:multiLevelType w:val="hybridMultilevel"/>
    <w:tmpl w:val="0D0CD3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6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B6"/>
    <w:rsid w:val="00087FBF"/>
    <w:rsid w:val="001342B3"/>
    <w:rsid w:val="003553EE"/>
    <w:rsid w:val="00383037"/>
    <w:rsid w:val="003D4EF5"/>
    <w:rsid w:val="00414C67"/>
    <w:rsid w:val="00454CD5"/>
    <w:rsid w:val="004C264A"/>
    <w:rsid w:val="004F513C"/>
    <w:rsid w:val="00516768"/>
    <w:rsid w:val="00595440"/>
    <w:rsid w:val="00605586"/>
    <w:rsid w:val="00620665"/>
    <w:rsid w:val="006643A6"/>
    <w:rsid w:val="0067186D"/>
    <w:rsid w:val="006B2C8F"/>
    <w:rsid w:val="006B44B6"/>
    <w:rsid w:val="0073455C"/>
    <w:rsid w:val="007A58E1"/>
    <w:rsid w:val="007D67B7"/>
    <w:rsid w:val="007E1195"/>
    <w:rsid w:val="00931D65"/>
    <w:rsid w:val="009C07EF"/>
    <w:rsid w:val="00AB068D"/>
    <w:rsid w:val="00B86360"/>
    <w:rsid w:val="00CA77F5"/>
    <w:rsid w:val="00D53663"/>
    <w:rsid w:val="00DB51F6"/>
    <w:rsid w:val="00ED771C"/>
    <w:rsid w:val="00F54F19"/>
    <w:rsid w:val="00FA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D177"/>
  <w15:chartTrackingRefBased/>
  <w15:docId w15:val="{EE4A218F-2383-D142-9DBF-63C1B698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4B6"/>
    <w:pPr>
      <w:jc w:val="both"/>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44B6"/>
    <w:rPr>
      <w:color w:val="0563C1"/>
      <w:u w:val="single"/>
    </w:rPr>
  </w:style>
  <w:style w:type="paragraph" w:styleId="a4">
    <w:name w:val="List Paragraph"/>
    <w:basedOn w:val="a"/>
    <w:uiPriority w:val="34"/>
    <w:qFormat/>
    <w:rsid w:val="00454CD5"/>
    <w:pPr>
      <w:ind w:firstLineChars="200" w:firstLine="420"/>
    </w:pPr>
  </w:style>
  <w:style w:type="table" w:styleId="a5">
    <w:name w:val="Table Grid"/>
    <w:basedOn w:val="a1"/>
    <w:uiPriority w:val="39"/>
    <w:rsid w:val="0041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a"/>
    <w:link w:val="Bibliography"/>
    <w:rsid w:val="00414C67"/>
    <w:pPr>
      <w:ind w:left="720" w:hanging="720"/>
    </w:pPr>
    <w:rPr>
      <w:b/>
      <w:bCs/>
      <w:sz w:val="24"/>
      <w:szCs w:val="24"/>
      <w:lang w:val="de-DE" w:eastAsia="zh-CN"/>
    </w:rPr>
  </w:style>
  <w:style w:type="character" w:customStyle="1" w:styleId="Bibliography">
    <w:name w:val="Bibliography 字符"/>
    <w:basedOn w:val="a0"/>
    <w:link w:val="1"/>
    <w:rsid w:val="00414C67"/>
    <w:rPr>
      <w:rFonts w:ascii="Times New Roman" w:eastAsia="宋体" w:hAnsi="Times New Roman" w:cs="Times New Roman"/>
      <w:b/>
      <w:bCs/>
      <w:kern w:val="0"/>
      <w:sz w:val="24"/>
      <w:lang w:val="de-DE"/>
    </w:rPr>
  </w:style>
  <w:style w:type="paragraph" w:styleId="a6">
    <w:name w:val="header"/>
    <w:basedOn w:val="a"/>
    <w:link w:val="a7"/>
    <w:uiPriority w:val="99"/>
    <w:unhideWhenUsed/>
    <w:rsid w:val="006B2C8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B2C8F"/>
    <w:rPr>
      <w:rFonts w:ascii="Times New Roman" w:eastAsia="宋体" w:hAnsi="Times New Roman" w:cs="Times New Roman"/>
      <w:kern w:val="0"/>
      <w:sz w:val="18"/>
      <w:szCs w:val="18"/>
      <w:lang w:eastAsia="en-US"/>
    </w:rPr>
  </w:style>
  <w:style w:type="paragraph" w:styleId="a8">
    <w:name w:val="footer"/>
    <w:basedOn w:val="a"/>
    <w:link w:val="a9"/>
    <w:uiPriority w:val="99"/>
    <w:unhideWhenUsed/>
    <w:rsid w:val="006B2C8F"/>
    <w:pPr>
      <w:tabs>
        <w:tab w:val="center" w:pos="4153"/>
        <w:tab w:val="right" w:pos="8306"/>
      </w:tabs>
      <w:snapToGrid w:val="0"/>
      <w:jc w:val="left"/>
    </w:pPr>
    <w:rPr>
      <w:sz w:val="18"/>
      <w:szCs w:val="18"/>
    </w:rPr>
  </w:style>
  <w:style w:type="character" w:customStyle="1" w:styleId="a9">
    <w:name w:val="页脚 字符"/>
    <w:basedOn w:val="a0"/>
    <w:link w:val="a8"/>
    <w:uiPriority w:val="99"/>
    <w:rsid w:val="006B2C8F"/>
    <w:rPr>
      <w:rFonts w:ascii="Times New Roman" w:eastAsia="宋体" w:hAnsi="Times New Roman" w:cs="Times New Roman"/>
      <w:kern w:val="0"/>
      <w:sz w:val="18"/>
      <w:szCs w:val="18"/>
      <w:lang w:eastAsia="en-US"/>
    </w:rPr>
  </w:style>
  <w:style w:type="paragraph" w:customStyle="1" w:styleId="EndNoteBibliography">
    <w:name w:val="EndNote Bibliography"/>
    <w:basedOn w:val="a"/>
    <w:link w:val="EndNoteBibliography0"/>
    <w:rsid w:val="00F54F19"/>
    <w:pPr>
      <w:jc w:val="left"/>
    </w:pPr>
  </w:style>
  <w:style w:type="character" w:customStyle="1" w:styleId="EndNoteBibliography0">
    <w:name w:val="EndNote Bibliography 字符"/>
    <w:basedOn w:val="a0"/>
    <w:link w:val="EndNoteBibliography"/>
    <w:rsid w:val="00F54F19"/>
    <w:rPr>
      <w:rFonts w:ascii="Times New Roman" w:eastAsia="宋体"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xianggq@hau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博聪</dc:creator>
  <cp:keywords/>
  <dc:description/>
  <cp:lastModifiedBy>向 国强</cp:lastModifiedBy>
  <cp:revision>14</cp:revision>
  <dcterms:created xsi:type="dcterms:W3CDTF">2023-03-13T02:08:00Z</dcterms:created>
  <dcterms:modified xsi:type="dcterms:W3CDTF">2023-03-14T12:59:00Z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id="qrYyrcBQ"/&gt;&lt;style id="http://www.zotero.org/styles/arabian-journal-of-chemistry" hasBibliography="1" bibliographyStyleHasBeenSet="1"/&gt;&lt;prefs&gt;&lt;pref name="fieldType" value="Field"/&gt;&lt;/prefs&gt;&lt;/data&gt;</vt:lpwstr>
  </property>
</Properties>
</file>