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4"/>
        </w:rPr>
        <w:t>Supplementary Material for:</w:t>
      </w:r>
      <w:r>
        <w:rPr>
          <w:rFonts w:hint="eastAsia" w:ascii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hAnsi="Times New Roman" w:eastAsia="宋体" w:cs="Times New Roman"/>
          <w:b/>
          <w:bCs/>
          <w:color w:val="000000"/>
          <w:sz w:val="24"/>
          <w:lang w:bidi="ar"/>
        </w:rPr>
        <w:t>Slow release fertilizers based on polyphosphate/montmorillonite nanocomposites for improving crop yield</w:t>
      </w:r>
    </w:p>
    <w:p>
      <w:pPr>
        <w:spacing w:line="360" w:lineRule="auto"/>
        <w:rPr>
          <w:rFonts w:ascii="Times New Roman" w:hAnsi="Times New Roman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Guiting Yang</w:t>
      </w:r>
      <w:r>
        <w:rPr>
          <w:rFonts w:ascii="Times New Roman" w:hAnsi="Times New Roman" w:eastAsia="宋体" w:cs="Times New Roman"/>
          <w:color w:val="000000" w:themeColor="text1"/>
          <w:sz w:val="20"/>
          <w:szCs w:val="20"/>
          <w:vertAlign w:val="superscript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, Hongmeng Zhao</w:t>
      </w:r>
      <w:r>
        <w:rPr>
          <w:rFonts w:hint="eastAsia" w:ascii="Times New Roman" w:hAnsi="Times New Roman" w:eastAsia="宋体" w:cs="Times New Roman"/>
          <w:color w:val="000000" w:themeColor="text1"/>
          <w:sz w:val="20"/>
          <w:szCs w:val="20"/>
          <w:vertAlign w:val="superscript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, Yanli Liu</w:t>
      </w:r>
      <w:r>
        <w:rPr>
          <w:rFonts w:hint="eastAsia" w:ascii="Times New Roman" w:hAnsi="Times New Roman" w:eastAsia="宋体" w:cs="Times New Roman"/>
          <w:color w:val="000000" w:themeColor="text1"/>
          <w:sz w:val="20"/>
          <w:szCs w:val="20"/>
          <w:vertAlign w:val="superscript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宋体" w:cs="Times New Roman"/>
          <w:color w:val="000000" w:themeColor="text1"/>
          <w:sz w:val="20"/>
          <w:szCs w:val="20"/>
          <w:vertAlign w:val="super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Zeli Li</w:t>
      </w:r>
      <w:r>
        <w:rPr>
          <w:rFonts w:hint="eastAsia" w:ascii="Times New Roman" w:hAnsi="Times New Roman" w:eastAsia="宋体" w:cs="Times New Roman"/>
          <w:color w:val="000000" w:themeColor="text1"/>
          <w:sz w:val="20"/>
          <w:szCs w:val="20"/>
          <w:vertAlign w:val="superscript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, Feng Gao</w:t>
      </w:r>
      <w:r>
        <w:rPr>
          <w:rFonts w:hint="eastAsia" w:ascii="Times New Roman" w:hAnsi="Times New Roman" w:eastAsia="宋体" w:cs="Times New Roman"/>
          <w:color w:val="000000" w:themeColor="text1"/>
          <w:sz w:val="20"/>
          <w:szCs w:val="20"/>
          <w:vertAlign w:val="superscript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, Qiang Zhang</w:t>
      </w:r>
      <w:r>
        <w:rPr>
          <w:rFonts w:hint="eastAsia" w:ascii="Times New Roman" w:hAnsi="Times New Roman" w:eastAsia="宋体" w:cs="Times New Roman"/>
          <w:color w:val="000000" w:themeColor="text1"/>
          <w:sz w:val="20"/>
          <w:szCs w:val="20"/>
          <w:vertAlign w:val="superscript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Times New Roman" w:hAnsi="Times New Roman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Times New Roman" w:hAnsi="Times New Roman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eng</w:t>
      </w:r>
      <w:r>
        <w:rPr>
          <w:rFonts w:ascii="Times New Roman" w:hAnsi="Times New Roman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Z</w:t>
      </w:r>
      <w:r>
        <w:rPr>
          <w:rFonts w:hint="eastAsia" w:ascii="Times New Roman" w:hAnsi="Times New Roman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ou</w:t>
      </w:r>
      <w:r>
        <w:rPr>
          <w:rFonts w:hint="eastAsia" w:ascii="Times New Roman" w:hAnsi="Times New Roman" w:eastAsia="宋体" w:cs="Times New Roman"/>
          <w:color w:val="000000" w:themeColor="text1"/>
          <w:sz w:val="20"/>
          <w:szCs w:val="20"/>
          <w:vertAlign w:val="superscript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Times New Roman" w:hAnsi="Times New Roman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Zhiguang Liu</w:t>
      </w:r>
      <w:r>
        <w:rPr>
          <w:rFonts w:hint="eastAsia" w:ascii="Times New Roman" w:hAnsi="Times New Roman" w:eastAsia="宋体" w:cs="Times New Roman"/>
          <w:color w:val="000000" w:themeColor="text1"/>
          <w:sz w:val="20"/>
          <w:szCs w:val="20"/>
          <w:vertAlign w:val="superscript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*, Min Zhang</w:t>
      </w:r>
      <w:r>
        <w:rPr>
          <w:rFonts w:hint="eastAsia" w:ascii="Times New Roman" w:hAnsi="Times New Roman" w:eastAsia="宋体" w:cs="Times New Roman"/>
          <w:color w:val="000000" w:themeColor="text1"/>
          <w:sz w:val="20"/>
          <w:szCs w:val="20"/>
          <w:vertAlign w:val="superscript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*</w:t>
      </w:r>
      <w:bookmarkStart w:id="0" w:name="_Hlk26479272"/>
      <w:bookmarkEnd w:id="0"/>
    </w:p>
    <w:p>
      <w:pPr>
        <w:spacing w:line="360" w:lineRule="auto"/>
        <w:rPr>
          <w:rFonts w:ascii="Times New Roman" w:hAnsi="Times New Roman" w:eastAsia="宋体" w:cs="Times New Roman"/>
          <w:i/>
          <w:iCs/>
          <w:color w:val="000000" w:themeColor="text1"/>
          <w:sz w:val="20"/>
          <w:szCs w:val="20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  <w:vertAlign w:val="superscript"/>
          <w:lang w:bidi="he-IL"/>
        </w:rPr>
        <w:t xml:space="preserve">a </w:t>
      </w:r>
      <w:r>
        <w:rPr>
          <w:rFonts w:ascii="Times New Roman" w:hAnsi="Times New Roman" w:eastAsia="MS Mincho" w:cs="Times New Roman"/>
          <w:i/>
          <w:iCs/>
          <w:kern w:val="0"/>
          <w:sz w:val="20"/>
          <w:szCs w:val="20"/>
          <w:lang w:eastAsia="ja-JP" w:bidi="he-IL"/>
        </w:rPr>
        <w:t>Institute of Agricultural Resources and Environment, Jiangsu Academy of Agricultural Sciences,</w:t>
      </w:r>
      <w:r>
        <w:rPr>
          <w:rFonts w:hint="eastAsia" w:ascii="Times New Roman" w:hAnsi="Times New Roman" w:cs="Times New Roman"/>
          <w:i/>
          <w:iCs/>
          <w:kern w:val="0"/>
          <w:sz w:val="20"/>
          <w:szCs w:val="20"/>
          <w:lang w:bidi="he-IL"/>
        </w:rPr>
        <w:t xml:space="preserve"> </w:t>
      </w:r>
      <w:r>
        <w:rPr>
          <w:rFonts w:ascii="Times New Roman" w:hAnsi="Times New Roman" w:eastAsia="MS Mincho" w:cs="Times New Roman"/>
          <w:i/>
          <w:iCs/>
          <w:kern w:val="0"/>
          <w:sz w:val="20"/>
          <w:szCs w:val="20"/>
          <w:lang w:eastAsia="ja-JP" w:bidi="he-IL"/>
        </w:rPr>
        <w:t>Nanjing 210014, China.</w:t>
      </w:r>
    </w:p>
    <w:p>
      <w:pPr>
        <w:spacing w:line="360" w:lineRule="auto"/>
        <w:rPr>
          <w:rFonts w:ascii="Times New Roman" w:hAnsi="Times New Roman" w:eastAsia="宋体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i/>
          <w:iCs/>
          <w:color w:val="000000" w:themeColor="text1"/>
          <w:sz w:val="20"/>
          <w:szCs w:val="20"/>
          <w:vertAlign w:val="superscript"/>
          <w14:textFill>
            <w14:solidFill>
              <w14:schemeClr w14:val="tx1"/>
            </w14:solidFill>
          </w14:textFill>
        </w:rPr>
        <w:t xml:space="preserve">b 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State Key Laboratory of Soil and Sustainable Agriculture, Key Laboratory of Soil Environment and Pollution Remediation, Institute of Soil Science, Chinese Academy of Sciences, Nanjing, 210008,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China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i/>
          <w:iCs/>
          <w:color w:val="000000" w:themeColor="text1"/>
          <w:sz w:val="20"/>
          <w:szCs w:val="20"/>
          <w:vertAlign w:val="superscript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0"/>
          <w:szCs w:val="20"/>
          <w:vertAlign w:val="super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National Engineering Laboratory for Efficient Utilization of Soil and Fertilizer Resources, National Engineering &amp; Technology Center for Slow and Controlled Release Fertilizers, College of Resources and Environment, Shandong Agricultural University, Tai’an, Shandong 271018, China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i/>
          <w:iCs/>
          <w:color w:val="000000" w:themeColor="text1"/>
          <w:sz w:val="20"/>
          <w:szCs w:val="20"/>
          <w:vertAlign w:val="superscript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 w:val="20"/>
          <w:szCs w:val="20"/>
          <w:vertAlign w:val="super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State Key Laboratory for the Integrated Use of Nutritional Resources, Kingenta Ecological Engineering Group Ltd., Linshu, Shandong, 276700, China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i/>
          <w:iCs/>
          <w:color w:val="000000" w:themeColor="text1"/>
          <w:sz w:val="20"/>
          <w:vertAlign w:val="superscript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Shandong wanhao fertilizer Co. Ltd., Jinan, 251600, China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 w:val="20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0"/>
          <w:szCs w:val="20"/>
          <w:vertAlign w:val="superscript"/>
          <w14:textFill>
            <w14:solidFill>
              <w14:schemeClr w14:val="tx1"/>
            </w14:solidFill>
          </w14:textFill>
        </w:rPr>
        <w:t>✳</w:t>
      </w:r>
      <w:r>
        <w:rPr>
          <w:rFonts w:ascii="Times New Roman" w:hAnsi="Times New Roman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Corresponding Author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  <w:lang w:bidi="ar"/>
        </w:rPr>
        <w:t xml:space="preserve">(Z. L.) E-mail: </w:t>
      </w:r>
      <w:r>
        <w:fldChar w:fldCharType="begin"/>
      </w:r>
      <w:r>
        <w:instrText xml:space="preserve"> HYPERLINK "mailto:liuzhiguang8235126@126.com" </w:instrText>
      </w:r>
      <w:r>
        <w:fldChar w:fldCharType="separate"/>
      </w:r>
      <w:r>
        <w:rPr>
          <w:rStyle w:val="12"/>
          <w:rFonts w:ascii="Times New Roman" w:hAnsi="Times New Roman" w:eastAsia="宋体" w:cs="Times New Roman"/>
          <w:kern w:val="0"/>
          <w:sz w:val="20"/>
          <w:szCs w:val="20"/>
          <w:lang w:bidi="ar"/>
        </w:rPr>
        <w:t>liuzhiguang8235126@126.com</w:t>
      </w:r>
      <w:r>
        <w:rPr>
          <w:rStyle w:val="12"/>
          <w:rFonts w:ascii="Times New Roman" w:hAnsi="Times New Roman" w:eastAsia="宋体" w:cs="Times New Roman"/>
          <w:kern w:val="0"/>
          <w:sz w:val="20"/>
          <w:szCs w:val="20"/>
          <w:lang w:bidi="ar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  <w:lang w:bidi="ar"/>
        </w:rPr>
        <w:t xml:space="preserve">. Phone: 86-538-824 1531. Fax: 86-538-824 2500. </w:t>
      </w:r>
      <w:r>
        <w:rPr>
          <w:rFonts w:ascii="Times New Roman" w:hAnsi="Times New Roman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0"/>
          <w:szCs w:val="20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  <w:lang w:val="es-ES" w:bidi="ar"/>
        </w:rPr>
        <w:t xml:space="preserve">(M.Z.) E-mail: </w:t>
      </w:r>
      <w:r>
        <w:fldChar w:fldCharType="begin"/>
      </w:r>
      <w:r>
        <w:instrText xml:space="preserve"> HYPERLINK "mailto:minzhang-2002@163.com" </w:instrText>
      </w:r>
      <w:r>
        <w:fldChar w:fldCharType="separate"/>
      </w:r>
      <w:r>
        <w:rPr>
          <w:rStyle w:val="12"/>
          <w:rFonts w:ascii="Times New Roman" w:hAnsi="Times New Roman" w:eastAsia="宋体" w:cs="Times New Roman"/>
          <w:kern w:val="0"/>
          <w:sz w:val="20"/>
          <w:szCs w:val="20"/>
          <w:lang w:val="es-ES" w:bidi="ar"/>
        </w:rPr>
        <w:t>minzhang-2002@163.com</w:t>
      </w:r>
      <w:r>
        <w:rPr>
          <w:rStyle w:val="12"/>
          <w:rFonts w:ascii="Times New Roman" w:hAnsi="Times New Roman" w:eastAsia="宋体" w:cs="Times New Roman"/>
          <w:kern w:val="0"/>
          <w:sz w:val="20"/>
          <w:szCs w:val="20"/>
          <w:lang w:val="es-ES" w:bidi="ar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  <w:lang w:val="es-ES" w:bidi="ar"/>
        </w:rPr>
        <w:t xml:space="preserve">. </w:t>
      </w: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  <w:lang w:bidi="ar"/>
        </w:rPr>
        <w:t xml:space="preserve">Phone: 86-538-824 1531. Fax: 86-538-824 2500. </w:t>
      </w:r>
    </w:p>
    <w:p>
      <w:pPr>
        <w:widowControl/>
        <w:jc w:val="left"/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  <w:lang w:bidi="ar"/>
        </w:rPr>
        <w:br w:type="page"/>
      </w:r>
    </w:p>
    <w:p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eastAsia="宋体" w:cs="Times New Roman"/>
          <w:b/>
          <w:color w:val="000000"/>
          <w:szCs w:val="21"/>
          <w:lang w:bidi="ar"/>
        </w:rPr>
        <w:t xml:space="preserve">Table S1. </w:t>
      </w:r>
      <w:r>
        <w:rPr>
          <w:rFonts w:ascii="Times New Roman" w:hAnsi="Times New Roman" w:eastAsia="宋体" w:cs="Times New Roman"/>
          <w:bCs/>
          <w:color w:val="000000"/>
          <w:szCs w:val="21"/>
          <w:lang w:bidi="ar"/>
        </w:rPr>
        <w:t>Recent advancement in nanocarrier as fertilizer for slow nutrient release</w:t>
      </w:r>
      <w:r>
        <w:rPr>
          <w:rFonts w:hint="eastAsia" w:ascii="Times New Roman" w:hAnsi="Times New Roman" w:eastAsia="宋体" w:cs="Times New Roman"/>
          <w:bCs/>
          <w:color w:val="000000"/>
          <w:szCs w:val="21"/>
          <w:lang w:bidi="ar"/>
        </w:rPr>
        <w:t>.</w:t>
      </w:r>
    </w:p>
    <w:tbl>
      <w:tblPr>
        <w:tblStyle w:val="7"/>
        <w:tblW w:w="508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7"/>
        <w:gridCol w:w="3461"/>
        <w:gridCol w:w="1758"/>
        <w:gridCol w:w="1233"/>
        <w:gridCol w:w="988"/>
        <w:gridCol w:w="13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3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No</w:t>
            </w:r>
          </w:p>
        </w:tc>
        <w:tc>
          <w:tcPr>
            <w:tcW w:w="1908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Nanomaterials</w:t>
            </w:r>
          </w:p>
        </w:tc>
        <w:tc>
          <w:tcPr>
            <w:tcW w:w="956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Preparation method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Fertilizer particle shape</w:t>
            </w:r>
          </w:p>
        </w:tc>
        <w:tc>
          <w:tcPr>
            <w:tcW w:w="542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Nutrient element</w:t>
            </w:r>
          </w:p>
        </w:tc>
        <w:tc>
          <w:tcPr>
            <w:tcW w:w="783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Reference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3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1</w:t>
            </w:r>
          </w:p>
        </w:tc>
        <w:tc>
          <w:tcPr>
            <w:tcW w:w="1908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Urea-Montmorillonite Nanocomposites</w:t>
            </w:r>
          </w:p>
        </w:tc>
        <w:tc>
          <w:tcPr>
            <w:tcW w:w="956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Extrusion processing</w:t>
            </w:r>
          </w:p>
        </w:tc>
        <w:tc>
          <w:tcPr>
            <w:tcW w:w="675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 xml:space="preserve">Cylindrical </w:t>
            </w:r>
          </w:p>
        </w:tc>
        <w:tc>
          <w:tcPr>
            <w:tcW w:w="542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N</w:t>
            </w:r>
          </w:p>
        </w:tc>
        <w:tc>
          <w:tcPr>
            <w:tcW w:w="783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(Pereira et al., 2012)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1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2</w:t>
            </w:r>
          </w:p>
        </w:tc>
        <w:tc>
          <w:tcPr>
            <w:tcW w:w="19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Polymer (polyacrylamide hydrogen or polycaprolactone) /montmorillonite/urea composite</w:t>
            </w:r>
          </w:p>
        </w:tc>
        <w:tc>
          <w:tcPr>
            <w:tcW w:w="9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Extrusion processing</w:t>
            </w:r>
          </w:p>
        </w:tc>
        <w:tc>
          <w:tcPr>
            <w:tcW w:w="6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Cylindrical</w:t>
            </w:r>
          </w:p>
        </w:tc>
        <w:tc>
          <w:tcPr>
            <w:tcW w:w="5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N</w:t>
            </w: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bidi="ar"/>
              </w:rPr>
              <w:t>(Pereira et al., 2015)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3</w:t>
            </w:r>
          </w:p>
        </w:tc>
        <w:tc>
          <w:tcPr>
            <w:tcW w:w="19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Montmorillonite-urea nanocomposites</w:t>
            </w:r>
          </w:p>
        </w:tc>
        <w:tc>
          <w:tcPr>
            <w:tcW w:w="9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Aqueous suspension technique</w:t>
            </w:r>
          </w:p>
        </w:tc>
        <w:tc>
          <w:tcPr>
            <w:tcW w:w="6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Powder</w:t>
            </w:r>
          </w:p>
        </w:tc>
        <w:tc>
          <w:tcPr>
            <w:tcW w:w="5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N</w:t>
            </w: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(Golbashy et al., 2017)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4</w:t>
            </w:r>
          </w:p>
        </w:tc>
        <w:tc>
          <w:tcPr>
            <w:tcW w:w="19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Carboxymethyl cellulose-g-poly (acrylamide)/montmorillonite superabsorbent composite</w:t>
            </w:r>
          </w:p>
        </w:tc>
        <w:tc>
          <w:tcPr>
            <w:tcW w:w="9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Free-radical graft copolymerization</w:t>
            </w:r>
          </w:p>
        </w:tc>
        <w:tc>
          <w:tcPr>
            <w:tcW w:w="6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Powder</w:t>
            </w:r>
          </w:p>
        </w:tc>
        <w:tc>
          <w:tcPr>
            <w:tcW w:w="5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N</w:t>
            </w: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(Kenawy et al., 2018)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5</w:t>
            </w:r>
          </w:p>
        </w:tc>
        <w:tc>
          <w:tcPr>
            <w:tcW w:w="19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Chrysotile-K</w:t>
            </w:r>
            <w:r>
              <w:rPr>
                <w:rFonts w:hint="default" w:ascii="Times New Roman" w:hAnsi="Times New Roman" w:eastAsia="宋体" w:cs="Times New Roman"/>
                <w:szCs w:val="21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HPO</w:t>
            </w:r>
            <w:r>
              <w:rPr>
                <w:rFonts w:hint="default" w:ascii="Times New Roman" w:hAnsi="Times New Roman" w:eastAsia="宋体" w:cs="Times New Roman"/>
                <w:szCs w:val="21"/>
                <w:vertAlign w:val="subscript"/>
                <w:lang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 xml:space="preserve"> mixtures</w:t>
            </w:r>
          </w:p>
        </w:tc>
        <w:tc>
          <w:tcPr>
            <w:tcW w:w="9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Mechanical grinding</w:t>
            </w:r>
          </w:p>
        </w:tc>
        <w:tc>
          <w:tcPr>
            <w:tcW w:w="6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Powder</w:t>
            </w:r>
          </w:p>
        </w:tc>
        <w:tc>
          <w:tcPr>
            <w:tcW w:w="5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P+K</w:t>
            </w: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bidi="ar"/>
              </w:rPr>
              <w:t>Borges</w:t>
            </w: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 xml:space="preserve"> et al., 2018)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6</w:t>
            </w:r>
          </w:p>
        </w:tc>
        <w:tc>
          <w:tcPr>
            <w:tcW w:w="19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Lignin/montmorillonite/urea composite</w:t>
            </w:r>
          </w:p>
        </w:tc>
        <w:tc>
          <w:tcPr>
            <w:tcW w:w="9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Extrusion processing</w:t>
            </w:r>
          </w:p>
        </w:tc>
        <w:tc>
          <w:tcPr>
            <w:tcW w:w="6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Cylindrical</w:t>
            </w:r>
          </w:p>
        </w:tc>
        <w:tc>
          <w:tcPr>
            <w:tcW w:w="5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N</w:t>
            </w: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(Gu et al., 2019)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22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7</w:t>
            </w:r>
          </w:p>
        </w:tc>
        <w:tc>
          <w:tcPr>
            <w:tcW w:w="19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Urea-hydroxyapatite-montmorillonite nanohybrid composites</w:t>
            </w:r>
          </w:p>
        </w:tc>
        <w:tc>
          <w:tcPr>
            <w:tcW w:w="9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Solvent assisted grinding techniques</w:t>
            </w:r>
          </w:p>
        </w:tc>
        <w:tc>
          <w:tcPr>
            <w:tcW w:w="6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Powder</w:t>
            </w:r>
          </w:p>
        </w:tc>
        <w:tc>
          <w:tcPr>
            <w:tcW w:w="5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N</w:t>
            </w: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(Madusanka et al., 2019)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22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8</w:t>
            </w:r>
          </w:p>
        </w:tc>
        <w:tc>
          <w:tcPr>
            <w:tcW w:w="19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Urea/urea-formaldehyde polymer nanocomposites</w:t>
            </w:r>
          </w:p>
        </w:tc>
        <w:tc>
          <w:tcPr>
            <w:tcW w:w="9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Extrusion processing</w:t>
            </w:r>
          </w:p>
        </w:tc>
        <w:tc>
          <w:tcPr>
            <w:tcW w:w="6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Cylindrical</w:t>
            </w:r>
          </w:p>
        </w:tc>
        <w:tc>
          <w:tcPr>
            <w:tcW w:w="5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N</w:t>
            </w: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bidi="ar"/>
              </w:rPr>
              <w:t>Yamamoto</w:t>
            </w: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 xml:space="preserve"> et al., 2019)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9</w:t>
            </w:r>
          </w:p>
        </w:tc>
        <w:tc>
          <w:tcPr>
            <w:tcW w:w="19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Zeolite/Fe</w:t>
            </w:r>
            <w:r>
              <w:rPr>
                <w:rFonts w:hint="default" w:ascii="Times New Roman" w:hAnsi="Times New Roman" w:eastAsia="宋体" w:cs="Times New Roman"/>
                <w:szCs w:val="21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szCs w:val="21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 xml:space="preserve"> nanocomposites</w:t>
            </w:r>
          </w:p>
        </w:tc>
        <w:tc>
          <w:tcPr>
            <w:tcW w:w="9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Quick green precipitation method</w:t>
            </w:r>
          </w:p>
        </w:tc>
        <w:tc>
          <w:tcPr>
            <w:tcW w:w="6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Powder</w:t>
            </w:r>
          </w:p>
        </w:tc>
        <w:tc>
          <w:tcPr>
            <w:tcW w:w="5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Zn+Fe</w:t>
            </w: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(Hossein et al., 2020)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jc w:val="center"/>
        </w:trPr>
        <w:tc>
          <w:tcPr>
            <w:tcW w:w="2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10</w:t>
            </w:r>
          </w:p>
        </w:tc>
        <w:tc>
          <w:tcPr>
            <w:tcW w:w="19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Sodium alginate-g-poly (acrylate-co-acrylamide) /montmorillonite superabsorbent nanocomposite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Dissolution reaction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Powder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B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bidi="ar"/>
              </w:rPr>
              <w:t>Helmiyati</w:t>
            </w: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 xml:space="preserve"> et al., 2020)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sz w:val="24"/>
        </w:rPr>
      </w:pPr>
    </w:p>
    <w:p>
      <w:pPr>
        <w:widowControl/>
        <w:jc w:val="left"/>
        <w:rPr>
          <w:rFonts w:hint="eastAsia"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>
      <w:pPr>
        <w:jc w:val="center"/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Table S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2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. </w:t>
      </w:r>
      <w:r>
        <w:rPr>
          <w:rFonts w:ascii="Times New Roman" w:hAnsi="Times New Roman" w:eastAsia="宋体" w:cs="Times New Roman"/>
          <w:szCs w:val="21"/>
        </w:rPr>
        <w:t>The central composite design matrix employed for two independent variables.</w:t>
      </w:r>
    </w:p>
    <w:tbl>
      <w:tblPr>
        <w:tblStyle w:val="7"/>
        <w:tblW w:w="860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1930"/>
        <w:gridCol w:w="2020"/>
        <w:gridCol w:w="1949"/>
        <w:gridCol w:w="18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895" w:type="dxa"/>
            <w:tcBorders>
              <w:top w:val="single" w:color="000000" w:sz="8" w:space="0"/>
              <w:left w:val="single" w:color="FFFFFF" w:sz="8" w:space="0"/>
              <w:bottom w:val="single" w:color="000000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</w:p>
        </w:tc>
        <w:tc>
          <w:tcPr>
            <w:tcW w:w="1930" w:type="dxa"/>
            <w:tcBorders>
              <w:top w:val="single" w:color="000000" w:sz="8" w:space="0"/>
              <w:left w:val="single" w:color="FFFFFF" w:sz="8" w:space="0"/>
              <w:bottom w:val="single" w:color="000000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 xml:space="preserve">UP </w:t>
            </w:r>
          </w:p>
        </w:tc>
        <w:tc>
          <w:tcPr>
            <w:tcW w:w="2020" w:type="dxa"/>
            <w:tcBorders>
              <w:top w:val="single" w:color="000000" w:sz="8" w:space="0"/>
              <w:left w:val="single" w:color="FFFFFF" w:sz="8" w:space="0"/>
              <w:bottom w:val="single" w:color="000000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 xml:space="preserve">K </w:t>
            </w:r>
          </w:p>
        </w:tc>
        <w:tc>
          <w:tcPr>
            <w:tcW w:w="1949" w:type="dxa"/>
            <w:tcBorders>
              <w:top w:val="single" w:color="000000" w:sz="8" w:space="0"/>
              <w:left w:val="single" w:color="FFFFFF" w:sz="8" w:space="0"/>
              <w:bottom w:val="single" w:color="000000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Angle of response (°)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FFFFFF" w:sz="8" w:space="0"/>
              <w:bottom w:val="single" w:color="000000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Particle hardness (N)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  <w:jc w:val="center"/>
        </w:trPr>
        <w:tc>
          <w:tcPr>
            <w:tcW w:w="895" w:type="dxa"/>
            <w:tcBorders>
              <w:top w:val="single" w:color="000000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</w:t>
            </w:r>
          </w:p>
        </w:tc>
        <w:tc>
          <w:tcPr>
            <w:tcW w:w="2020" w:type="dxa"/>
            <w:tcBorders>
              <w:top w:val="single" w:color="000000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0.5</w:t>
            </w:r>
          </w:p>
        </w:tc>
        <w:tc>
          <w:tcPr>
            <w:tcW w:w="1949" w:type="dxa"/>
            <w:tcBorders>
              <w:top w:val="single" w:color="000000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35.39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85.50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2</w:t>
            </w:r>
          </w:p>
        </w:tc>
        <w:tc>
          <w:tcPr>
            <w:tcW w:w="193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0.5</w:t>
            </w:r>
          </w:p>
        </w:tc>
        <w:tc>
          <w:tcPr>
            <w:tcW w:w="2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</w:t>
            </w:r>
          </w:p>
        </w:tc>
        <w:tc>
          <w:tcPr>
            <w:tcW w:w="19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30.70</w:t>
            </w:r>
          </w:p>
        </w:tc>
        <w:tc>
          <w:tcPr>
            <w:tcW w:w="18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24.94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8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</w:t>
            </w:r>
          </w:p>
        </w:tc>
        <w:tc>
          <w:tcPr>
            <w:tcW w:w="193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0.75</w:t>
            </w:r>
          </w:p>
        </w:tc>
        <w:tc>
          <w:tcPr>
            <w:tcW w:w="2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0.40</w:t>
            </w:r>
          </w:p>
        </w:tc>
        <w:tc>
          <w:tcPr>
            <w:tcW w:w="19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35.39</w:t>
            </w:r>
          </w:p>
        </w:tc>
        <w:tc>
          <w:tcPr>
            <w:tcW w:w="18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60.60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  <w:jc w:val="center"/>
        </w:trPr>
        <w:tc>
          <w:tcPr>
            <w:tcW w:w="8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4</w:t>
            </w:r>
          </w:p>
        </w:tc>
        <w:tc>
          <w:tcPr>
            <w:tcW w:w="193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0.75</w:t>
            </w:r>
          </w:p>
        </w:tc>
        <w:tc>
          <w:tcPr>
            <w:tcW w:w="2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0.75</w:t>
            </w:r>
          </w:p>
        </w:tc>
        <w:tc>
          <w:tcPr>
            <w:tcW w:w="19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31.82</w:t>
            </w:r>
          </w:p>
        </w:tc>
        <w:tc>
          <w:tcPr>
            <w:tcW w:w="18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42.30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8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5</w:t>
            </w:r>
          </w:p>
        </w:tc>
        <w:tc>
          <w:tcPr>
            <w:tcW w:w="193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0.75</w:t>
            </w:r>
          </w:p>
        </w:tc>
        <w:tc>
          <w:tcPr>
            <w:tcW w:w="2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0.75</w:t>
            </w:r>
          </w:p>
        </w:tc>
        <w:tc>
          <w:tcPr>
            <w:tcW w:w="19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31.64</w:t>
            </w:r>
          </w:p>
        </w:tc>
        <w:tc>
          <w:tcPr>
            <w:tcW w:w="18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41.02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6</w:t>
            </w:r>
          </w:p>
        </w:tc>
        <w:tc>
          <w:tcPr>
            <w:tcW w:w="193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1.10</w:t>
            </w:r>
          </w:p>
        </w:tc>
        <w:tc>
          <w:tcPr>
            <w:tcW w:w="2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0.75</w:t>
            </w:r>
          </w:p>
        </w:tc>
        <w:tc>
          <w:tcPr>
            <w:tcW w:w="19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33.04</w:t>
            </w:r>
          </w:p>
        </w:tc>
        <w:tc>
          <w:tcPr>
            <w:tcW w:w="18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70.10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7</w:t>
            </w:r>
          </w:p>
        </w:tc>
        <w:tc>
          <w:tcPr>
            <w:tcW w:w="193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</w:t>
            </w:r>
          </w:p>
        </w:tc>
        <w:tc>
          <w:tcPr>
            <w:tcW w:w="2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</w:t>
            </w:r>
          </w:p>
        </w:tc>
        <w:tc>
          <w:tcPr>
            <w:tcW w:w="19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30.98</w:t>
            </w:r>
          </w:p>
        </w:tc>
        <w:tc>
          <w:tcPr>
            <w:tcW w:w="18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59.36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  <w:jc w:val="center"/>
        </w:trPr>
        <w:tc>
          <w:tcPr>
            <w:tcW w:w="8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8</w:t>
            </w:r>
          </w:p>
        </w:tc>
        <w:tc>
          <w:tcPr>
            <w:tcW w:w="193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0.5</w:t>
            </w:r>
          </w:p>
        </w:tc>
        <w:tc>
          <w:tcPr>
            <w:tcW w:w="2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0.5</w:t>
            </w:r>
          </w:p>
        </w:tc>
        <w:tc>
          <w:tcPr>
            <w:tcW w:w="19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31.82</w:t>
            </w:r>
          </w:p>
        </w:tc>
        <w:tc>
          <w:tcPr>
            <w:tcW w:w="18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19.72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8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9</w:t>
            </w:r>
          </w:p>
        </w:tc>
        <w:tc>
          <w:tcPr>
            <w:tcW w:w="193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0.75</w:t>
            </w:r>
          </w:p>
        </w:tc>
        <w:tc>
          <w:tcPr>
            <w:tcW w:w="2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1.10</w:t>
            </w:r>
          </w:p>
        </w:tc>
        <w:tc>
          <w:tcPr>
            <w:tcW w:w="19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32.64</w:t>
            </w:r>
          </w:p>
        </w:tc>
        <w:tc>
          <w:tcPr>
            <w:tcW w:w="18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38.92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10</w:t>
            </w:r>
          </w:p>
        </w:tc>
        <w:tc>
          <w:tcPr>
            <w:tcW w:w="193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0.75</w:t>
            </w:r>
          </w:p>
        </w:tc>
        <w:tc>
          <w:tcPr>
            <w:tcW w:w="2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0.75</w:t>
            </w:r>
          </w:p>
        </w:tc>
        <w:tc>
          <w:tcPr>
            <w:tcW w:w="19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31.45</w:t>
            </w:r>
          </w:p>
        </w:tc>
        <w:tc>
          <w:tcPr>
            <w:tcW w:w="18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44.88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  <w:jc w:val="center"/>
        </w:trPr>
        <w:tc>
          <w:tcPr>
            <w:tcW w:w="8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11</w:t>
            </w:r>
          </w:p>
        </w:tc>
        <w:tc>
          <w:tcPr>
            <w:tcW w:w="193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0.40</w:t>
            </w:r>
          </w:p>
        </w:tc>
        <w:tc>
          <w:tcPr>
            <w:tcW w:w="2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0.75</w:t>
            </w:r>
          </w:p>
        </w:tc>
        <w:tc>
          <w:tcPr>
            <w:tcW w:w="19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30.56</w:t>
            </w:r>
          </w:p>
        </w:tc>
        <w:tc>
          <w:tcPr>
            <w:tcW w:w="18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18.57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  <w:jc w:val="center"/>
        </w:trPr>
        <w:tc>
          <w:tcPr>
            <w:tcW w:w="8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12</w:t>
            </w:r>
          </w:p>
        </w:tc>
        <w:tc>
          <w:tcPr>
            <w:tcW w:w="193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0.75</w:t>
            </w:r>
          </w:p>
        </w:tc>
        <w:tc>
          <w:tcPr>
            <w:tcW w:w="2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0.75</w:t>
            </w:r>
          </w:p>
        </w:tc>
        <w:tc>
          <w:tcPr>
            <w:tcW w:w="19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31.09</w:t>
            </w:r>
          </w:p>
        </w:tc>
        <w:tc>
          <w:tcPr>
            <w:tcW w:w="18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48.90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95" w:type="dxa"/>
            <w:tcBorders>
              <w:top w:val="single" w:color="FFFFFF" w:sz="8" w:space="0"/>
              <w:left w:val="single" w:color="FFFFFF" w:sz="8" w:space="0"/>
              <w:bottom w:val="single" w:color="000000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13</w:t>
            </w:r>
          </w:p>
        </w:tc>
        <w:tc>
          <w:tcPr>
            <w:tcW w:w="1930" w:type="dxa"/>
            <w:tcBorders>
              <w:top w:val="single" w:color="FFFFFF" w:sz="8" w:space="0"/>
              <w:left w:val="single" w:color="FFFFFF" w:sz="8" w:space="0"/>
              <w:bottom w:val="single" w:color="000000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0.75</w:t>
            </w:r>
          </w:p>
        </w:tc>
        <w:tc>
          <w:tcPr>
            <w:tcW w:w="2020" w:type="dxa"/>
            <w:tcBorders>
              <w:top w:val="single" w:color="FFFFFF" w:sz="8" w:space="0"/>
              <w:left w:val="single" w:color="FFFFFF" w:sz="8" w:space="0"/>
              <w:bottom w:val="single" w:color="000000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0.75</w:t>
            </w:r>
          </w:p>
        </w:tc>
        <w:tc>
          <w:tcPr>
            <w:tcW w:w="1949" w:type="dxa"/>
            <w:tcBorders>
              <w:top w:val="single" w:color="FFFFFF" w:sz="8" w:space="0"/>
              <w:left w:val="single" w:color="FFFFFF" w:sz="8" w:space="0"/>
              <w:bottom w:val="single" w:color="000000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31.54</w:t>
            </w:r>
          </w:p>
        </w:tc>
        <w:tc>
          <w:tcPr>
            <w:tcW w:w="1815" w:type="dxa"/>
            <w:tcBorders>
              <w:top w:val="single" w:color="FFFFFF" w:sz="8" w:space="0"/>
              <w:left w:val="single" w:color="FFFFFF" w:sz="8" w:space="0"/>
              <w:bottom w:val="single" w:color="000000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44.66</w:t>
            </w:r>
          </w:p>
        </w:tc>
      </w:tr>
    </w:tbl>
    <w:p>
      <w:pPr>
        <w:widowControl/>
        <w:rPr>
          <w:rFonts w:ascii="Times New Roman" w:hAnsi="Times New Roman" w:eastAsia="宋体" w:cs="Times New Roman"/>
          <w:color w:val="000000"/>
          <w:kern w:val="24"/>
          <w:szCs w:val="21"/>
        </w:rPr>
      </w:pPr>
    </w:p>
    <w:p>
      <w:pPr>
        <w:widowControl/>
        <w:jc w:val="left"/>
        <w:rPr>
          <w:rFonts w:hint="eastAsia" w:ascii="Times New Roman" w:hAnsi="Times New Roman" w:eastAsia="宋体" w:cs="Times New Roman"/>
          <w:color w:val="000000"/>
          <w:kern w:val="24"/>
          <w:szCs w:val="21"/>
        </w:rPr>
      </w:pPr>
      <w:r>
        <w:rPr>
          <w:rFonts w:ascii="Times New Roman" w:hAnsi="Times New Roman" w:eastAsia="宋体" w:cs="Times New Roman"/>
          <w:color w:val="000000"/>
          <w:kern w:val="24"/>
          <w:szCs w:val="21"/>
        </w:rPr>
        <w:br w:type="page"/>
      </w:r>
    </w:p>
    <w:p>
      <w:pPr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Table S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3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 xml:space="preserve"> The central composite design matrix employed for two independent variables</w:t>
      </w:r>
    </w:p>
    <w:tbl>
      <w:tblPr>
        <w:tblStyle w:val="7"/>
        <w:tblW w:w="91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2320"/>
        <w:gridCol w:w="1862"/>
        <w:gridCol w:w="1993"/>
        <w:gridCol w:w="19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47" w:type="dxa"/>
            <w:tcBorders>
              <w:top w:val="single" w:color="000000" w:sz="8" w:space="0"/>
              <w:left w:val="single" w:color="FFFFFF" w:sz="8" w:space="0"/>
              <w:bottom w:val="single" w:color="000000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</w:p>
        </w:tc>
        <w:tc>
          <w:tcPr>
            <w:tcW w:w="2320" w:type="dxa"/>
            <w:tcBorders>
              <w:top w:val="single" w:color="000000" w:sz="8" w:space="0"/>
              <w:left w:val="single" w:color="FFFFFF" w:sz="8" w:space="0"/>
              <w:bottom w:val="single" w:color="000000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Time (min)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FFFFFF" w:sz="8" w:space="0"/>
              <w:bottom w:val="single" w:color="000000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 xml:space="preserve">Temperature (℃) </w:t>
            </w:r>
          </w:p>
        </w:tc>
        <w:tc>
          <w:tcPr>
            <w:tcW w:w="1993" w:type="dxa"/>
            <w:tcBorders>
              <w:top w:val="single" w:color="000000" w:sz="8" w:space="0"/>
              <w:left w:val="single" w:color="FFFFFF" w:sz="8" w:space="0"/>
              <w:bottom w:val="single" w:color="000000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Particle hardness(N)</w:t>
            </w:r>
          </w:p>
        </w:tc>
        <w:tc>
          <w:tcPr>
            <w:tcW w:w="1993" w:type="dxa"/>
            <w:tcBorders>
              <w:top w:val="single" w:color="000000" w:sz="8" w:space="0"/>
              <w:left w:val="single" w:color="FFFFFF" w:sz="8" w:space="0"/>
              <w:bottom w:val="single" w:color="000000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Angle of response (°)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947" w:type="dxa"/>
            <w:tcBorders>
              <w:top w:val="single" w:color="000000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</w:t>
            </w:r>
          </w:p>
        </w:tc>
        <w:tc>
          <w:tcPr>
            <w:tcW w:w="2320" w:type="dxa"/>
            <w:tcBorders>
              <w:top w:val="single" w:color="000000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300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120</w:t>
            </w:r>
          </w:p>
        </w:tc>
        <w:tc>
          <w:tcPr>
            <w:tcW w:w="1993" w:type="dxa"/>
            <w:tcBorders>
              <w:top w:val="single" w:color="000000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43.41</w:t>
            </w:r>
          </w:p>
        </w:tc>
        <w:tc>
          <w:tcPr>
            <w:tcW w:w="1993" w:type="dxa"/>
            <w:tcBorders>
              <w:top w:val="single" w:color="000000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35.1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94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2</w:t>
            </w:r>
          </w:p>
        </w:tc>
        <w:tc>
          <w:tcPr>
            <w:tcW w:w="23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300</w:t>
            </w:r>
          </w:p>
        </w:tc>
        <w:tc>
          <w:tcPr>
            <w:tcW w:w="186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80</w:t>
            </w:r>
          </w:p>
        </w:tc>
        <w:tc>
          <w:tcPr>
            <w:tcW w:w="19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14.6</w:t>
            </w:r>
          </w:p>
        </w:tc>
        <w:tc>
          <w:tcPr>
            <w:tcW w:w="19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35.4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4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</w:t>
            </w:r>
          </w:p>
        </w:tc>
        <w:tc>
          <w:tcPr>
            <w:tcW w:w="23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210</w:t>
            </w:r>
          </w:p>
        </w:tc>
        <w:tc>
          <w:tcPr>
            <w:tcW w:w="186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100</w:t>
            </w:r>
          </w:p>
        </w:tc>
        <w:tc>
          <w:tcPr>
            <w:tcW w:w="19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55.15</w:t>
            </w:r>
          </w:p>
        </w:tc>
        <w:tc>
          <w:tcPr>
            <w:tcW w:w="19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30.98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94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4</w:t>
            </w:r>
          </w:p>
        </w:tc>
        <w:tc>
          <w:tcPr>
            <w:tcW w:w="23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337.279</w:t>
            </w:r>
          </w:p>
        </w:tc>
        <w:tc>
          <w:tcPr>
            <w:tcW w:w="186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100</w:t>
            </w:r>
          </w:p>
        </w:tc>
        <w:tc>
          <w:tcPr>
            <w:tcW w:w="19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55.5</w:t>
            </w:r>
          </w:p>
        </w:tc>
        <w:tc>
          <w:tcPr>
            <w:tcW w:w="19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31.07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94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5</w:t>
            </w:r>
          </w:p>
        </w:tc>
        <w:tc>
          <w:tcPr>
            <w:tcW w:w="23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210</w:t>
            </w:r>
          </w:p>
        </w:tc>
        <w:tc>
          <w:tcPr>
            <w:tcW w:w="186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100</w:t>
            </w:r>
          </w:p>
        </w:tc>
        <w:tc>
          <w:tcPr>
            <w:tcW w:w="19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59.74</w:t>
            </w:r>
          </w:p>
        </w:tc>
        <w:tc>
          <w:tcPr>
            <w:tcW w:w="19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31.93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94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6</w:t>
            </w:r>
          </w:p>
        </w:tc>
        <w:tc>
          <w:tcPr>
            <w:tcW w:w="23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210</w:t>
            </w:r>
          </w:p>
        </w:tc>
        <w:tc>
          <w:tcPr>
            <w:tcW w:w="186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100</w:t>
            </w:r>
          </w:p>
        </w:tc>
        <w:tc>
          <w:tcPr>
            <w:tcW w:w="19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62.54</w:t>
            </w:r>
          </w:p>
        </w:tc>
        <w:tc>
          <w:tcPr>
            <w:tcW w:w="19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31.16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94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7</w:t>
            </w:r>
          </w:p>
        </w:tc>
        <w:tc>
          <w:tcPr>
            <w:tcW w:w="23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210</w:t>
            </w:r>
          </w:p>
        </w:tc>
        <w:tc>
          <w:tcPr>
            <w:tcW w:w="186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100</w:t>
            </w:r>
          </w:p>
        </w:tc>
        <w:tc>
          <w:tcPr>
            <w:tcW w:w="19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61.23</w:t>
            </w:r>
          </w:p>
        </w:tc>
        <w:tc>
          <w:tcPr>
            <w:tcW w:w="19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31.02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4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8</w:t>
            </w:r>
          </w:p>
        </w:tc>
        <w:tc>
          <w:tcPr>
            <w:tcW w:w="23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210</w:t>
            </w:r>
          </w:p>
        </w:tc>
        <w:tc>
          <w:tcPr>
            <w:tcW w:w="186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100</w:t>
            </w:r>
          </w:p>
        </w:tc>
        <w:tc>
          <w:tcPr>
            <w:tcW w:w="19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62.14</w:t>
            </w:r>
          </w:p>
        </w:tc>
        <w:tc>
          <w:tcPr>
            <w:tcW w:w="19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31.02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94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9</w:t>
            </w:r>
          </w:p>
        </w:tc>
        <w:tc>
          <w:tcPr>
            <w:tcW w:w="23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120</w:t>
            </w:r>
          </w:p>
        </w:tc>
        <w:tc>
          <w:tcPr>
            <w:tcW w:w="186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120</w:t>
            </w:r>
          </w:p>
        </w:tc>
        <w:tc>
          <w:tcPr>
            <w:tcW w:w="19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47.01</w:t>
            </w:r>
          </w:p>
        </w:tc>
        <w:tc>
          <w:tcPr>
            <w:tcW w:w="19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35.1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4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10</w:t>
            </w:r>
          </w:p>
        </w:tc>
        <w:tc>
          <w:tcPr>
            <w:tcW w:w="23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210</w:t>
            </w:r>
          </w:p>
        </w:tc>
        <w:tc>
          <w:tcPr>
            <w:tcW w:w="186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71.7157</w:t>
            </w:r>
          </w:p>
        </w:tc>
        <w:tc>
          <w:tcPr>
            <w:tcW w:w="19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0.56</w:t>
            </w:r>
          </w:p>
        </w:tc>
        <w:tc>
          <w:tcPr>
            <w:tcW w:w="19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94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11</w:t>
            </w:r>
          </w:p>
        </w:tc>
        <w:tc>
          <w:tcPr>
            <w:tcW w:w="23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120</w:t>
            </w:r>
          </w:p>
        </w:tc>
        <w:tc>
          <w:tcPr>
            <w:tcW w:w="186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80</w:t>
            </w:r>
          </w:p>
        </w:tc>
        <w:tc>
          <w:tcPr>
            <w:tcW w:w="19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2.7</w:t>
            </w:r>
          </w:p>
        </w:tc>
        <w:tc>
          <w:tcPr>
            <w:tcW w:w="19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36.7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4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12</w:t>
            </w:r>
          </w:p>
        </w:tc>
        <w:tc>
          <w:tcPr>
            <w:tcW w:w="23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210</w:t>
            </w:r>
          </w:p>
        </w:tc>
        <w:tc>
          <w:tcPr>
            <w:tcW w:w="186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128.284</w:t>
            </w:r>
          </w:p>
        </w:tc>
        <w:tc>
          <w:tcPr>
            <w:tcW w:w="19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42</w:t>
            </w:r>
          </w:p>
        </w:tc>
        <w:tc>
          <w:tcPr>
            <w:tcW w:w="19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39.42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47" w:type="dxa"/>
            <w:tcBorders>
              <w:top w:val="single" w:color="FFFFFF" w:sz="8" w:space="0"/>
              <w:left w:val="single" w:color="FFFFFF" w:sz="8" w:space="0"/>
              <w:bottom w:val="single" w:color="000000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13</w:t>
            </w:r>
          </w:p>
        </w:tc>
        <w:tc>
          <w:tcPr>
            <w:tcW w:w="2320" w:type="dxa"/>
            <w:tcBorders>
              <w:top w:val="single" w:color="FFFFFF" w:sz="8" w:space="0"/>
              <w:left w:val="single" w:color="FFFFFF" w:sz="8" w:space="0"/>
              <w:bottom w:val="single" w:color="000000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82.7208</w:t>
            </w:r>
          </w:p>
        </w:tc>
        <w:tc>
          <w:tcPr>
            <w:tcW w:w="1862" w:type="dxa"/>
            <w:tcBorders>
              <w:top w:val="single" w:color="FFFFFF" w:sz="8" w:space="0"/>
              <w:left w:val="single" w:color="FFFFFF" w:sz="8" w:space="0"/>
              <w:bottom w:val="single" w:color="000000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100</w:t>
            </w:r>
          </w:p>
        </w:tc>
        <w:tc>
          <w:tcPr>
            <w:tcW w:w="1993" w:type="dxa"/>
            <w:tcBorders>
              <w:top w:val="single" w:color="FFFFFF" w:sz="8" w:space="0"/>
              <w:left w:val="single" w:color="FFFFFF" w:sz="8" w:space="0"/>
              <w:bottom w:val="single" w:color="000000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34.44</w:t>
            </w:r>
          </w:p>
        </w:tc>
        <w:tc>
          <w:tcPr>
            <w:tcW w:w="1993" w:type="dxa"/>
            <w:tcBorders>
              <w:top w:val="single" w:color="FFFFFF" w:sz="8" w:space="0"/>
              <w:left w:val="single" w:color="FFFFFF" w:sz="8" w:space="0"/>
              <w:bottom w:val="single" w:color="000000" w:sz="8" w:space="0"/>
              <w:right w:val="single" w:color="FFFFFF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4"/>
                <w:szCs w:val="21"/>
              </w:rPr>
              <w:t>33.14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b/>
        </w:rPr>
      </w:pPr>
    </w:p>
    <w:p>
      <w:pPr>
        <w:widowControl/>
        <w:jc w:val="left"/>
        <w:rPr>
          <w:rFonts w:hint="eastAsia"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eastAsia="宋体" w:cs="Times New Roman"/>
          <w:szCs w:val="21"/>
        </w:rPr>
      </w:pPr>
      <w:bookmarkStart w:id="1" w:name="_Hlk61285009"/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004695" cy="4073525"/>
            <wp:effectExtent l="0" t="0" r="0" b="317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5200" cy="4073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  <w:szCs w:val="21"/>
        </w:rPr>
        <w:t xml:space="preserve">Figure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S</w:t>
      </w:r>
      <w:r>
        <w:rPr>
          <w:rFonts w:ascii="Times New Roman" w:hAnsi="Times New Roman" w:eastAsia="宋体" w:cs="Times New Roman"/>
          <w:b/>
          <w:bCs/>
          <w:szCs w:val="21"/>
        </w:rPr>
        <w:t>1</w:t>
      </w:r>
      <w:r>
        <w:rPr>
          <w:rFonts w:ascii="Times New Roman" w:hAnsi="Times New Roman" w:eastAsia="宋体" w:cs="Times New Roman"/>
          <w:b/>
          <w:bCs/>
        </w:rPr>
        <w:t>. </w:t>
      </w:r>
      <w:r>
        <w:rPr>
          <w:rFonts w:ascii="Times New Roman" w:hAnsi="Times New Roman" w:eastAsia="宋体" w:cs="Times New Roman"/>
        </w:rPr>
        <w:t xml:space="preserve"> Schematic diagram showing column packing and leachate collection of the leaching experiment.</w:t>
      </w:r>
    </w:p>
    <w:p>
      <w:pPr>
        <w:widowControl/>
        <w:jc w:val="left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br w:type="page"/>
      </w:r>
    </w:p>
    <w:p>
      <w:pPr>
        <w:spacing w:line="360" w:lineRule="auto"/>
        <w:jc w:val="center"/>
        <w:rPr>
          <w:rFonts w:ascii="Times New Roman" w:hAnsi="Times New Roman" w:eastAsia="宋体" w:cs="Times New Roman"/>
          <w:lang w:bidi="ar"/>
        </w:rPr>
      </w:pPr>
      <w:r>
        <w:rPr>
          <w:rFonts w:ascii="Times New Roman" w:hAnsi="Times New Roman" w:eastAsia="宋体" w:cs="Times New Roman"/>
          <w:lang w:bidi="ar"/>
        </w:rPr>
        <w:drawing>
          <wp:inline distT="0" distB="0" distL="114300" distR="114300">
            <wp:extent cx="5039995" cy="2155190"/>
            <wp:effectExtent l="0" t="0" r="1270" b="0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rcRect l="14282" t="10527" r="17380" b="51282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2" w:firstLineChars="200"/>
        <w:jc w:val="center"/>
        <w:rPr>
          <w:rFonts w:ascii="Times New Roman" w:hAnsi="Times New Roman" w:eastAsia="宋体" w:cs="Times New Roman"/>
          <w:szCs w:val="21"/>
          <w:lang w:bidi="ar"/>
        </w:rPr>
      </w:pPr>
      <w:r>
        <w:rPr>
          <w:rFonts w:ascii="Times New Roman" w:hAnsi="Times New Roman" w:eastAsia="宋体" w:cs="Times New Roman"/>
          <w:b/>
          <w:bCs/>
          <w:lang w:bidi="ar"/>
        </w:rPr>
        <w:t>Fig. S2</w:t>
      </w:r>
      <w:r>
        <w:rPr>
          <w:rFonts w:ascii="Times New Roman" w:hAnsi="Times New Roman" w:eastAsia="宋体" w:cs="Times New Roman"/>
          <w:lang w:bidi="ar"/>
        </w:rPr>
        <w:t xml:space="preserve">. TGA and DTG curves for thermogram of for </w:t>
      </w:r>
      <w:r>
        <w:rPr>
          <w:rFonts w:ascii="Times New Roman" w:hAnsi="Times New Roman" w:eastAsia="宋体" w:cs="Times New Roman"/>
          <w:szCs w:val="21"/>
          <w:lang w:bidi="ar"/>
        </w:rPr>
        <w:t>the prepared fertilizers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lang w:bidi="ar"/>
        </w:rPr>
      </w:pPr>
      <w:r>
        <w:rPr>
          <w:rFonts w:ascii="Times New Roman" w:hAnsi="Times New Roman" w:eastAsia="宋体" w:cs="Times New Roman"/>
          <w:szCs w:val="21"/>
          <w:lang w:bidi="ar"/>
        </w:rPr>
        <w:br w:type="page"/>
      </w:r>
      <w:r>
        <w:rPr>
          <w:rFonts w:ascii="Times New Roman" w:hAnsi="Times New Roman" w:eastAsia="宋体" w:cs="Times New Roman"/>
          <w:lang w:bidi="ar"/>
        </w:rPr>
        <w:drawing>
          <wp:inline distT="0" distB="0" distL="114300" distR="114300">
            <wp:extent cx="5400040" cy="1512570"/>
            <wp:effectExtent l="0" t="0" r="8255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l="5347" r="676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2" w:firstLineChars="200"/>
        <w:jc w:val="center"/>
        <w:rPr>
          <w:rFonts w:hint="eastAsia" w:ascii="Times New Roman" w:hAnsi="Times New Roman" w:eastAsia="宋体" w:cs="Times New Roman"/>
          <w:lang w:val="en-US" w:eastAsia="zh-CN" w:bidi="ar"/>
        </w:rPr>
      </w:pPr>
      <w:bookmarkStart w:id="2" w:name="_GoBack"/>
      <w:r>
        <w:rPr>
          <w:rFonts w:ascii="Times New Roman" w:hAnsi="Times New Roman" w:eastAsia="宋体" w:cs="Times New Roman"/>
          <w:b/>
          <w:bCs/>
          <w:lang w:bidi="ar"/>
        </w:rPr>
        <w:t>Fig. S3.</w:t>
      </w:r>
      <w:bookmarkEnd w:id="2"/>
      <w:r>
        <w:rPr>
          <w:rFonts w:ascii="Times New Roman" w:hAnsi="Times New Roman" w:eastAsia="宋体" w:cs="Times New Roman"/>
          <w:lang w:bidi="ar"/>
        </w:rPr>
        <w:t xml:space="preserve"> Nitrogen gas adsorption-desorption isotherms and </w:t>
      </w:r>
      <w:r>
        <w:rPr>
          <w:rFonts w:hint="eastAsia" w:ascii="Times New Roman" w:hAnsi="Times New Roman" w:eastAsia="宋体" w:cs="Times New Roman"/>
          <w:lang w:val="en-US" w:eastAsia="zh-CN" w:bidi="ar"/>
        </w:rPr>
        <w:t>s</w:t>
      </w:r>
      <w:r>
        <w:rPr>
          <w:rFonts w:ascii="Times New Roman" w:hAnsi="Times New Roman" w:eastAsia="宋体" w:cs="Times New Roman"/>
          <w:lang w:bidi="ar"/>
        </w:rPr>
        <w:t>urface area of the prepared fertilizers</w:t>
      </w:r>
      <w:r>
        <w:rPr>
          <w:rFonts w:hint="eastAsia" w:ascii="Times New Roman" w:hAnsi="Times New Roman" w:eastAsia="宋体" w:cs="Times New Roman"/>
          <w:lang w:val="en-US" w:eastAsia="zh-CN" w:bidi="ar"/>
        </w:rPr>
        <w:t>.</w:t>
      </w:r>
    </w:p>
    <w:p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sz w:val="24"/>
          <w:lang w:bidi="ar"/>
        </w:rPr>
      </w:pPr>
    </w:p>
    <w:p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sz w:val="24"/>
          <w:lang w:bidi="ar"/>
        </w:rPr>
      </w:pPr>
    </w:p>
    <w:p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sz w:val="24"/>
          <w:lang w:bidi="ar"/>
        </w:rPr>
      </w:pPr>
    </w:p>
    <w:p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sz w:val="24"/>
          <w:lang w:bidi="ar"/>
        </w:rPr>
      </w:pPr>
    </w:p>
    <w:p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sz w:val="24"/>
          <w:lang w:bidi="ar"/>
        </w:rPr>
      </w:pPr>
    </w:p>
    <w:p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sz w:val="24"/>
          <w:lang w:bidi="ar"/>
        </w:rPr>
      </w:pPr>
    </w:p>
    <w:p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sz w:val="24"/>
          <w:lang w:bidi="ar"/>
        </w:rPr>
      </w:pPr>
    </w:p>
    <w:p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sz w:val="24"/>
          <w:lang w:bidi="ar"/>
        </w:rPr>
      </w:pPr>
    </w:p>
    <w:p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sz w:val="24"/>
          <w:lang w:bidi="ar"/>
        </w:rPr>
      </w:pPr>
    </w:p>
    <w:p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sz w:val="24"/>
          <w:lang w:bidi="ar"/>
        </w:rPr>
      </w:pPr>
    </w:p>
    <w:p>
      <w:pPr>
        <w:spacing w:line="360" w:lineRule="auto"/>
        <w:jc w:val="both"/>
        <w:rPr>
          <w:rFonts w:ascii="Times New Roman" w:hAnsi="Times New Roman" w:eastAsia="宋体" w:cs="Times New Roman"/>
          <w:sz w:val="24"/>
          <w:lang w:bidi="ar"/>
        </w:rPr>
      </w:pPr>
    </w:p>
    <w:p>
      <w:pPr>
        <w:spacing w:line="360" w:lineRule="auto"/>
        <w:jc w:val="both"/>
        <w:rPr>
          <w:rFonts w:ascii="Times New Roman" w:hAnsi="Times New Roman" w:eastAsia="宋体" w:cs="Times New Roman"/>
          <w:sz w:val="24"/>
          <w:lang w:bidi="ar"/>
        </w:rPr>
      </w:pPr>
    </w:p>
    <w:p>
      <w:pPr>
        <w:spacing w:line="360" w:lineRule="auto"/>
        <w:jc w:val="both"/>
        <w:rPr>
          <w:rFonts w:ascii="Times New Roman" w:hAnsi="Times New Roman" w:eastAsia="宋体" w:cs="Times New Roman"/>
          <w:sz w:val="24"/>
          <w:lang w:bidi="ar"/>
        </w:rPr>
      </w:pPr>
    </w:p>
    <w:p>
      <w:pPr>
        <w:spacing w:line="360" w:lineRule="auto"/>
        <w:jc w:val="both"/>
        <w:rPr>
          <w:rFonts w:ascii="Times New Roman" w:hAnsi="Times New Roman" w:eastAsia="宋体" w:cs="Times New Roman"/>
          <w:sz w:val="24"/>
          <w:lang w:bidi="ar"/>
        </w:rPr>
      </w:pPr>
    </w:p>
    <w:p>
      <w:pPr>
        <w:spacing w:line="360" w:lineRule="auto"/>
        <w:jc w:val="both"/>
        <w:rPr>
          <w:rFonts w:ascii="Times New Roman" w:hAnsi="Times New Roman" w:eastAsia="宋体" w:cs="Times New Roman"/>
          <w:sz w:val="24"/>
          <w:lang w:bidi="ar"/>
        </w:rPr>
      </w:pPr>
    </w:p>
    <w:p>
      <w:pPr>
        <w:spacing w:line="360" w:lineRule="auto"/>
        <w:jc w:val="both"/>
        <w:rPr>
          <w:rFonts w:ascii="Times New Roman" w:hAnsi="Times New Roman" w:eastAsia="宋体" w:cs="Times New Roman"/>
          <w:sz w:val="24"/>
          <w:lang w:bidi="ar"/>
        </w:rPr>
      </w:pPr>
    </w:p>
    <w:p>
      <w:pPr>
        <w:spacing w:line="360" w:lineRule="auto"/>
        <w:jc w:val="both"/>
        <w:rPr>
          <w:rFonts w:hint="eastAsia" w:ascii="Times New Roman" w:hAnsi="Times New Roman" w:eastAsia="宋体" w:cs="Times New Roman"/>
          <w:sz w:val="24"/>
          <w:lang w:bidi="ar"/>
        </w:rPr>
      </w:pPr>
    </w:p>
    <w:bookmarkEnd w:id="1"/>
    <w:p>
      <w:pPr>
        <w:rPr>
          <w:rFonts w:ascii="Times New Roman" w:hAnsi="Times New Roman" w:cs="Times New Roman"/>
          <w:b/>
          <w:szCs w:val="21"/>
        </w:rPr>
      </w:pPr>
    </w:p>
    <w:p>
      <w:pPr>
        <w:widowControl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2" w:hangingChars="200"/>
        <w:textAlignment w:val="auto"/>
        <w:rPr>
          <w:rFonts w:hint="eastAsia" w:ascii="Times New Roman" w:hAnsi="Times New Roman" w:cs="Times New Roman"/>
          <w:b/>
          <w:bCs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szCs w:val="21"/>
          <w:lang w:val="en-US" w:eastAsia="zh-CN"/>
        </w:rPr>
        <w:t>Reference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right="0" w:hanging="420" w:hangingChars="200"/>
        <w:jc w:val="both"/>
        <w:rPr>
          <w:rFonts w:hint="default" w:ascii="Times New Roman" w:hAnsi="Times New Roman" w:eastAsia="宋体" w:cs="Times New Roman"/>
          <w:szCs w:val="21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Borges, R., Baika, L. M., Grassi, M. T. and Wypych, F., 2018. Mechanochemical conversion of chrysotile/K2HPO4 mixtures into potential sustainable and environmentally friendly slow-release fertilizers. J. Environ. Manage. 206, 962-970. http://doi.org/10.1016/j.jenvman.2017.11.082.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textAlignment w:val="auto"/>
        <w:rPr>
          <w:rFonts w:hint="eastAsia" w:ascii="Times New Roman" w:hAnsi="Times New Roman" w:cs="Times New Roman" w:eastAsiaTheme="minorEastAsia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</w:rPr>
        <w:t>Gu, H.,  Zhang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b w:val="0"/>
          <w:bCs/>
          <w:szCs w:val="21"/>
        </w:rPr>
        <w:t>Y.,  Li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b w:val="0"/>
          <w:bCs/>
          <w:szCs w:val="21"/>
        </w:rPr>
        <w:t xml:space="preserve">X., 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Li, W., Huang, S</w:t>
      </w:r>
      <w:r>
        <w:rPr>
          <w:rFonts w:hint="eastAsia" w:ascii="Times New Roman" w:hAnsi="Times New Roman" w:cs="Times New Roman"/>
          <w:b w:val="0"/>
          <w:bCs/>
          <w:szCs w:val="21"/>
        </w:rPr>
        <w:t>., 2019. Lignin improves release behavior of slow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-</w:t>
      </w:r>
      <w:r>
        <w:rPr>
          <w:rFonts w:hint="eastAsia" w:ascii="Times New Roman" w:hAnsi="Times New Roman" w:cs="Times New Roman"/>
          <w:b w:val="0"/>
          <w:bCs/>
          <w:szCs w:val="21"/>
        </w:rPr>
        <w:t>release fertilizers with high content of urea. J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b w:val="0"/>
          <w:bCs/>
          <w:szCs w:val="21"/>
        </w:rPr>
        <w:t xml:space="preserve"> Appl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b w:val="0"/>
          <w:bCs/>
          <w:szCs w:val="21"/>
        </w:rPr>
        <w:t xml:space="preserve"> Poly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m.</w:t>
      </w:r>
      <w:r>
        <w:rPr>
          <w:rFonts w:hint="eastAsia" w:ascii="Times New Roman" w:hAnsi="Times New Roman" w:cs="Times New Roman"/>
          <w:b w:val="0"/>
          <w:bCs/>
          <w:szCs w:val="21"/>
        </w:rPr>
        <w:t xml:space="preserve"> Sci. 136, 48238. http://doi.org/10.1002/app.48238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textAlignment w:val="auto"/>
        <w:rPr>
          <w:rFonts w:hint="default" w:ascii="Times New Roman" w:hAnsi="Times New Roman" w:cs="Times New Roman" w:eastAsiaTheme="minorEastAsia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</w:rPr>
        <w:t>Helmiyati, H. and  Nugraha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b w:val="0"/>
          <w:bCs/>
          <w:szCs w:val="21"/>
        </w:rPr>
        <w:t>D., 2020. Superabsorbent nanocomposite as micronutrient slow-release fertilizer.  IOP Conf. Ser.: Mater. Sci. Eng.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http://doi.org/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10.1088/1757-899X/763/1/012050.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textAlignment w:val="auto"/>
        <w:rPr>
          <w:rFonts w:hint="eastAsia" w:ascii="Times New Roman" w:hAnsi="Times New Roman" w:cs="Times New Roman"/>
          <w:b w:val="0"/>
          <w:bCs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Jahangirian, H., Rafiee-Moghaddam, R., Jahangirian, N., Nikpey, B., Jahangirian, S., Bassous, N., Saleh, B., Kalantari, K. and Webster, T. J., 2020. Green synthesis of zeolite/Fe2O3 nanocomposites: toxicity &amp; cell proliferation assays and application as a smart iron nanofertilizer. Int. J. Nanomed. 1005-1020. http://doi.org/10.2147/IJN.S231679.</w:t>
      </w:r>
      <w:r>
        <w:rPr>
          <w:rFonts w:hint="eastAsia" w:ascii="Times New Roman" w:hAnsi="Times New Roman" w:cs="Times New Roman"/>
          <w:b w:val="0"/>
          <w:bCs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textAlignment w:val="auto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</w:rPr>
        <w:t>Kenawy, E. R., Azaam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b w:val="0"/>
          <w:bCs/>
          <w:szCs w:val="21"/>
        </w:rPr>
        <w:t>M. M. and El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-</w:t>
      </w:r>
      <w:r>
        <w:rPr>
          <w:rFonts w:hint="eastAsia" w:ascii="Times New Roman" w:hAnsi="Times New Roman" w:cs="Times New Roman"/>
          <w:b w:val="0"/>
          <w:bCs/>
          <w:szCs w:val="21"/>
        </w:rPr>
        <w:t>nshar,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szCs w:val="21"/>
        </w:rPr>
        <w:t>E. M.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,</w:t>
      </w:r>
      <w:r>
        <w:rPr>
          <w:rFonts w:hint="eastAsia" w:ascii="Times New Roman" w:hAnsi="Times New Roman" w:cs="Times New Roman"/>
          <w:b w:val="0"/>
          <w:bCs/>
          <w:szCs w:val="21"/>
        </w:rPr>
        <w:t xml:space="preserve"> 2018. Preparation of carboxymethyl cellulose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-</w:t>
      </w:r>
      <w:r>
        <w:rPr>
          <w:rFonts w:hint="eastAsia" w:ascii="Times New Roman" w:hAnsi="Times New Roman" w:cs="Times New Roman"/>
          <w:b w:val="0"/>
          <w:bCs/>
          <w:szCs w:val="21"/>
        </w:rPr>
        <w:t>g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-</w:t>
      </w:r>
      <w:r>
        <w:rPr>
          <w:rFonts w:hint="eastAsia" w:ascii="Times New Roman" w:hAnsi="Times New Roman" w:cs="Times New Roman"/>
          <w:b w:val="0"/>
          <w:bCs/>
          <w:szCs w:val="21"/>
        </w:rPr>
        <w:t>poly (acrylamide)/montmorillonite superabsorbent composite as a slow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-</w:t>
      </w:r>
      <w:r>
        <w:rPr>
          <w:rFonts w:hint="eastAsia" w:ascii="Times New Roman" w:hAnsi="Times New Roman" w:cs="Times New Roman"/>
          <w:b w:val="0"/>
          <w:bCs/>
          <w:szCs w:val="21"/>
        </w:rPr>
        <w:t xml:space="preserve">release urea fertilizer. Polym for Advan Technol. 29, 2072-2079. </w:t>
      </w:r>
      <w:r>
        <w:rPr>
          <w:rFonts w:hint="eastAsia" w:ascii="Times New Roman" w:hAnsi="Times New Roman" w:cs="Times New Roman"/>
          <w:b w:val="0"/>
          <w:bCs/>
          <w:szCs w:val="21"/>
        </w:rPr>
        <w:fldChar w:fldCharType="begin"/>
      </w:r>
      <w:r>
        <w:rPr>
          <w:rFonts w:hint="eastAsia" w:ascii="Times New Roman" w:hAnsi="Times New Roman" w:cs="Times New Roman"/>
          <w:b w:val="0"/>
          <w:bCs/>
          <w:szCs w:val="21"/>
        </w:rPr>
        <w:instrText xml:space="preserve"> HYPERLINK "http://doi.org/10.1002/pat.4315." </w:instrText>
      </w:r>
      <w:r>
        <w:rPr>
          <w:rFonts w:hint="eastAsia" w:ascii="Times New Roman" w:hAnsi="Times New Roman" w:cs="Times New Roman"/>
          <w:b w:val="0"/>
          <w:bCs/>
          <w:szCs w:val="21"/>
        </w:rPr>
        <w:fldChar w:fldCharType="separate"/>
      </w:r>
      <w:r>
        <w:rPr>
          <w:rStyle w:val="12"/>
          <w:rFonts w:hint="eastAsia" w:ascii="Times New Roman" w:hAnsi="Times New Roman" w:cs="Times New Roman"/>
          <w:b w:val="0"/>
          <w:bCs/>
          <w:szCs w:val="21"/>
        </w:rPr>
        <w:t>http://doi.org/10.1002/pat.4315</w:t>
      </w:r>
      <w:r>
        <w:rPr>
          <w:rStyle w:val="12"/>
          <w:rFonts w:hint="eastAsia" w:ascii="Times New Roman" w:hAnsi="Times New Roman" w:cs="Times New Roman"/>
          <w:b w:val="0"/>
          <w:bCs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b w:val="0"/>
          <w:bCs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textAlignment w:val="auto"/>
        <w:rPr>
          <w:rFonts w:hint="eastAsia" w:ascii="Times New Roman" w:hAnsi="Times New Roman" w:cs="Times New Roman"/>
          <w:b w:val="0"/>
          <w:bCs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Madusanka, N., Sandaruwan, C., Kottegoda, N., Sirisena, D., Munaweera, I., De Alwis, A., Karunaratne, V. and Amaratunga, G. A., 2017. Urea–hydroxyapatite-montmorillonite nanohybrid composites as slow release nitrogen compositions. Appl. Clay. Sci. 150, 303-308. http://doi.org/10.1016/j.clay.2017.09.039.</w:t>
      </w:r>
      <w:r>
        <w:rPr>
          <w:rFonts w:hint="eastAsia" w:ascii="Times New Roman" w:hAnsi="Times New Roman" w:cs="Times New Roman"/>
          <w:b w:val="0"/>
          <w:bCs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textAlignment w:val="auto"/>
        <w:rPr>
          <w:rFonts w:hint="eastAsia" w:ascii="Times New Roman" w:hAnsi="Times New Roman" w:cs="Times New Roman" w:eastAsiaTheme="minorEastAsia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</w:rPr>
        <w:t>Pereira, E. I.,  da Cruz,C. C.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,</w:t>
      </w:r>
      <w:r>
        <w:rPr>
          <w:rFonts w:hint="eastAsia" w:ascii="Times New Roman" w:hAnsi="Times New Roman" w:cs="Times New Roman"/>
          <w:b w:val="0"/>
          <w:bCs/>
          <w:szCs w:val="21"/>
        </w:rPr>
        <w:t xml:space="preserve">  Solomon,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szCs w:val="21"/>
        </w:rPr>
        <w:t>A.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, Le, A., Cavigelli, M. A., and Ribeiro, C.</w:t>
      </w:r>
      <w:r>
        <w:rPr>
          <w:rFonts w:hint="eastAsia" w:ascii="Times New Roman" w:hAnsi="Times New Roman" w:cs="Times New Roman"/>
          <w:b w:val="0"/>
          <w:bCs/>
          <w:szCs w:val="21"/>
        </w:rPr>
        <w:t>, 2015. Novel slow-release nanocomposite nitrogen fertilizers: the impact of polymers on nanocomposite properties and function. Ind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b w:val="0"/>
          <w:bCs/>
          <w:szCs w:val="21"/>
        </w:rPr>
        <w:t xml:space="preserve"> Eng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b w:val="0"/>
          <w:bCs/>
          <w:szCs w:val="21"/>
        </w:rPr>
        <w:t xml:space="preserve"> Chem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b w:val="0"/>
          <w:bCs/>
          <w:szCs w:val="21"/>
        </w:rPr>
        <w:t xml:space="preserve"> Res. 54, 3717-3725. https://doi.org/10.1021/acs.iecr.5b00176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right="0" w:hanging="420" w:hangingChars="200"/>
        <w:jc w:val="both"/>
        <w:rPr>
          <w:rFonts w:hint="eastAsia" w:ascii="Times New Roman" w:hAnsi="Times New Roman" w:cs="Times New Roman"/>
          <w:b w:val="0"/>
          <w:bCs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Pereira, E. I., Minussi, F. B., da Cruz, C. C., Bernardi, A. C. and Ribeiro, C., 2012. Urea–montmorillonite-extruded nanocomposites: a novel slow-release material. J. Agric. Food. Chem. 60, 5267-5272. 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"http://doi.org/10.1021/jf3001229" </w:instrTex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2"/>
          <w:rFonts w:hint="default" w:ascii="Times New Roman" w:hAnsi="Times New Roman" w:eastAsia="宋体" w:cs="Times New Roman"/>
          <w:color w:val="0563C1"/>
          <w:szCs w:val="21"/>
          <w:lang w:val="en-US"/>
        </w:rPr>
        <w:t>http://doi.org/10.1021/jf3001229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.</w:t>
      </w:r>
      <w:r>
        <w:rPr>
          <w:rFonts w:hint="eastAsia" w:ascii="Times New Roman" w:hAnsi="Times New Roman" w:cs="Times New Roman"/>
          <w:b w:val="0"/>
          <w:bCs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textAlignment w:val="auto"/>
        <w:rPr>
          <w:rFonts w:hint="eastAsia" w:ascii="Times New Roman" w:hAnsi="Times New Roman" w:cs="Times New Roman"/>
          <w:b w:val="0"/>
          <w:bCs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Yamamoto, C. F., Pereira, E. I., Mattoso, L. H., Matsunaka, T. and Ribeiro, C., 2016. Slow release fertilizers based on urea/urea–formaldehyde polymer nanocomposites. Chem. Eng. J. 287, 390-397. http://doi.org/10.1016/j.cej.2015.11.023.</w:t>
      </w:r>
      <w:r>
        <w:rPr>
          <w:rFonts w:hint="eastAsia" w:ascii="Times New Roman" w:hAnsi="Times New Roman" w:cs="Times New Roman"/>
          <w:b w:val="0"/>
          <w:bCs/>
          <w:szCs w:val="21"/>
        </w:rPr>
        <w:t xml:space="preserve"> </w:t>
      </w:r>
    </w:p>
    <w:sectPr>
      <w:pgSz w:w="11906" w:h="16838"/>
      <w:pgMar w:top="1418" w:right="1701" w:bottom="1418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5ZTIwYzYzYTk4Y2M1ZmI5YzIzNTAzNmMzNjc0ZjE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rab J Chem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f9ffxrxf0arr8eddsr5afexzd2p9xrxpwxs&quot;&gt;磷酸脲文章参考文献&lt;record-ids&gt;&lt;item&gt;15&lt;/item&gt;&lt;item&gt;16&lt;/item&gt;&lt;item&gt;18&lt;/item&gt;&lt;item&gt;19&lt;/item&gt;&lt;item&gt;20&lt;/item&gt;&lt;item&gt;21&lt;/item&gt;&lt;item&gt;22&lt;/item&gt;&lt;item&gt;23&lt;/item&gt;&lt;item&gt;66&lt;/item&gt;&lt;/record-ids&gt;&lt;/item&gt;&lt;/Libraries&gt;"/>
  </w:docVars>
  <w:rsids>
    <w:rsidRoot w:val="523B5A0C"/>
    <w:rsid w:val="000466D7"/>
    <w:rsid w:val="000A1780"/>
    <w:rsid w:val="00160032"/>
    <w:rsid w:val="001A1AB1"/>
    <w:rsid w:val="002567DF"/>
    <w:rsid w:val="002D3D54"/>
    <w:rsid w:val="002E1726"/>
    <w:rsid w:val="003860A9"/>
    <w:rsid w:val="004072C0"/>
    <w:rsid w:val="004719A2"/>
    <w:rsid w:val="00577C54"/>
    <w:rsid w:val="005B4440"/>
    <w:rsid w:val="00630429"/>
    <w:rsid w:val="00660823"/>
    <w:rsid w:val="006F2FBC"/>
    <w:rsid w:val="00735F22"/>
    <w:rsid w:val="007B1D44"/>
    <w:rsid w:val="007F561A"/>
    <w:rsid w:val="0081407A"/>
    <w:rsid w:val="00860CD8"/>
    <w:rsid w:val="0095194A"/>
    <w:rsid w:val="00956C78"/>
    <w:rsid w:val="009E2997"/>
    <w:rsid w:val="009F517E"/>
    <w:rsid w:val="00A14208"/>
    <w:rsid w:val="00B310CB"/>
    <w:rsid w:val="00B34B8B"/>
    <w:rsid w:val="00BB65DC"/>
    <w:rsid w:val="00C44435"/>
    <w:rsid w:val="00CF45D1"/>
    <w:rsid w:val="00D048D1"/>
    <w:rsid w:val="00D33ABE"/>
    <w:rsid w:val="00DB0F69"/>
    <w:rsid w:val="00DF194E"/>
    <w:rsid w:val="00E71C2E"/>
    <w:rsid w:val="00F10EAF"/>
    <w:rsid w:val="00F41A9E"/>
    <w:rsid w:val="00F758C8"/>
    <w:rsid w:val="00FE3748"/>
    <w:rsid w:val="01B6046E"/>
    <w:rsid w:val="04FE63B4"/>
    <w:rsid w:val="05A14F91"/>
    <w:rsid w:val="07B0770E"/>
    <w:rsid w:val="09424A96"/>
    <w:rsid w:val="09731227"/>
    <w:rsid w:val="0D357302"/>
    <w:rsid w:val="10046849"/>
    <w:rsid w:val="189254B8"/>
    <w:rsid w:val="1A7D4EFE"/>
    <w:rsid w:val="1B356E17"/>
    <w:rsid w:val="1CC82421"/>
    <w:rsid w:val="21A8172A"/>
    <w:rsid w:val="25145328"/>
    <w:rsid w:val="251D678D"/>
    <w:rsid w:val="2B326335"/>
    <w:rsid w:val="2B361B54"/>
    <w:rsid w:val="2B7734D5"/>
    <w:rsid w:val="2C2440A3"/>
    <w:rsid w:val="2CE11F94"/>
    <w:rsid w:val="2EF95835"/>
    <w:rsid w:val="346A6D13"/>
    <w:rsid w:val="35126C64"/>
    <w:rsid w:val="35FE3BB6"/>
    <w:rsid w:val="36AD69B5"/>
    <w:rsid w:val="392C27E9"/>
    <w:rsid w:val="3B800BCA"/>
    <w:rsid w:val="3D1B2E2C"/>
    <w:rsid w:val="3EB5502E"/>
    <w:rsid w:val="40167D4F"/>
    <w:rsid w:val="428E1E1E"/>
    <w:rsid w:val="43B6787E"/>
    <w:rsid w:val="44BB0AA9"/>
    <w:rsid w:val="46340F2E"/>
    <w:rsid w:val="4BB17956"/>
    <w:rsid w:val="4C806C7C"/>
    <w:rsid w:val="523B5A0C"/>
    <w:rsid w:val="57A001D2"/>
    <w:rsid w:val="5F991CE4"/>
    <w:rsid w:val="67F02AB0"/>
    <w:rsid w:val="6AE83F12"/>
    <w:rsid w:val="6B456583"/>
    <w:rsid w:val="6FD36956"/>
    <w:rsid w:val="707D3B9C"/>
    <w:rsid w:val="72E2393D"/>
    <w:rsid w:val="739504AD"/>
    <w:rsid w:val="79030169"/>
    <w:rsid w:val="7A3F6350"/>
    <w:rsid w:val="7EB919F5"/>
    <w:rsid w:val="7F6703A3"/>
    <w:rsid w:val="7F74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qFormat="1" w:uiPriority="99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pPr>
      <w:spacing w:after="200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Continue 2"/>
    <w:basedOn w:val="1"/>
    <w:unhideWhenUsed/>
    <w:qFormat/>
    <w:uiPriority w:val="99"/>
    <w:pPr>
      <w:spacing w:after="120" w:line="276" w:lineRule="auto"/>
      <w:ind w:left="566"/>
      <w:contextualSpacing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954F72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3"/>
    <w:qFormat/>
    <w:uiPriority w:val="0"/>
    <w:rPr>
      <w:kern w:val="2"/>
      <w:sz w:val="18"/>
      <w:szCs w:val="18"/>
    </w:rPr>
  </w:style>
  <w:style w:type="paragraph" w:styleId="15">
    <w:name w:val="No Spacing"/>
    <w:qFormat/>
    <w:uiPriority w:val="1"/>
    <w:rPr>
      <w:rFonts w:ascii="Calibri" w:hAnsi="Calibri" w:eastAsia="Calibri" w:cs="Times New Roman"/>
      <w:sz w:val="22"/>
      <w:szCs w:val="22"/>
      <w:lang w:val="es-ES" w:eastAsia="en-US" w:bidi="ar-SA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es-ES" w:eastAsia="en-US" w:bidi="ar-SA"/>
    </w:rPr>
  </w:style>
  <w:style w:type="paragraph" w:customStyle="1" w:styleId="17">
    <w:name w:val="EndNote Bibliography Title"/>
    <w:basedOn w:val="1"/>
    <w:link w:val="18"/>
    <w:qFormat/>
    <w:uiPriority w:val="0"/>
    <w:pPr>
      <w:framePr w:hSpace="141" w:wrap="around" w:vAnchor="page" w:hAnchor="margin" w:y="2365"/>
      <w:jc w:val="center"/>
    </w:pPr>
    <w:rPr>
      <w:rFonts w:ascii="Calibri" w:hAnsi="Calibri" w:cs="Calibri"/>
      <w:sz w:val="20"/>
    </w:rPr>
  </w:style>
  <w:style w:type="character" w:customStyle="1" w:styleId="18">
    <w:name w:val="EndNote Bibliography Title 字符"/>
    <w:basedOn w:val="9"/>
    <w:link w:val="17"/>
    <w:qFormat/>
    <w:uiPriority w:val="0"/>
    <w:rPr>
      <w:rFonts w:ascii="Calibri" w:hAnsi="Calibri" w:cs="Calibri" w:eastAsiaTheme="minorEastAsia"/>
      <w:kern w:val="2"/>
      <w:szCs w:val="24"/>
    </w:rPr>
  </w:style>
  <w:style w:type="paragraph" w:customStyle="1" w:styleId="19">
    <w:name w:val="EndNote Bibliography"/>
    <w:basedOn w:val="1"/>
    <w:link w:val="20"/>
    <w:qFormat/>
    <w:uiPriority w:val="0"/>
    <w:pPr>
      <w:framePr w:hSpace="141" w:wrap="around" w:vAnchor="page" w:hAnchor="margin" w:y="2365"/>
    </w:pPr>
    <w:rPr>
      <w:rFonts w:ascii="Calibri" w:hAnsi="Calibri" w:cs="Calibri"/>
      <w:sz w:val="20"/>
    </w:rPr>
  </w:style>
  <w:style w:type="character" w:customStyle="1" w:styleId="20">
    <w:name w:val="EndNote Bibliography 字符"/>
    <w:basedOn w:val="9"/>
    <w:link w:val="19"/>
    <w:qFormat/>
    <w:uiPriority w:val="0"/>
    <w:rPr>
      <w:rFonts w:ascii="Calibri" w:hAnsi="Calibri" w:cs="Calibri" w:eastAsiaTheme="minorEastAsia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0B92B-64BD-4EBA-B7F4-9AFF04C272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810</Words>
  <Characters>5310</Characters>
  <Lines>41</Lines>
  <Paragraphs>11</Paragraphs>
  <TotalTime>2</TotalTime>
  <ScaleCrop>false</ScaleCrop>
  <LinksUpToDate>false</LinksUpToDate>
  <CharactersWithSpaces>5908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2023-01-02T14:28:00Z</dcterms:created>
  <dc:creator>wait for you</dc:creator>
  <cp:lastModifiedBy>wait for you</cp:lastModifiedBy>
  <dcterms:modified xsi:type="dcterms:W3CDTF">2023-03-23T18:41:14Z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F856D681D1114EC4841945AEB99555FF</vt:lpwstr>
  </property>
</Properties>
</file>