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5C1" w:rsidRPr="00E275C1" w:rsidRDefault="00E275C1" w:rsidP="00E275C1">
      <w:pPr>
        <w:spacing w:line="360" w:lineRule="auto"/>
        <w:jc w:val="both"/>
        <w:rPr>
          <w:rFonts w:ascii="Times New Roman" w:hAnsi="Times New Roman" w:cs="Times New Roman"/>
          <w:b/>
          <w:bCs/>
          <w:sz w:val="24"/>
          <w:szCs w:val="24"/>
        </w:rPr>
      </w:pPr>
      <w:r w:rsidRPr="00E275C1">
        <w:rPr>
          <w:rFonts w:ascii="Times New Roman" w:hAnsi="Times New Roman" w:cs="Times New Roman"/>
          <w:b/>
          <w:bCs/>
          <w:sz w:val="24"/>
          <w:szCs w:val="24"/>
        </w:rPr>
        <w:t>Materials and methods</w:t>
      </w:r>
    </w:p>
    <w:p w:rsidR="00E275C1" w:rsidRPr="002A0ADE" w:rsidRDefault="00E275C1" w:rsidP="00E275C1">
      <w:pPr>
        <w:spacing w:line="360" w:lineRule="auto"/>
        <w:jc w:val="both"/>
        <w:rPr>
          <w:rFonts w:ascii="Times New Roman" w:hAnsi="Times New Roman" w:cs="Times New Roman"/>
          <w:b/>
          <w:bCs/>
          <w:i/>
          <w:sz w:val="24"/>
          <w:szCs w:val="24"/>
        </w:rPr>
      </w:pPr>
      <w:r w:rsidRPr="002A0ADE">
        <w:rPr>
          <w:rFonts w:ascii="Times New Roman" w:hAnsi="Times New Roman" w:cs="Times New Roman"/>
          <w:b/>
          <w:bCs/>
          <w:i/>
          <w:sz w:val="24"/>
          <w:szCs w:val="24"/>
        </w:rPr>
        <w:t>Assessment of DNA binding activity of the complex</w:t>
      </w:r>
    </w:p>
    <w:p w:rsidR="00E275C1" w:rsidRPr="00E63238" w:rsidRDefault="00E275C1" w:rsidP="00E275C1">
      <w:pPr>
        <w:spacing w:line="360" w:lineRule="auto"/>
        <w:jc w:val="both"/>
        <w:rPr>
          <w:rFonts w:ascii="Times New Roman" w:hAnsi="Times New Roman" w:cs="Times New Roman"/>
          <w:sz w:val="24"/>
          <w:szCs w:val="24"/>
        </w:rPr>
      </w:pPr>
      <w:r w:rsidRPr="00E63238">
        <w:rPr>
          <w:rFonts w:ascii="Times New Roman" w:hAnsi="Times New Roman" w:cs="Times New Roman"/>
          <w:bCs/>
          <w:sz w:val="24"/>
          <w:szCs w:val="24"/>
        </w:rPr>
        <w:t xml:space="preserve">The ability of the complex to intercalate with </w:t>
      </w:r>
      <w:r>
        <w:rPr>
          <w:rFonts w:ascii="Times New Roman" w:hAnsi="Times New Roman" w:cs="Times New Roman"/>
          <w:bCs/>
          <w:sz w:val="24"/>
          <w:szCs w:val="24"/>
        </w:rPr>
        <w:t>ct</w:t>
      </w:r>
      <w:r w:rsidRPr="00E63238">
        <w:rPr>
          <w:rFonts w:ascii="Times New Roman" w:hAnsi="Times New Roman" w:cs="Times New Roman"/>
          <w:bCs/>
          <w:sz w:val="24"/>
          <w:szCs w:val="24"/>
        </w:rPr>
        <w:t xml:space="preserve">DNA was assessed </w:t>
      </w:r>
      <w:r>
        <w:rPr>
          <w:rFonts w:ascii="Times New Roman" w:hAnsi="Times New Roman" w:cs="Times New Roman"/>
          <w:bCs/>
          <w:sz w:val="24"/>
          <w:szCs w:val="24"/>
        </w:rPr>
        <w:t>according to the</w:t>
      </w:r>
      <w:r w:rsidRPr="00E63238">
        <w:rPr>
          <w:rFonts w:ascii="Times New Roman" w:hAnsi="Times New Roman" w:cs="Times New Roman"/>
          <w:bCs/>
          <w:sz w:val="24"/>
          <w:szCs w:val="24"/>
        </w:rPr>
        <w:t xml:space="preserve"> method adopted by </w:t>
      </w:r>
      <w:r w:rsidRPr="00E63238">
        <w:rPr>
          <w:rFonts w:ascii="Times New Roman" w:hAnsi="Times New Roman" w:cs="Times New Roman"/>
          <w:sz w:val="24"/>
          <w:szCs w:val="24"/>
        </w:rPr>
        <w:t>Dehghan</w:t>
      </w:r>
      <w:r>
        <w:rPr>
          <w:rFonts w:ascii="Times New Roman" w:hAnsi="Times New Roman" w:cs="Times New Roman"/>
          <w:sz w:val="24"/>
          <w:szCs w:val="24"/>
        </w:rPr>
        <w:t xml:space="preserve"> </w:t>
      </w:r>
      <w:r w:rsidR="004B3E5D">
        <w:rPr>
          <w:rFonts w:ascii="Times New Roman" w:hAnsi="Times New Roman" w:cs="Times New Roman"/>
          <w:sz w:val="24"/>
          <w:szCs w:val="24"/>
        </w:rPr>
        <w:t>(</w:t>
      </w:r>
      <w:r w:rsidR="004B3E5D" w:rsidRPr="004B3E5D">
        <w:rPr>
          <w:rFonts w:ascii="Times New Roman" w:hAnsi="Times New Roman" w:cs="Times New Roman"/>
          <w:sz w:val="24"/>
          <w:szCs w:val="24"/>
        </w:rPr>
        <w:t>Dehghan</w:t>
      </w:r>
      <w:r w:rsidR="004B3E5D">
        <w:rPr>
          <w:rFonts w:ascii="Times New Roman" w:hAnsi="Times New Roman" w:cs="Times New Roman"/>
          <w:sz w:val="24"/>
          <w:szCs w:val="24"/>
        </w:rPr>
        <w:t xml:space="preserve"> et al., 2011)</w:t>
      </w:r>
      <w:r w:rsidRPr="00E63238">
        <w:rPr>
          <w:rFonts w:ascii="Times New Roman" w:hAnsi="Times New Roman" w:cs="Times New Roman"/>
          <w:sz w:val="24"/>
          <w:szCs w:val="24"/>
        </w:rPr>
        <w:t xml:space="preserve">. The intrinsic binding constant was determined by the following equation: </w:t>
      </w:r>
    </w:p>
    <w:p w:rsidR="00E275C1" w:rsidRPr="00E63238" w:rsidRDefault="00E275C1" w:rsidP="00E275C1">
      <w:pPr>
        <w:spacing w:line="360" w:lineRule="auto"/>
        <w:jc w:val="center"/>
        <w:rPr>
          <w:rFonts w:ascii="Times New Roman" w:hAnsi="Times New Roman" w:cs="Times New Roman"/>
          <w:bCs/>
          <w:sz w:val="24"/>
          <w:szCs w:val="24"/>
        </w:rPr>
      </w:pPr>
      <w:r w:rsidRPr="00E63238">
        <w:rPr>
          <w:rFonts w:ascii="Times New Roman" w:hAnsi="Times New Roman" w:cs="Times New Roman"/>
          <w:bCs/>
          <w:sz w:val="24"/>
          <w:szCs w:val="24"/>
        </w:rPr>
        <w:t>DNA/ε</w:t>
      </w:r>
      <w:r w:rsidRPr="00E63238">
        <w:rPr>
          <w:rFonts w:ascii="Times New Roman" w:hAnsi="Times New Roman" w:cs="Times New Roman"/>
          <w:bCs/>
          <w:sz w:val="24"/>
          <w:szCs w:val="24"/>
          <w:vertAlign w:val="subscript"/>
        </w:rPr>
        <w:t>a</w:t>
      </w:r>
      <w:r w:rsidRPr="00E63238">
        <w:rPr>
          <w:rFonts w:ascii="Times New Roman" w:hAnsi="Times New Roman" w:cs="Times New Roman"/>
          <w:bCs/>
          <w:sz w:val="24"/>
          <w:szCs w:val="24"/>
        </w:rPr>
        <w:t>-ε</w:t>
      </w:r>
      <w:r w:rsidRPr="00E63238">
        <w:rPr>
          <w:rFonts w:ascii="Times New Roman" w:hAnsi="Times New Roman" w:cs="Times New Roman"/>
          <w:bCs/>
          <w:sz w:val="24"/>
          <w:szCs w:val="24"/>
          <w:vertAlign w:val="subscript"/>
        </w:rPr>
        <w:t>f</w:t>
      </w:r>
      <w:r w:rsidRPr="00E63238">
        <w:rPr>
          <w:rFonts w:ascii="Times New Roman" w:hAnsi="Times New Roman" w:cs="Times New Roman"/>
          <w:bCs/>
          <w:sz w:val="24"/>
          <w:szCs w:val="24"/>
        </w:rPr>
        <w:t xml:space="preserve"> = DNA/ε</w:t>
      </w:r>
      <w:r w:rsidRPr="00E63238">
        <w:rPr>
          <w:rFonts w:ascii="Times New Roman" w:hAnsi="Times New Roman" w:cs="Times New Roman"/>
          <w:bCs/>
          <w:sz w:val="24"/>
          <w:szCs w:val="24"/>
          <w:vertAlign w:val="subscript"/>
        </w:rPr>
        <w:t>b</w:t>
      </w:r>
      <w:r w:rsidRPr="00E63238">
        <w:rPr>
          <w:rFonts w:ascii="Times New Roman" w:hAnsi="Times New Roman" w:cs="Times New Roman"/>
          <w:bCs/>
          <w:sz w:val="24"/>
          <w:szCs w:val="24"/>
        </w:rPr>
        <w:t>-ε</w:t>
      </w:r>
      <w:r w:rsidRPr="00E63238">
        <w:rPr>
          <w:rFonts w:ascii="Times New Roman" w:hAnsi="Times New Roman" w:cs="Times New Roman"/>
          <w:bCs/>
          <w:sz w:val="24"/>
          <w:szCs w:val="24"/>
          <w:vertAlign w:val="subscript"/>
        </w:rPr>
        <w:t>f</w:t>
      </w:r>
      <w:r w:rsidRPr="00E63238">
        <w:rPr>
          <w:rFonts w:ascii="Times New Roman" w:hAnsi="Times New Roman" w:cs="Times New Roman"/>
          <w:bCs/>
          <w:sz w:val="24"/>
          <w:szCs w:val="24"/>
        </w:rPr>
        <w:t xml:space="preserve"> + 1/K</w:t>
      </w:r>
      <w:r w:rsidRPr="00E63238">
        <w:rPr>
          <w:rFonts w:ascii="Times New Roman" w:hAnsi="Times New Roman" w:cs="Times New Roman"/>
          <w:bCs/>
          <w:sz w:val="24"/>
          <w:szCs w:val="24"/>
          <w:vertAlign w:val="subscript"/>
        </w:rPr>
        <w:t>b</w:t>
      </w:r>
      <w:r w:rsidRPr="00E63238">
        <w:rPr>
          <w:rFonts w:ascii="Times New Roman" w:hAnsi="Times New Roman" w:cs="Times New Roman"/>
          <w:bCs/>
          <w:sz w:val="24"/>
          <w:szCs w:val="24"/>
        </w:rPr>
        <w:t>(ε</w:t>
      </w:r>
      <w:r w:rsidRPr="00E63238">
        <w:rPr>
          <w:rFonts w:ascii="Times New Roman" w:hAnsi="Times New Roman" w:cs="Times New Roman"/>
          <w:bCs/>
          <w:sz w:val="24"/>
          <w:szCs w:val="24"/>
          <w:vertAlign w:val="subscript"/>
        </w:rPr>
        <w:t>b</w:t>
      </w:r>
      <w:r w:rsidRPr="00E63238">
        <w:rPr>
          <w:rFonts w:ascii="Times New Roman" w:hAnsi="Times New Roman" w:cs="Times New Roman"/>
          <w:bCs/>
          <w:sz w:val="24"/>
          <w:szCs w:val="24"/>
        </w:rPr>
        <w:t>-ε</w:t>
      </w:r>
      <w:r w:rsidRPr="00E63238">
        <w:rPr>
          <w:rFonts w:ascii="Times New Roman" w:hAnsi="Times New Roman" w:cs="Times New Roman"/>
          <w:bCs/>
          <w:sz w:val="24"/>
          <w:szCs w:val="24"/>
          <w:vertAlign w:val="subscript"/>
        </w:rPr>
        <w:t>f</w:t>
      </w:r>
      <w:r w:rsidRPr="00E63238">
        <w:rPr>
          <w:rFonts w:ascii="Times New Roman" w:hAnsi="Times New Roman" w:cs="Times New Roman"/>
          <w:bCs/>
          <w:sz w:val="24"/>
          <w:szCs w:val="24"/>
        </w:rPr>
        <w:t>)</w:t>
      </w:r>
    </w:p>
    <w:p w:rsidR="00E275C1" w:rsidRPr="00E63238" w:rsidRDefault="00E275C1" w:rsidP="00E275C1">
      <w:pPr>
        <w:spacing w:line="360" w:lineRule="auto"/>
        <w:jc w:val="both"/>
        <w:rPr>
          <w:rFonts w:ascii="Times New Roman" w:hAnsi="Times New Roman" w:cs="Times New Roman"/>
          <w:sz w:val="24"/>
          <w:szCs w:val="24"/>
        </w:rPr>
      </w:pPr>
      <w:r w:rsidRPr="00E63238">
        <w:rPr>
          <w:rFonts w:ascii="Times New Roman" w:hAnsi="Times New Roman" w:cs="Times New Roman"/>
          <w:bCs/>
          <w:sz w:val="24"/>
          <w:szCs w:val="24"/>
        </w:rPr>
        <w:t xml:space="preserve">Where </w:t>
      </w:r>
      <w:r w:rsidRPr="00E63238">
        <w:rPr>
          <w:rFonts w:ascii="Times New Roman" w:hAnsi="Times New Roman" w:cs="Times New Roman"/>
          <w:sz w:val="24"/>
          <w:szCs w:val="24"/>
        </w:rPr>
        <w:t xml:space="preserve">DNA represents the number of base pairing of DNA, </w:t>
      </w:r>
      <w:r>
        <w:rPr>
          <w:rFonts w:ascii="Times New Roman" w:hAnsi="Times New Roman" w:cs="Times New Roman"/>
          <w:sz w:val="24"/>
          <w:szCs w:val="24"/>
        </w:rPr>
        <w:t>K</w:t>
      </w:r>
      <w:r w:rsidRPr="00B13CA9">
        <w:rPr>
          <w:rFonts w:ascii="Times New Roman" w:hAnsi="Times New Roman" w:cs="Times New Roman"/>
          <w:sz w:val="24"/>
          <w:szCs w:val="24"/>
          <w:vertAlign w:val="subscript"/>
        </w:rPr>
        <w:t>b</w:t>
      </w:r>
      <w:r>
        <w:rPr>
          <w:rFonts w:ascii="Times New Roman" w:hAnsi="Times New Roman" w:cs="Times New Roman"/>
          <w:sz w:val="24"/>
          <w:szCs w:val="24"/>
        </w:rPr>
        <w:t xml:space="preserve"> represents intrinsic binding constant, </w:t>
      </w:r>
      <w:r w:rsidRPr="00E63238">
        <w:rPr>
          <w:rFonts w:ascii="Times New Roman" w:hAnsi="Times New Roman" w:cs="Times New Roman"/>
          <w:sz w:val="24"/>
          <w:szCs w:val="24"/>
        </w:rPr>
        <w:t>ε</w:t>
      </w:r>
      <w:r w:rsidRPr="00E63238">
        <w:rPr>
          <w:rFonts w:ascii="Times New Roman" w:hAnsi="Times New Roman" w:cs="Times New Roman"/>
          <w:sz w:val="24"/>
          <w:szCs w:val="24"/>
          <w:vertAlign w:val="subscript"/>
        </w:rPr>
        <w:t>a</w:t>
      </w:r>
      <w:r>
        <w:rPr>
          <w:rFonts w:ascii="Times New Roman" w:hAnsi="Times New Roman" w:cs="Times New Roman"/>
          <w:sz w:val="24"/>
          <w:szCs w:val="24"/>
          <w:vertAlign w:val="subscript"/>
        </w:rPr>
        <w:t xml:space="preserve"> </w:t>
      </w:r>
      <w:r w:rsidRPr="00E63238">
        <w:rPr>
          <w:rFonts w:ascii="Times New Roman" w:hAnsi="Times New Roman" w:cs="Times New Roman"/>
          <w:sz w:val="24"/>
          <w:szCs w:val="24"/>
        </w:rPr>
        <w:t>represents the extinction coefficient (A</w:t>
      </w:r>
      <w:r w:rsidRPr="00E63238">
        <w:rPr>
          <w:rFonts w:ascii="Times New Roman" w:hAnsi="Times New Roman" w:cs="Times New Roman"/>
          <w:sz w:val="24"/>
          <w:szCs w:val="24"/>
          <w:vertAlign w:val="subscript"/>
        </w:rPr>
        <w:t>obs</w:t>
      </w:r>
      <w:r w:rsidRPr="00E63238">
        <w:rPr>
          <w:rFonts w:ascii="Times New Roman" w:hAnsi="Times New Roman" w:cs="Times New Roman"/>
          <w:sz w:val="24"/>
          <w:szCs w:val="24"/>
        </w:rPr>
        <w:t>/Ru) factor, ε</w:t>
      </w:r>
      <w:r w:rsidRPr="00E63238">
        <w:rPr>
          <w:rFonts w:ascii="Times New Roman" w:hAnsi="Times New Roman" w:cs="Times New Roman"/>
          <w:sz w:val="24"/>
          <w:szCs w:val="24"/>
          <w:vertAlign w:val="subscript"/>
        </w:rPr>
        <w:t>f</w:t>
      </w:r>
      <w:r>
        <w:rPr>
          <w:rFonts w:ascii="Times New Roman" w:hAnsi="Times New Roman" w:cs="Times New Roman"/>
          <w:sz w:val="24"/>
          <w:szCs w:val="24"/>
          <w:vertAlign w:val="subscript"/>
        </w:rPr>
        <w:t xml:space="preserve"> </w:t>
      </w:r>
      <w:r w:rsidRPr="00E63238">
        <w:rPr>
          <w:rFonts w:ascii="Times New Roman" w:hAnsi="Times New Roman" w:cs="Times New Roman"/>
          <w:sz w:val="24"/>
          <w:szCs w:val="24"/>
        </w:rPr>
        <w:t>is the free drug related extinction coefficient and ε</w:t>
      </w:r>
      <w:r w:rsidRPr="00E63238">
        <w:rPr>
          <w:rFonts w:ascii="Times New Roman" w:hAnsi="Times New Roman" w:cs="Times New Roman"/>
          <w:sz w:val="24"/>
          <w:szCs w:val="24"/>
          <w:vertAlign w:val="subscript"/>
        </w:rPr>
        <w:t>b</w:t>
      </w:r>
      <w:r>
        <w:rPr>
          <w:rFonts w:ascii="Times New Roman" w:hAnsi="Times New Roman" w:cs="Times New Roman"/>
          <w:sz w:val="24"/>
          <w:szCs w:val="24"/>
          <w:vertAlign w:val="subscript"/>
        </w:rPr>
        <w:t xml:space="preserve"> </w:t>
      </w:r>
      <w:r w:rsidRPr="00E63238">
        <w:rPr>
          <w:rFonts w:ascii="Times New Roman" w:hAnsi="Times New Roman" w:cs="Times New Roman"/>
          <w:sz w:val="24"/>
          <w:szCs w:val="24"/>
        </w:rPr>
        <w:t>represents bound drug associated extinction coefficient and complex associated calibration curve is derived from ε</w:t>
      </w:r>
      <w:r w:rsidRPr="00E63238">
        <w:rPr>
          <w:rFonts w:ascii="Times New Roman" w:hAnsi="Times New Roman" w:cs="Times New Roman"/>
          <w:sz w:val="24"/>
          <w:szCs w:val="24"/>
          <w:vertAlign w:val="subscript"/>
        </w:rPr>
        <w:t>f</w:t>
      </w:r>
      <w:r w:rsidRPr="00E63238">
        <w:rPr>
          <w:rFonts w:ascii="Times New Roman" w:hAnsi="Times New Roman" w:cs="Times New Roman"/>
          <w:sz w:val="24"/>
          <w:szCs w:val="24"/>
        </w:rPr>
        <w:t xml:space="preserve"> in the aqueous solution. ε</w:t>
      </w:r>
      <w:r w:rsidRPr="00E63238">
        <w:rPr>
          <w:rFonts w:ascii="Times New Roman" w:hAnsi="Times New Roman" w:cs="Times New Roman"/>
          <w:sz w:val="24"/>
          <w:szCs w:val="24"/>
          <w:vertAlign w:val="subscript"/>
        </w:rPr>
        <w:t>a</w:t>
      </w:r>
      <w:r>
        <w:rPr>
          <w:rFonts w:ascii="Times New Roman" w:hAnsi="Times New Roman" w:cs="Times New Roman"/>
          <w:sz w:val="24"/>
          <w:szCs w:val="24"/>
          <w:vertAlign w:val="subscript"/>
        </w:rPr>
        <w:t xml:space="preserve">  </w:t>
      </w:r>
      <w:r w:rsidRPr="00E63238">
        <w:rPr>
          <w:rFonts w:ascii="Times New Roman" w:hAnsi="Times New Roman" w:cs="Times New Roman"/>
          <w:sz w:val="24"/>
          <w:szCs w:val="24"/>
        </w:rPr>
        <w:t xml:space="preserve">represents the ratio of recorded absorbance to concentration of the complex by Beer’s law.  </w:t>
      </w:r>
    </w:p>
    <w:p w:rsidR="00E275C1" w:rsidRPr="002A0ADE" w:rsidRDefault="00E275C1" w:rsidP="00E275C1">
      <w:pPr>
        <w:spacing w:line="360" w:lineRule="auto"/>
        <w:jc w:val="both"/>
        <w:rPr>
          <w:rFonts w:ascii="Times New Roman" w:hAnsi="Times New Roman" w:cs="Times New Roman"/>
          <w:b/>
          <w:bCs/>
          <w:i/>
          <w:sz w:val="24"/>
          <w:szCs w:val="24"/>
        </w:rPr>
      </w:pPr>
      <w:r w:rsidRPr="002A0ADE">
        <w:rPr>
          <w:rFonts w:ascii="Times New Roman" w:hAnsi="Times New Roman" w:cs="Times New Roman"/>
          <w:b/>
          <w:bCs/>
          <w:i/>
          <w:sz w:val="24"/>
          <w:szCs w:val="24"/>
        </w:rPr>
        <w:t>Toxicity study</w:t>
      </w:r>
    </w:p>
    <w:p w:rsidR="00E275C1" w:rsidRPr="00E275C1" w:rsidRDefault="00E275C1" w:rsidP="00E275C1">
      <w:pPr>
        <w:spacing w:line="360" w:lineRule="auto"/>
        <w:jc w:val="both"/>
        <w:rPr>
          <w:rFonts w:ascii="Times New Roman" w:hAnsi="Times New Roman" w:cs="Times New Roman"/>
          <w:bCs/>
          <w:i/>
          <w:sz w:val="24"/>
          <w:szCs w:val="24"/>
        </w:rPr>
      </w:pPr>
      <w:r w:rsidRPr="00E275C1">
        <w:rPr>
          <w:rFonts w:ascii="Times New Roman" w:hAnsi="Times New Roman" w:cs="Times New Roman"/>
          <w:bCs/>
          <w:i/>
          <w:sz w:val="24"/>
          <w:szCs w:val="24"/>
        </w:rPr>
        <w:t>Acute oral toxicity study</w:t>
      </w:r>
    </w:p>
    <w:p w:rsidR="00E275C1" w:rsidRPr="00E63238" w:rsidRDefault="00E275C1" w:rsidP="00E275C1">
      <w:pPr>
        <w:spacing w:line="360" w:lineRule="auto"/>
        <w:jc w:val="both"/>
        <w:rPr>
          <w:rFonts w:ascii="Times New Roman" w:hAnsi="Times New Roman" w:cs="Times New Roman"/>
          <w:sz w:val="24"/>
          <w:szCs w:val="24"/>
        </w:rPr>
      </w:pPr>
      <w:r w:rsidRPr="00E63238">
        <w:rPr>
          <w:rFonts w:ascii="Times New Roman" w:hAnsi="Times New Roman" w:cs="Times New Roman"/>
          <w:bCs/>
          <w:sz w:val="24"/>
          <w:szCs w:val="24"/>
        </w:rPr>
        <w:t xml:space="preserve">The acute oral toxicity study of taxifolin ruthenium-p-cymene complex was carried out according to the guidelines provided by the </w:t>
      </w:r>
      <w:r w:rsidRPr="00E63238">
        <w:rPr>
          <w:rFonts w:ascii="Times New Roman" w:hAnsi="Times New Roman" w:cs="Times New Roman"/>
          <w:sz w:val="24"/>
          <w:szCs w:val="24"/>
        </w:rPr>
        <w:t>Organization for Economic Co-operation and Development (OECD), TG 420 (adopted in December 2001) for the evaluation of LD</w:t>
      </w:r>
      <w:r w:rsidRPr="00E63238">
        <w:rPr>
          <w:rFonts w:ascii="Times New Roman" w:hAnsi="Times New Roman" w:cs="Times New Roman"/>
          <w:sz w:val="24"/>
          <w:szCs w:val="24"/>
          <w:vertAlign w:val="subscript"/>
        </w:rPr>
        <w:t>50</w:t>
      </w:r>
      <w:r w:rsidRPr="00E63238">
        <w:rPr>
          <w:rFonts w:ascii="Times New Roman" w:hAnsi="Times New Roman" w:cs="Times New Roman"/>
          <w:sz w:val="24"/>
          <w:szCs w:val="24"/>
        </w:rPr>
        <w:t xml:space="preserve"> dose of the complex. The animals were starved overnight prior to the initiation of the experiment. Total twenty Swiss albino mice, 10 of each s</w:t>
      </w:r>
      <w:r>
        <w:rPr>
          <w:rFonts w:ascii="Times New Roman" w:hAnsi="Times New Roman" w:cs="Times New Roman"/>
          <w:sz w:val="24"/>
          <w:szCs w:val="24"/>
        </w:rPr>
        <w:t>ex</w:t>
      </w:r>
      <w:r w:rsidRPr="00E63238">
        <w:rPr>
          <w:rFonts w:ascii="Times New Roman" w:hAnsi="Times New Roman" w:cs="Times New Roman"/>
          <w:sz w:val="24"/>
          <w:szCs w:val="24"/>
        </w:rPr>
        <w:t xml:space="preserve"> were randomly divided into five groups (four animals per group and two of each sex) viz., control group (supplied with 0.5% carboxy methyl cellulose</w:t>
      </w:r>
      <w:r>
        <w:rPr>
          <w:rFonts w:ascii="Times New Roman" w:hAnsi="Times New Roman" w:cs="Times New Roman"/>
          <w:sz w:val="24"/>
          <w:szCs w:val="24"/>
        </w:rPr>
        <w:t xml:space="preserve"> (CMC)</w:t>
      </w:r>
      <w:r w:rsidRPr="00E63238">
        <w:rPr>
          <w:rFonts w:ascii="Times New Roman" w:hAnsi="Times New Roman" w:cs="Times New Roman"/>
          <w:sz w:val="24"/>
          <w:szCs w:val="24"/>
        </w:rPr>
        <w:t xml:space="preserve"> in double distilled water at a dose volume of 10 ml/kg body weight) and four test groups (2000 mg/kg, 1000 mg/kg, 800 mg/kg, 600 mg/kg taxifolin ruthenium-p-cymene complex). The animals were provided with food and water immediately after drug treatment and observed up to 3 days.</w:t>
      </w:r>
    </w:p>
    <w:p w:rsidR="00E275C1" w:rsidRPr="00E275C1" w:rsidRDefault="00E275C1" w:rsidP="00E275C1">
      <w:pPr>
        <w:spacing w:line="360" w:lineRule="auto"/>
        <w:jc w:val="both"/>
        <w:rPr>
          <w:rFonts w:ascii="Times New Roman" w:hAnsi="Times New Roman" w:cs="Times New Roman"/>
          <w:bCs/>
          <w:i/>
          <w:sz w:val="24"/>
          <w:szCs w:val="24"/>
        </w:rPr>
      </w:pPr>
      <w:r w:rsidRPr="00E275C1">
        <w:rPr>
          <w:rFonts w:ascii="Times New Roman" w:hAnsi="Times New Roman" w:cs="Times New Roman"/>
          <w:bCs/>
          <w:i/>
          <w:sz w:val="24"/>
          <w:szCs w:val="24"/>
        </w:rPr>
        <w:t>Sub-acute toxicity study</w:t>
      </w:r>
    </w:p>
    <w:p w:rsidR="00E275C1" w:rsidRPr="00E63238" w:rsidRDefault="00E275C1" w:rsidP="00E275C1">
      <w:pPr>
        <w:spacing w:line="360" w:lineRule="auto"/>
        <w:jc w:val="both"/>
        <w:rPr>
          <w:rFonts w:ascii="Times New Roman" w:hAnsi="Times New Roman" w:cs="Times New Roman"/>
          <w:sz w:val="24"/>
          <w:szCs w:val="24"/>
        </w:rPr>
      </w:pPr>
      <w:r w:rsidRPr="00E63238">
        <w:rPr>
          <w:rFonts w:ascii="Times New Roman" w:hAnsi="Times New Roman" w:cs="Times New Roman"/>
          <w:bCs/>
          <w:sz w:val="24"/>
          <w:szCs w:val="24"/>
        </w:rPr>
        <w:t xml:space="preserve">A 28-days repeated oral toxicity study (sub-acute toxicity) was performed according to the </w:t>
      </w:r>
      <w:r>
        <w:rPr>
          <w:rFonts w:ascii="Times New Roman" w:hAnsi="Times New Roman" w:cs="Times New Roman"/>
          <w:bCs/>
          <w:sz w:val="24"/>
          <w:szCs w:val="24"/>
        </w:rPr>
        <w:t>OECD Guideline</w:t>
      </w:r>
      <w:r>
        <w:rPr>
          <w:rFonts w:ascii="Times New Roman" w:hAnsi="Times New Roman" w:cs="Times New Roman"/>
          <w:sz w:val="24"/>
          <w:szCs w:val="24"/>
        </w:rPr>
        <w:t>, TG 407</w:t>
      </w:r>
      <w:r w:rsidRPr="00E63238">
        <w:rPr>
          <w:rFonts w:ascii="Times New Roman" w:hAnsi="Times New Roman" w:cs="Times New Roman"/>
          <w:sz w:val="24"/>
          <w:szCs w:val="24"/>
        </w:rPr>
        <w:t xml:space="preserve"> (</w:t>
      </w:r>
      <w:r w:rsidRPr="0045499C">
        <w:rPr>
          <w:rFonts w:ascii="Times New Roman" w:hAnsi="Times New Roman" w:cs="Times New Roman"/>
          <w:sz w:val="24"/>
          <w:szCs w:val="24"/>
        </w:rPr>
        <w:t>adopted in December 2001</w:t>
      </w:r>
      <w:r w:rsidRPr="00E63238">
        <w:rPr>
          <w:rFonts w:ascii="Times New Roman" w:hAnsi="Times New Roman" w:cs="Times New Roman"/>
          <w:sz w:val="24"/>
          <w:szCs w:val="24"/>
        </w:rPr>
        <w:t xml:space="preserve">). Twenty swiss albino mice of both sexes was randomly distributed into five experimental groups: vehicle control group (given 0.5% </w:t>
      </w:r>
      <w:r>
        <w:rPr>
          <w:rFonts w:ascii="Times New Roman" w:hAnsi="Times New Roman" w:cs="Times New Roman"/>
          <w:sz w:val="24"/>
          <w:szCs w:val="24"/>
        </w:rPr>
        <w:t>CMC</w:t>
      </w:r>
      <w:r w:rsidRPr="00E63238">
        <w:rPr>
          <w:rFonts w:ascii="Times New Roman" w:hAnsi="Times New Roman" w:cs="Times New Roman"/>
          <w:sz w:val="24"/>
          <w:szCs w:val="24"/>
        </w:rPr>
        <w:t xml:space="preserve"> </w:t>
      </w:r>
      <w:r w:rsidRPr="00E63238">
        <w:rPr>
          <w:rFonts w:ascii="Times New Roman" w:hAnsi="Times New Roman" w:cs="Times New Roman"/>
          <w:sz w:val="24"/>
          <w:szCs w:val="24"/>
        </w:rPr>
        <w:lastRenderedPageBreak/>
        <w:t xml:space="preserve">in double distilled water at a dose volume of 10 ml/kg body weight) and four test groups (400 mg/kg, 200 mg/kg, 100 mg/kg, 50 mg/kg of the complex). Each group comprised of four animals, two of each sex. </w:t>
      </w:r>
      <w:r w:rsidRPr="00A866DA">
        <w:rPr>
          <w:rFonts w:ascii="Times New Roman" w:hAnsi="Times New Roman" w:cs="Times New Roman"/>
          <w:sz w:val="24"/>
          <w:szCs w:val="24"/>
          <w:lang w:val="en-IN"/>
        </w:rPr>
        <w:t>The animals were given food and water immediately after the administration of the complex and monitored for general clinical appearance, body weights, and mortality for up to 28 days. Animals were euthanized under the anesthesia of pentobarbital sodium (45 mg/kg, i.p) and investigated for haematological, serum biochemical, and histopathological evaluations.</w:t>
      </w:r>
      <w:r w:rsidRPr="00E63238">
        <w:rPr>
          <w:rFonts w:ascii="Times New Roman" w:hAnsi="Times New Roman" w:cs="Times New Roman"/>
          <w:sz w:val="24"/>
          <w:szCs w:val="24"/>
        </w:rPr>
        <w:t xml:space="preserve"> </w:t>
      </w:r>
    </w:p>
    <w:p w:rsidR="00E275C1" w:rsidRPr="00E63238" w:rsidRDefault="00E275C1" w:rsidP="00E275C1">
      <w:pPr>
        <w:spacing w:line="360" w:lineRule="auto"/>
        <w:jc w:val="both"/>
        <w:rPr>
          <w:rFonts w:ascii="Times New Roman" w:hAnsi="Times New Roman" w:cs="Times New Roman"/>
          <w:i/>
          <w:sz w:val="24"/>
          <w:szCs w:val="24"/>
        </w:rPr>
      </w:pPr>
      <w:r w:rsidRPr="00E63238">
        <w:rPr>
          <w:rFonts w:ascii="Times New Roman" w:hAnsi="Times New Roman" w:cs="Times New Roman"/>
          <w:i/>
          <w:sz w:val="24"/>
          <w:szCs w:val="24"/>
        </w:rPr>
        <w:t>Hematological and serum biochemical analysis</w:t>
      </w:r>
    </w:p>
    <w:p w:rsidR="00E275C1" w:rsidRPr="00E63238" w:rsidRDefault="00E275C1" w:rsidP="00E275C1">
      <w:pPr>
        <w:spacing w:line="360" w:lineRule="auto"/>
        <w:jc w:val="both"/>
        <w:rPr>
          <w:rFonts w:ascii="Times New Roman" w:hAnsi="Times New Roman" w:cs="Times New Roman"/>
          <w:sz w:val="24"/>
          <w:szCs w:val="24"/>
        </w:rPr>
      </w:pPr>
      <w:r w:rsidRPr="00E63238">
        <w:rPr>
          <w:rFonts w:ascii="Times New Roman" w:hAnsi="Times New Roman" w:cs="Times New Roman"/>
          <w:sz w:val="24"/>
          <w:szCs w:val="24"/>
        </w:rPr>
        <w:t xml:space="preserve">The blood samples were collected from the retro-orbital plexus of the animals and different hematological parameters were evaluated using </w:t>
      </w:r>
      <w:r w:rsidRPr="00A866DA">
        <w:rPr>
          <w:rFonts w:ascii="Times New Roman" w:hAnsi="Times New Roman" w:cs="Times New Roman"/>
          <w:color w:val="000000"/>
          <w:sz w:val="24"/>
          <w:szCs w:val="24"/>
        </w:rPr>
        <w:t>Medonic CA-20 cell analyzer systems (Boule Medical, Stockholm, Sweden).</w:t>
      </w:r>
      <w:r w:rsidRPr="00E63238">
        <w:rPr>
          <w:rFonts w:ascii="Times New Roman" w:hAnsi="Times New Roman" w:cs="Times New Roman"/>
          <w:color w:val="000000"/>
          <w:sz w:val="24"/>
          <w:szCs w:val="24"/>
        </w:rPr>
        <w:t xml:space="preserve"> The serum from the blood samples were separated by centrifugation for 10 minutes at 3000 rpm</w:t>
      </w:r>
      <w:r w:rsidRPr="00E63238">
        <w:rPr>
          <w:rFonts w:ascii="Times New Roman" w:hAnsi="Times New Roman" w:cs="Times New Roman"/>
          <w:sz w:val="24"/>
          <w:szCs w:val="24"/>
        </w:rPr>
        <w:t xml:space="preserve"> </w:t>
      </w:r>
      <w:r>
        <w:rPr>
          <w:rFonts w:ascii="Times New Roman" w:hAnsi="Times New Roman" w:cs="Times New Roman"/>
          <w:sz w:val="24"/>
          <w:szCs w:val="24"/>
        </w:rPr>
        <w:t>and</w:t>
      </w:r>
      <w:r w:rsidRPr="00E63238">
        <w:rPr>
          <w:rFonts w:ascii="Times New Roman" w:hAnsi="Times New Roman" w:cs="Times New Roman"/>
          <w:sz w:val="24"/>
          <w:szCs w:val="24"/>
        </w:rPr>
        <w:t xml:space="preserve"> used for biochemical </w:t>
      </w:r>
      <w:r>
        <w:rPr>
          <w:rFonts w:ascii="Times New Roman" w:hAnsi="Times New Roman" w:cs="Times New Roman"/>
          <w:sz w:val="24"/>
          <w:szCs w:val="24"/>
        </w:rPr>
        <w:t>analysis</w:t>
      </w:r>
      <w:r w:rsidRPr="00E63238">
        <w:rPr>
          <w:rFonts w:ascii="Times New Roman" w:hAnsi="Times New Roman" w:cs="Times New Roman"/>
          <w:sz w:val="24"/>
          <w:szCs w:val="24"/>
        </w:rPr>
        <w:t xml:space="preserve"> by </w:t>
      </w:r>
      <w:r>
        <w:rPr>
          <w:rFonts w:ascii="Times New Roman" w:hAnsi="Times New Roman" w:cs="Times New Roman"/>
          <w:sz w:val="24"/>
          <w:szCs w:val="24"/>
        </w:rPr>
        <w:t xml:space="preserve">using </w:t>
      </w:r>
      <w:r w:rsidRPr="00A866DA">
        <w:rPr>
          <w:rFonts w:ascii="Times New Roman" w:hAnsi="Times New Roman" w:cs="Times New Roman"/>
          <w:color w:val="000000"/>
          <w:sz w:val="24"/>
          <w:szCs w:val="24"/>
          <w:lang w:val="en-IN"/>
        </w:rPr>
        <w:t>Microlab 3000 auto-analyzer</w:t>
      </w:r>
      <w:r w:rsidRPr="00E63238">
        <w:rPr>
          <w:rFonts w:ascii="Times New Roman" w:hAnsi="Times New Roman" w:cs="Times New Roman"/>
          <w:color w:val="000000"/>
          <w:sz w:val="24"/>
          <w:szCs w:val="24"/>
        </w:rPr>
        <w:t>.</w:t>
      </w:r>
    </w:p>
    <w:p w:rsidR="00E275C1" w:rsidRPr="00E63238" w:rsidRDefault="00E275C1" w:rsidP="00E275C1">
      <w:pPr>
        <w:spacing w:line="360" w:lineRule="auto"/>
        <w:jc w:val="both"/>
        <w:rPr>
          <w:rFonts w:ascii="Times New Roman" w:hAnsi="Times New Roman" w:cs="Times New Roman"/>
          <w:i/>
          <w:sz w:val="24"/>
          <w:szCs w:val="24"/>
        </w:rPr>
      </w:pPr>
      <w:r w:rsidRPr="00E63238">
        <w:rPr>
          <w:rFonts w:ascii="Times New Roman" w:hAnsi="Times New Roman" w:cs="Times New Roman"/>
          <w:i/>
          <w:sz w:val="24"/>
          <w:szCs w:val="24"/>
        </w:rPr>
        <w:t xml:space="preserve">Histopathological studies of the organs </w:t>
      </w:r>
    </w:p>
    <w:p w:rsidR="00E275C1" w:rsidRDefault="00E275C1" w:rsidP="00E275C1">
      <w:pPr>
        <w:spacing w:line="360" w:lineRule="auto"/>
        <w:jc w:val="both"/>
        <w:rPr>
          <w:rFonts w:ascii="Times New Roman" w:hAnsi="Times New Roman" w:cs="Times New Roman"/>
          <w:bCs/>
          <w:sz w:val="24"/>
          <w:szCs w:val="24"/>
          <w:lang w:val="en-IN"/>
        </w:rPr>
      </w:pPr>
      <w:r w:rsidRPr="00A866DA">
        <w:rPr>
          <w:rFonts w:ascii="Times New Roman" w:hAnsi="Times New Roman" w:cs="Times New Roman"/>
          <w:bCs/>
          <w:sz w:val="24"/>
          <w:szCs w:val="24"/>
          <w:lang w:val="en-IN"/>
        </w:rPr>
        <w:t>After 28 days of repeated oral dose toxicity study animals were sacrificed and major organs (liver</w:t>
      </w:r>
      <w:r>
        <w:rPr>
          <w:rFonts w:ascii="Times New Roman" w:hAnsi="Times New Roman" w:cs="Times New Roman"/>
          <w:bCs/>
          <w:sz w:val="24"/>
          <w:szCs w:val="24"/>
          <w:lang w:val="en-IN"/>
        </w:rPr>
        <w:t>,</w:t>
      </w:r>
      <w:r w:rsidRPr="00A866DA">
        <w:rPr>
          <w:rFonts w:ascii="Times New Roman" w:hAnsi="Times New Roman" w:cs="Times New Roman"/>
          <w:bCs/>
          <w:sz w:val="24"/>
          <w:szCs w:val="24"/>
          <w:lang w:val="en-IN"/>
        </w:rPr>
        <w:t xml:space="preserve"> kidney, stomach</w:t>
      </w:r>
      <w:r>
        <w:rPr>
          <w:rFonts w:ascii="Times New Roman" w:hAnsi="Times New Roman" w:cs="Times New Roman"/>
          <w:bCs/>
          <w:sz w:val="24"/>
          <w:szCs w:val="24"/>
          <w:lang w:val="en-IN"/>
        </w:rPr>
        <w:t>,</w:t>
      </w:r>
      <w:r w:rsidRPr="00A866DA">
        <w:rPr>
          <w:rFonts w:ascii="Times New Roman" w:hAnsi="Times New Roman" w:cs="Times New Roman"/>
          <w:bCs/>
          <w:sz w:val="24"/>
          <w:szCs w:val="24"/>
          <w:lang w:val="en-IN"/>
        </w:rPr>
        <w:t xml:space="preserve"> pancreas</w:t>
      </w:r>
      <w:r>
        <w:rPr>
          <w:rFonts w:ascii="Times New Roman" w:hAnsi="Times New Roman" w:cs="Times New Roman"/>
          <w:bCs/>
          <w:sz w:val="24"/>
          <w:szCs w:val="24"/>
          <w:lang w:val="en-IN"/>
        </w:rPr>
        <w:t>,</w:t>
      </w:r>
      <w:r w:rsidRPr="00A866DA">
        <w:rPr>
          <w:rFonts w:ascii="Times New Roman" w:hAnsi="Times New Roman" w:cs="Times New Roman"/>
          <w:bCs/>
          <w:sz w:val="24"/>
          <w:szCs w:val="24"/>
          <w:lang w:val="en-IN"/>
        </w:rPr>
        <w:t xml:space="preserve"> </w:t>
      </w:r>
      <w:r>
        <w:rPr>
          <w:rFonts w:ascii="Times New Roman" w:hAnsi="Times New Roman" w:cs="Times New Roman"/>
          <w:bCs/>
          <w:sz w:val="24"/>
          <w:szCs w:val="24"/>
          <w:lang w:val="en-IN"/>
        </w:rPr>
        <w:t xml:space="preserve">and </w:t>
      </w:r>
      <w:r w:rsidRPr="00A866DA">
        <w:rPr>
          <w:rFonts w:ascii="Times New Roman" w:hAnsi="Times New Roman" w:cs="Times New Roman"/>
          <w:bCs/>
          <w:sz w:val="24"/>
          <w:szCs w:val="24"/>
          <w:lang w:val="en-IN"/>
        </w:rPr>
        <w:t>testis) were excised and fixed for 24 hours in formalin. The excised tissues were dehydrated and embedded in paraffin wax. The tissues of 5 µm thickness were kept on slides and rehydrated by graded alcohol. The slides were stained using hematoxylin and eosin (H&amp;E), which were observed under the light microscope (Labline Olympus Microscope LED, MX21i) for histological evaluation.</w:t>
      </w:r>
    </w:p>
    <w:p w:rsidR="00E275C1" w:rsidRPr="002A0ADE" w:rsidRDefault="00E275C1" w:rsidP="00E275C1">
      <w:pPr>
        <w:spacing w:line="360" w:lineRule="auto"/>
        <w:jc w:val="both"/>
        <w:rPr>
          <w:rFonts w:ascii="Times New Roman" w:hAnsi="Times New Roman" w:cs="Times New Roman"/>
          <w:b/>
          <w:bCs/>
          <w:i/>
          <w:sz w:val="24"/>
          <w:szCs w:val="24"/>
        </w:rPr>
      </w:pPr>
      <w:r w:rsidRPr="002A0ADE">
        <w:rPr>
          <w:rFonts w:ascii="Times New Roman" w:hAnsi="Times New Roman" w:cs="Times New Roman"/>
          <w:b/>
          <w:bCs/>
          <w:i/>
          <w:sz w:val="24"/>
          <w:szCs w:val="24"/>
        </w:rPr>
        <w:t>Antioxidant assay of lung tissue</w:t>
      </w:r>
    </w:p>
    <w:p w:rsidR="00E275C1" w:rsidRDefault="00E275C1" w:rsidP="00E275C1">
      <w:pPr>
        <w:spacing w:line="360" w:lineRule="auto"/>
        <w:jc w:val="both"/>
        <w:rPr>
          <w:rFonts w:ascii="Times New Roman" w:hAnsi="Times New Roman" w:cs="Times New Roman"/>
          <w:bCs/>
          <w:sz w:val="24"/>
          <w:szCs w:val="24"/>
        </w:rPr>
      </w:pPr>
      <w:r w:rsidRPr="00E275C1">
        <w:rPr>
          <w:rFonts w:ascii="Times New Roman" w:hAnsi="Times New Roman" w:cs="Times New Roman"/>
          <w:bCs/>
          <w:sz w:val="24"/>
          <w:szCs w:val="24"/>
        </w:rPr>
        <w:t>Lung tissue samples were homogenized using D-160 homogenizer (D-LAB, USA) in a lysis buffer solution at a concentration of 1 g tissue/10 ml. The homogenate was centrifuged at 800x g for 30 min at 4</w:t>
      </w:r>
      <w:r w:rsidRPr="00E275C1">
        <w:rPr>
          <w:rFonts w:ascii="Times New Roman" w:hAnsi="Times New Roman" w:cs="Times New Roman"/>
          <w:bCs/>
          <w:sz w:val="24"/>
          <w:szCs w:val="24"/>
          <w:vertAlign w:val="superscript"/>
        </w:rPr>
        <w:t>o</w:t>
      </w:r>
      <w:r w:rsidRPr="00E275C1">
        <w:rPr>
          <w:rFonts w:ascii="Times New Roman" w:hAnsi="Times New Roman" w:cs="Times New Roman"/>
          <w:bCs/>
          <w:sz w:val="24"/>
          <w:szCs w:val="24"/>
        </w:rPr>
        <w:t xml:space="preserve">C and the supernatant was used for further experimentation. The CAT (catalase) reaction was performed according to the method adopted by Sinha and his associates </w:t>
      </w:r>
      <w:r w:rsidR="004B3E5D">
        <w:rPr>
          <w:rFonts w:ascii="Times New Roman" w:hAnsi="Times New Roman" w:cs="Times New Roman"/>
          <w:bCs/>
          <w:sz w:val="24"/>
          <w:szCs w:val="24"/>
        </w:rPr>
        <w:t>(</w:t>
      </w:r>
      <w:r w:rsidR="004B3E5D" w:rsidRPr="004B3E5D">
        <w:rPr>
          <w:rFonts w:ascii="Times New Roman" w:hAnsi="Times New Roman" w:cs="Times New Roman"/>
          <w:bCs/>
          <w:sz w:val="24"/>
          <w:szCs w:val="24"/>
        </w:rPr>
        <w:t>Sinha</w:t>
      </w:r>
      <w:r w:rsidR="004B3E5D">
        <w:rPr>
          <w:rFonts w:ascii="Times New Roman" w:hAnsi="Times New Roman" w:cs="Times New Roman"/>
          <w:bCs/>
          <w:sz w:val="24"/>
          <w:szCs w:val="24"/>
        </w:rPr>
        <w:t xml:space="preserve"> et al., 1972)</w:t>
      </w:r>
      <w:r w:rsidRPr="00E275C1">
        <w:rPr>
          <w:rFonts w:ascii="Times New Roman" w:hAnsi="Times New Roman" w:cs="Times New Roman"/>
          <w:bCs/>
          <w:sz w:val="24"/>
          <w:szCs w:val="24"/>
        </w:rPr>
        <w:t>. The absorbance was recorded at 620 nm and the action of CAT was evaluated as μMol of H</w:t>
      </w:r>
      <w:r w:rsidRPr="00E275C1">
        <w:rPr>
          <w:rFonts w:ascii="Times New Roman" w:hAnsi="Times New Roman" w:cs="Times New Roman"/>
          <w:bCs/>
          <w:sz w:val="24"/>
          <w:szCs w:val="24"/>
          <w:vertAlign w:val="subscript"/>
        </w:rPr>
        <w:t>2</w:t>
      </w:r>
      <w:r w:rsidRPr="00E275C1">
        <w:rPr>
          <w:rFonts w:ascii="Times New Roman" w:hAnsi="Times New Roman" w:cs="Times New Roman"/>
          <w:bCs/>
          <w:sz w:val="24"/>
          <w:szCs w:val="24"/>
        </w:rPr>
        <w:t>O</w:t>
      </w:r>
      <w:r w:rsidRPr="00E275C1">
        <w:rPr>
          <w:rFonts w:ascii="Times New Roman" w:hAnsi="Times New Roman" w:cs="Times New Roman"/>
          <w:bCs/>
          <w:sz w:val="24"/>
          <w:szCs w:val="24"/>
          <w:vertAlign w:val="subscript"/>
        </w:rPr>
        <w:t>2</w:t>
      </w:r>
      <w:r w:rsidRPr="00E275C1">
        <w:rPr>
          <w:rFonts w:ascii="Times New Roman" w:hAnsi="Times New Roman" w:cs="Times New Roman"/>
          <w:bCs/>
          <w:sz w:val="24"/>
          <w:szCs w:val="24"/>
        </w:rPr>
        <w:t xml:space="preserve">/min/mg protein consumed. The SOD (superoxide dismutase) activity was evaluated by the method of Awasthi </w:t>
      </w:r>
      <w:r w:rsidR="004B3E5D">
        <w:rPr>
          <w:rFonts w:ascii="Times New Roman" w:hAnsi="Times New Roman" w:cs="Times New Roman"/>
          <w:bCs/>
          <w:sz w:val="24"/>
          <w:szCs w:val="24"/>
        </w:rPr>
        <w:t>(</w:t>
      </w:r>
      <w:r w:rsidR="004B3E5D" w:rsidRPr="004B3E5D">
        <w:rPr>
          <w:rFonts w:ascii="Times New Roman" w:hAnsi="Times New Roman" w:cs="Times New Roman"/>
          <w:bCs/>
          <w:sz w:val="24"/>
          <w:szCs w:val="24"/>
        </w:rPr>
        <w:t>Awasthi</w:t>
      </w:r>
      <w:r w:rsidR="004B3E5D">
        <w:rPr>
          <w:rFonts w:ascii="Times New Roman" w:hAnsi="Times New Roman" w:cs="Times New Roman"/>
          <w:bCs/>
          <w:sz w:val="24"/>
          <w:szCs w:val="24"/>
        </w:rPr>
        <w:t xml:space="preserve"> et al., 1989)</w:t>
      </w:r>
      <w:r w:rsidRPr="00E275C1">
        <w:rPr>
          <w:rFonts w:ascii="Times New Roman" w:hAnsi="Times New Roman" w:cs="Times New Roman"/>
          <w:bCs/>
          <w:sz w:val="24"/>
          <w:szCs w:val="24"/>
        </w:rPr>
        <w:t xml:space="preserve">. The action of SOD was denoted as </w:t>
      </w:r>
      <w:r w:rsidRPr="00E275C1">
        <w:rPr>
          <w:rFonts w:ascii="Times New Roman" w:hAnsi="Times New Roman" w:cs="Times New Roman"/>
          <w:bCs/>
          <w:sz w:val="24"/>
          <w:szCs w:val="24"/>
        </w:rPr>
        <w:lastRenderedPageBreak/>
        <w:t xml:space="preserve">units/min/mg protein. The assessment of GPx (Glutathione Peroxidase) was performed according to the method described by Rotruck </w:t>
      </w:r>
      <w:r w:rsidR="004B3E5D">
        <w:rPr>
          <w:rFonts w:ascii="Times New Roman" w:hAnsi="Times New Roman" w:cs="Times New Roman"/>
          <w:bCs/>
          <w:sz w:val="24"/>
          <w:szCs w:val="24"/>
        </w:rPr>
        <w:t>(</w:t>
      </w:r>
      <w:r w:rsidR="004B3E5D" w:rsidRPr="004B3E5D">
        <w:rPr>
          <w:rFonts w:ascii="Times New Roman" w:hAnsi="Times New Roman" w:cs="Times New Roman"/>
          <w:bCs/>
          <w:sz w:val="24"/>
          <w:szCs w:val="24"/>
        </w:rPr>
        <w:t>Rotruck</w:t>
      </w:r>
      <w:r w:rsidR="004B3E5D">
        <w:rPr>
          <w:rFonts w:ascii="Times New Roman" w:hAnsi="Times New Roman" w:cs="Times New Roman"/>
          <w:bCs/>
          <w:sz w:val="24"/>
          <w:szCs w:val="24"/>
        </w:rPr>
        <w:t xml:space="preserve"> et al., 1973)</w:t>
      </w:r>
      <w:r w:rsidRPr="00E275C1">
        <w:rPr>
          <w:rFonts w:ascii="Times New Roman" w:hAnsi="Times New Roman" w:cs="Times New Roman"/>
          <w:bCs/>
          <w:sz w:val="24"/>
          <w:szCs w:val="24"/>
        </w:rPr>
        <w:t>. The GPx activity was determined as µMol of GSH (glutathione) consumed/min/mg protein.</w:t>
      </w:r>
    </w:p>
    <w:p w:rsidR="00E275C1" w:rsidRDefault="00E275C1" w:rsidP="00E275C1">
      <w:pPr>
        <w:spacing w:line="360" w:lineRule="auto"/>
        <w:jc w:val="both"/>
        <w:rPr>
          <w:rFonts w:ascii="Times New Roman" w:hAnsi="Times New Roman" w:cs="Times New Roman"/>
          <w:b/>
          <w:bCs/>
          <w:sz w:val="24"/>
          <w:szCs w:val="24"/>
        </w:rPr>
      </w:pPr>
      <w:r w:rsidRPr="00E275C1">
        <w:rPr>
          <w:rFonts w:ascii="Times New Roman" w:hAnsi="Times New Roman" w:cs="Times New Roman"/>
          <w:b/>
          <w:bCs/>
          <w:sz w:val="24"/>
          <w:szCs w:val="24"/>
        </w:rPr>
        <w:t>Results</w:t>
      </w:r>
    </w:p>
    <w:p w:rsidR="00E275C1" w:rsidRPr="002A0ADE" w:rsidRDefault="00E275C1" w:rsidP="00E275C1">
      <w:pPr>
        <w:spacing w:line="360" w:lineRule="auto"/>
        <w:jc w:val="both"/>
        <w:rPr>
          <w:rFonts w:ascii="Times New Roman" w:hAnsi="Times New Roman" w:cs="Times New Roman"/>
          <w:b/>
          <w:i/>
          <w:sz w:val="24"/>
          <w:szCs w:val="24"/>
        </w:rPr>
      </w:pPr>
      <w:r w:rsidRPr="002A0ADE">
        <w:rPr>
          <w:rFonts w:ascii="Times New Roman" w:hAnsi="Times New Roman" w:cs="Times New Roman"/>
          <w:b/>
          <w:i/>
          <w:sz w:val="24"/>
          <w:szCs w:val="24"/>
        </w:rPr>
        <w:t>Successful binding of taxifolin ruthenium-p-cymene complex with ctDNA</w:t>
      </w:r>
    </w:p>
    <w:p w:rsidR="00E275C1" w:rsidRDefault="00E275C1" w:rsidP="00E275C1">
      <w:pPr>
        <w:spacing w:line="360" w:lineRule="auto"/>
        <w:jc w:val="both"/>
        <w:rPr>
          <w:rFonts w:ascii="Times New Roman" w:hAnsi="Times New Roman" w:cs="Times New Roman"/>
          <w:sz w:val="24"/>
          <w:szCs w:val="24"/>
        </w:rPr>
      </w:pPr>
      <w:r>
        <w:rPr>
          <w:rFonts w:ascii="Times New Roman" w:hAnsi="Times New Roman" w:cs="Times New Roman"/>
          <w:sz w:val="24"/>
          <w:szCs w:val="24"/>
        </w:rPr>
        <w:t>The broad range of absorption spectra of the complex in presence of ctDNA has been depicted in (</w:t>
      </w:r>
      <w:r w:rsidR="00F62186">
        <w:rPr>
          <w:rFonts w:ascii="Times New Roman" w:hAnsi="Times New Roman" w:cs="Times New Roman"/>
          <w:sz w:val="24"/>
          <w:szCs w:val="24"/>
        </w:rPr>
        <w:t>Fig.</w:t>
      </w:r>
      <w:r>
        <w:rPr>
          <w:rFonts w:ascii="Times New Roman" w:hAnsi="Times New Roman" w:cs="Times New Roman"/>
          <w:sz w:val="24"/>
          <w:szCs w:val="24"/>
        </w:rPr>
        <w:t xml:space="preserve"> </w:t>
      </w:r>
      <w:r w:rsidR="001511E2">
        <w:rPr>
          <w:rFonts w:ascii="Times New Roman" w:hAnsi="Times New Roman" w:cs="Times New Roman"/>
          <w:sz w:val="24"/>
          <w:szCs w:val="24"/>
        </w:rPr>
        <w:t>S1</w:t>
      </w:r>
      <w:r>
        <w:rPr>
          <w:rFonts w:ascii="Times New Roman" w:hAnsi="Times New Roman" w:cs="Times New Roman"/>
          <w:sz w:val="24"/>
          <w:szCs w:val="24"/>
        </w:rPr>
        <w:t>). The addition of the ctDNA to the complex showed a decrease in the absorption rate of the absorption peak. The change in the intensity can be identified as</w:t>
      </w:r>
      <w:r w:rsidRPr="00B8718A">
        <w:rPr>
          <w:rFonts w:ascii="Times New Roman" w:hAnsi="Times New Roman" w:cs="Times New Roman"/>
          <w:sz w:val="24"/>
          <w:szCs w:val="24"/>
        </w:rPr>
        <w:t xml:space="preserve"> the intra-ligand transition band at 383 nm</w:t>
      </w:r>
      <w:r>
        <w:rPr>
          <w:rFonts w:ascii="Times New Roman" w:hAnsi="Times New Roman" w:cs="Times New Roman"/>
          <w:sz w:val="24"/>
          <w:szCs w:val="24"/>
        </w:rPr>
        <w:t xml:space="preserve">, with increasing the concentration of the complex in the DNA. </w:t>
      </w:r>
    </w:p>
    <w:p w:rsidR="00E275C1" w:rsidRPr="002A0ADE" w:rsidRDefault="00E275C1" w:rsidP="00E275C1">
      <w:pPr>
        <w:spacing w:line="360" w:lineRule="auto"/>
        <w:jc w:val="both"/>
        <w:rPr>
          <w:rFonts w:ascii="Times New Roman" w:hAnsi="Times New Roman" w:cs="Times New Roman"/>
          <w:b/>
          <w:i/>
          <w:sz w:val="24"/>
          <w:szCs w:val="24"/>
        </w:rPr>
      </w:pPr>
      <w:r w:rsidRPr="002A0ADE">
        <w:rPr>
          <w:rFonts w:ascii="Times New Roman" w:hAnsi="Times New Roman" w:cs="Times New Roman"/>
          <w:b/>
          <w:i/>
          <w:sz w:val="24"/>
          <w:szCs w:val="24"/>
        </w:rPr>
        <w:t xml:space="preserve">Toxicity study </w:t>
      </w:r>
    </w:p>
    <w:p w:rsidR="00E275C1" w:rsidRPr="00E275C1" w:rsidRDefault="00E275C1" w:rsidP="00E275C1">
      <w:pPr>
        <w:spacing w:line="360" w:lineRule="auto"/>
        <w:jc w:val="both"/>
        <w:rPr>
          <w:rFonts w:ascii="Times New Roman" w:hAnsi="Times New Roman" w:cs="Times New Roman"/>
          <w:i/>
          <w:iCs/>
          <w:sz w:val="24"/>
          <w:szCs w:val="24"/>
        </w:rPr>
      </w:pPr>
      <w:r w:rsidRPr="00E275C1">
        <w:rPr>
          <w:rFonts w:ascii="Times New Roman" w:hAnsi="Times New Roman" w:cs="Times New Roman"/>
          <w:i/>
          <w:iCs/>
          <w:sz w:val="24"/>
          <w:szCs w:val="24"/>
        </w:rPr>
        <w:t>Acute and sub-acute toxicity study</w:t>
      </w:r>
    </w:p>
    <w:p w:rsidR="00E275C1" w:rsidRPr="00E275C1" w:rsidRDefault="00E275C1" w:rsidP="00E275C1">
      <w:pPr>
        <w:spacing w:line="360" w:lineRule="auto"/>
        <w:jc w:val="both"/>
        <w:rPr>
          <w:rFonts w:ascii="Times New Roman" w:hAnsi="Times New Roman" w:cs="Times New Roman"/>
          <w:iCs/>
          <w:sz w:val="24"/>
          <w:szCs w:val="24"/>
        </w:rPr>
      </w:pPr>
      <w:r w:rsidRPr="00E275C1">
        <w:rPr>
          <w:rFonts w:ascii="Times New Roman" w:hAnsi="Times New Roman" w:cs="Times New Roman"/>
          <w:iCs/>
          <w:sz w:val="24"/>
          <w:szCs w:val="24"/>
        </w:rPr>
        <w:t>The LD</w:t>
      </w:r>
      <w:r w:rsidRPr="00E275C1">
        <w:rPr>
          <w:rFonts w:ascii="Times New Roman" w:hAnsi="Times New Roman" w:cs="Times New Roman"/>
          <w:iCs/>
          <w:sz w:val="24"/>
          <w:szCs w:val="24"/>
          <w:vertAlign w:val="subscript"/>
        </w:rPr>
        <w:t>50</w:t>
      </w:r>
      <w:r w:rsidRPr="00E275C1">
        <w:rPr>
          <w:rFonts w:ascii="Times New Roman" w:hAnsi="Times New Roman" w:cs="Times New Roman"/>
          <w:iCs/>
          <w:sz w:val="24"/>
          <w:szCs w:val="24"/>
        </w:rPr>
        <w:t xml:space="preserve"> dose of the complex was found to be 600 mg/kg body weight after acute oral toxicity study and sunsequently the sub-acute doses were determined to be 50, 100, 200, 400 mg/kg body weight. No treatment related death was observed in the sub-acute toxicity study. </w:t>
      </w:r>
    </w:p>
    <w:p w:rsidR="00E275C1" w:rsidRPr="00E275C1" w:rsidRDefault="00E275C1" w:rsidP="00E275C1">
      <w:pPr>
        <w:spacing w:line="360" w:lineRule="auto"/>
        <w:jc w:val="both"/>
        <w:rPr>
          <w:rFonts w:ascii="Times New Roman" w:hAnsi="Times New Roman" w:cs="Times New Roman"/>
          <w:i/>
          <w:iCs/>
          <w:sz w:val="24"/>
          <w:szCs w:val="24"/>
        </w:rPr>
      </w:pPr>
      <w:r w:rsidRPr="00E275C1">
        <w:rPr>
          <w:rFonts w:ascii="Times New Roman" w:hAnsi="Times New Roman" w:cs="Times New Roman"/>
          <w:i/>
          <w:iCs/>
          <w:sz w:val="24"/>
          <w:szCs w:val="24"/>
        </w:rPr>
        <w:t>Hematological and serum biochemical analysis</w:t>
      </w:r>
    </w:p>
    <w:p w:rsidR="00E275C1" w:rsidRPr="00E275C1" w:rsidRDefault="00E275C1" w:rsidP="00E275C1">
      <w:pPr>
        <w:spacing w:line="360" w:lineRule="auto"/>
        <w:jc w:val="both"/>
        <w:rPr>
          <w:rFonts w:ascii="Times New Roman" w:hAnsi="Times New Roman" w:cs="Times New Roman"/>
          <w:iCs/>
          <w:sz w:val="24"/>
          <w:szCs w:val="24"/>
        </w:rPr>
      </w:pPr>
      <w:r w:rsidRPr="00E275C1">
        <w:rPr>
          <w:rFonts w:ascii="Times New Roman" w:hAnsi="Times New Roman" w:cs="Times New Roman"/>
          <w:iCs/>
          <w:sz w:val="24"/>
          <w:szCs w:val="24"/>
        </w:rPr>
        <w:t xml:space="preserve">The hematological and serum biochemical profile of the animals (control and 50, 100, 200, 400 mg/kg complex treated animals) has been represented in the Table </w:t>
      </w:r>
      <w:r w:rsidR="001511E2">
        <w:rPr>
          <w:rFonts w:ascii="Times New Roman" w:hAnsi="Times New Roman" w:cs="Times New Roman"/>
          <w:iCs/>
          <w:sz w:val="24"/>
          <w:szCs w:val="24"/>
        </w:rPr>
        <w:t>S1-S4</w:t>
      </w:r>
      <w:r w:rsidRPr="00E275C1">
        <w:rPr>
          <w:rFonts w:ascii="Times New Roman" w:hAnsi="Times New Roman" w:cs="Times New Roman"/>
          <w:iCs/>
          <w:sz w:val="24"/>
          <w:szCs w:val="24"/>
        </w:rPr>
        <w:t xml:space="preserve">. According to the report the WBC and RBC levels were found to be high for 400 mg/kg of complex treated animals in compare to the control group (p&lt;0.05). Additionally the ALT, AST and ASP levels were also increased for the 400 mg/kg of complex treated animals (p&lt;0.05). The levels of glucose and BUN were also altered significantly (p&lt;0.05). Therefore the 400 mg/kg dose of the complex was not considered for the subsequent study as it causes toxicity to the animals. </w:t>
      </w:r>
    </w:p>
    <w:p w:rsidR="00E275C1" w:rsidRPr="00E275C1" w:rsidRDefault="00E275C1" w:rsidP="00E275C1">
      <w:pPr>
        <w:spacing w:line="360" w:lineRule="auto"/>
        <w:jc w:val="both"/>
        <w:rPr>
          <w:rFonts w:ascii="Times New Roman" w:hAnsi="Times New Roman" w:cs="Times New Roman"/>
          <w:i/>
          <w:iCs/>
          <w:sz w:val="24"/>
          <w:szCs w:val="24"/>
        </w:rPr>
      </w:pPr>
      <w:r w:rsidRPr="00E275C1">
        <w:rPr>
          <w:rFonts w:ascii="Times New Roman" w:hAnsi="Times New Roman" w:cs="Times New Roman"/>
          <w:i/>
          <w:iCs/>
          <w:sz w:val="24"/>
          <w:szCs w:val="24"/>
        </w:rPr>
        <w:t>Histopathology</w:t>
      </w:r>
    </w:p>
    <w:p w:rsidR="00E275C1" w:rsidRDefault="00E275C1" w:rsidP="00E275C1">
      <w:pPr>
        <w:spacing w:line="360" w:lineRule="auto"/>
        <w:jc w:val="both"/>
        <w:rPr>
          <w:rFonts w:ascii="Times New Roman" w:hAnsi="Times New Roman" w:cs="Times New Roman"/>
          <w:sz w:val="24"/>
          <w:szCs w:val="24"/>
          <w:lang w:val="en-IN"/>
        </w:rPr>
      </w:pPr>
      <w:r w:rsidRPr="00E275C1">
        <w:rPr>
          <w:rFonts w:ascii="Times New Roman" w:hAnsi="Times New Roman" w:cs="Times New Roman"/>
          <w:sz w:val="24"/>
          <w:szCs w:val="24"/>
          <w:lang w:val="en-IN"/>
        </w:rPr>
        <w:t>The histopathological analysis of the vital organs like liver, kidney, stomach, pancreas, and testis were performed after sub-acute toxicity study.</w:t>
      </w:r>
      <w:r w:rsidRPr="00E275C1">
        <w:rPr>
          <w:rFonts w:ascii="Times New Roman" w:hAnsi="Times New Roman" w:cs="Times New Roman"/>
          <w:sz w:val="24"/>
          <w:szCs w:val="24"/>
        </w:rPr>
        <w:t xml:space="preserve"> </w:t>
      </w:r>
      <w:r w:rsidRPr="00E275C1">
        <w:rPr>
          <w:rFonts w:ascii="Times New Roman" w:hAnsi="Times New Roman" w:cs="Times New Roman"/>
          <w:sz w:val="24"/>
          <w:szCs w:val="24"/>
          <w:lang w:val="en-IN"/>
        </w:rPr>
        <w:t>In the normal control group the morphological architecture of liver (</w:t>
      </w:r>
      <w:r w:rsidR="00F62186">
        <w:rPr>
          <w:rFonts w:ascii="Times New Roman" w:hAnsi="Times New Roman" w:cs="Times New Roman"/>
          <w:sz w:val="24"/>
          <w:szCs w:val="24"/>
          <w:lang w:val="en-IN"/>
        </w:rPr>
        <w:t>Fig.</w:t>
      </w:r>
      <w:r w:rsidR="001511E2">
        <w:rPr>
          <w:rFonts w:ascii="Times New Roman" w:hAnsi="Times New Roman" w:cs="Times New Roman"/>
          <w:sz w:val="24"/>
          <w:szCs w:val="24"/>
          <w:lang w:val="en-IN"/>
        </w:rPr>
        <w:t xml:space="preserve"> S2</w:t>
      </w:r>
      <w:r w:rsidRPr="00E275C1">
        <w:rPr>
          <w:rFonts w:ascii="Times New Roman" w:hAnsi="Times New Roman" w:cs="Times New Roman"/>
          <w:sz w:val="24"/>
          <w:szCs w:val="24"/>
          <w:lang w:val="en-IN"/>
        </w:rPr>
        <w:t xml:space="preserve"> (i)A) showed the central vein (</w:t>
      </w:r>
      <w:r w:rsidRPr="00E275C1">
        <w:rPr>
          <w:rFonts w:ascii="Times New Roman" w:hAnsi="Times New Roman" w:cs="Times New Roman"/>
          <w:i/>
          <w:sz w:val="24"/>
          <w:szCs w:val="24"/>
          <w:lang w:val="en-IN"/>
        </w:rPr>
        <w:t>cv</w:t>
      </w:r>
      <w:r w:rsidRPr="00E275C1">
        <w:rPr>
          <w:rFonts w:ascii="Times New Roman" w:hAnsi="Times New Roman" w:cs="Times New Roman"/>
          <w:sz w:val="24"/>
          <w:szCs w:val="24"/>
          <w:lang w:val="en-IN"/>
        </w:rPr>
        <w:t>), portal vein (</w:t>
      </w:r>
      <w:r w:rsidRPr="00E275C1">
        <w:rPr>
          <w:rFonts w:ascii="Times New Roman" w:hAnsi="Times New Roman" w:cs="Times New Roman"/>
          <w:i/>
          <w:sz w:val="24"/>
          <w:szCs w:val="24"/>
          <w:lang w:val="en-IN"/>
        </w:rPr>
        <w:t>pv</w:t>
      </w:r>
      <w:r w:rsidRPr="00E275C1">
        <w:rPr>
          <w:rFonts w:ascii="Times New Roman" w:hAnsi="Times New Roman" w:cs="Times New Roman"/>
          <w:sz w:val="24"/>
          <w:szCs w:val="24"/>
          <w:lang w:val="en-IN"/>
        </w:rPr>
        <w:t>), bile duct (</w:t>
      </w:r>
      <w:r w:rsidRPr="00E275C1">
        <w:rPr>
          <w:rFonts w:ascii="Times New Roman" w:hAnsi="Times New Roman" w:cs="Times New Roman"/>
          <w:i/>
          <w:sz w:val="24"/>
          <w:szCs w:val="24"/>
          <w:lang w:val="en-IN"/>
        </w:rPr>
        <w:t>bd</w:t>
      </w:r>
      <w:r w:rsidRPr="00E275C1">
        <w:rPr>
          <w:rFonts w:ascii="Times New Roman" w:hAnsi="Times New Roman" w:cs="Times New Roman"/>
          <w:sz w:val="24"/>
          <w:szCs w:val="24"/>
          <w:lang w:val="en-IN"/>
        </w:rPr>
        <w:t xml:space="preserve">), </w:t>
      </w:r>
      <w:r w:rsidRPr="00E275C1">
        <w:rPr>
          <w:rFonts w:ascii="Times New Roman" w:hAnsi="Times New Roman" w:cs="Times New Roman"/>
          <w:sz w:val="24"/>
          <w:szCs w:val="24"/>
          <w:lang w:val="en-IN"/>
        </w:rPr>
        <w:lastRenderedPageBreak/>
        <w:t>hepatic artery (</w:t>
      </w:r>
      <w:r w:rsidRPr="00E275C1">
        <w:rPr>
          <w:rFonts w:ascii="Times New Roman" w:hAnsi="Times New Roman" w:cs="Times New Roman"/>
          <w:i/>
          <w:sz w:val="24"/>
          <w:szCs w:val="24"/>
          <w:lang w:val="en-IN"/>
        </w:rPr>
        <w:t>ha</w:t>
      </w:r>
      <w:r w:rsidRPr="00E275C1">
        <w:rPr>
          <w:rFonts w:ascii="Times New Roman" w:hAnsi="Times New Roman" w:cs="Times New Roman"/>
          <w:sz w:val="24"/>
          <w:szCs w:val="24"/>
          <w:lang w:val="en-IN"/>
        </w:rPr>
        <w:t>), sinusoids (</w:t>
      </w:r>
      <w:r w:rsidRPr="00E275C1">
        <w:rPr>
          <w:rFonts w:ascii="Times New Roman" w:hAnsi="Times New Roman" w:cs="Times New Roman"/>
          <w:i/>
          <w:sz w:val="24"/>
          <w:szCs w:val="24"/>
          <w:lang w:val="en-IN"/>
        </w:rPr>
        <w:t>s</w:t>
      </w:r>
      <w:r w:rsidRPr="00E275C1">
        <w:rPr>
          <w:rFonts w:ascii="Times New Roman" w:hAnsi="Times New Roman" w:cs="Times New Roman"/>
          <w:sz w:val="24"/>
          <w:szCs w:val="24"/>
          <w:lang w:val="en-IN"/>
        </w:rPr>
        <w:t>), lymph vessel (</w:t>
      </w:r>
      <w:r w:rsidRPr="00E275C1">
        <w:rPr>
          <w:rFonts w:ascii="Times New Roman" w:hAnsi="Times New Roman" w:cs="Times New Roman"/>
          <w:i/>
          <w:sz w:val="24"/>
          <w:szCs w:val="24"/>
          <w:lang w:val="en-IN"/>
        </w:rPr>
        <w:t>lv</w:t>
      </w:r>
      <w:r w:rsidRPr="00E275C1">
        <w:rPr>
          <w:rFonts w:ascii="Times New Roman" w:hAnsi="Times New Roman" w:cs="Times New Roman"/>
          <w:sz w:val="24"/>
          <w:szCs w:val="24"/>
          <w:lang w:val="en-IN"/>
        </w:rPr>
        <w:t>), hepatocytes (</w:t>
      </w:r>
      <w:r w:rsidRPr="00E275C1">
        <w:rPr>
          <w:rFonts w:ascii="Times New Roman" w:hAnsi="Times New Roman" w:cs="Times New Roman"/>
          <w:i/>
          <w:sz w:val="24"/>
          <w:szCs w:val="24"/>
          <w:lang w:val="en-IN"/>
        </w:rPr>
        <w:t>h</w:t>
      </w:r>
      <w:r w:rsidRPr="00E275C1">
        <w:rPr>
          <w:rFonts w:ascii="Times New Roman" w:hAnsi="Times New Roman" w:cs="Times New Roman"/>
          <w:sz w:val="24"/>
          <w:szCs w:val="24"/>
          <w:lang w:val="en-IN"/>
        </w:rPr>
        <w:t>), kupffer cells (</w:t>
      </w:r>
      <w:r w:rsidRPr="00E275C1">
        <w:rPr>
          <w:rFonts w:ascii="Times New Roman" w:hAnsi="Times New Roman" w:cs="Times New Roman"/>
          <w:i/>
          <w:sz w:val="24"/>
          <w:szCs w:val="24"/>
          <w:lang w:val="en-IN"/>
        </w:rPr>
        <w:t>kc</w:t>
      </w:r>
      <w:r w:rsidRPr="00E275C1">
        <w:rPr>
          <w:rFonts w:ascii="Times New Roman" w:hAnsi="Times New Roman" w:cs="Times New Roman"/>
          <w:sz w:val="24"/>
          <w:szCs w:val="24"/>
          <w:lang w:val="en-IN"/>
        </w:rPr>
        <w:t>). The 400 mg/kg group (</w:t>
      </w:r>
      <w:r w:rsidR="00F62186">
        <w:rPr>
          <w:rFonts w:ascii="Times New Roman" w:hAnsi="Times New Roman" w:cs="Times New Roman"/>
          <w:sz w:val="24"/>
          <w:szCs w:val="24"/>
          <w:lang w:val="en-IN"/>
        </w:rPr>
        <w:t>Fig.</w:t>
      </w:r>
      <w:r w:rsidR="001511E2">
        <w:rPr>
          <w:rFonts w:ascii="Times New Roman" w:hAnsi="Times New Roman" w:cs="Times New Roman"/>
          <w:sz w:val="24"/>
          <w:szCs w:val="24"/>
          <w:lang w:val="en-IN"/>
        </w:rPr>
        <w:t xml:space="preserve"> S2</w:t>
      </w:r>
      <w:r w:rsidRPr="00E275C1">
        <w:rPr>
          <w:rFonts w:ascii="Times New Roman" w:hAnsi="Times New Roman" w:cs="Times New Roman"/>
          <w:sz w:val="24"/>
          <w:szCs w:val="24"/>
          <w:lang w:val="en-IN"/>
        </w:rPr>
        <w:t xml:space="preserve"> (i)E) depicted periportal mononuclear infiltrates (</w:t>
      </w:r>
      <w:r w:rsidRPr="00E275C1">
        <w:rPr>
          <w:rFonts w:ascii="Times New Roman" w:hAnsi="Times New Roman" w:cs="Times New Roman"/>
          <w:i/>
          <w:sz w:val="24"/>
          <w:szCs w:val="24"/>
          <w:lang w:val="en-IN"/>
        </w:rPr>
        <w:t>pmi</w:t>
      </w:r>
      <w:r w:rsidRPr="00E275C1">
        <w:rPr>
          <w:rFonts w:ascii="Times New Roman" w:hAnsi="Times New Roman" w:cs="Times New Roman"/>
          <w:sz w:val="24"/>
          <w:szCs w:val="24"/>
          <w:lang w:val="en-IN"/>
        </w:rPr>
        <w:t>), hepatocytes degeneration (</w:t>
      </w:r>
      <w:r w:rsidRPr="00E275C1">
        <w:rPr>
          <w:rFonts w:ascii="Times New Roman" w:hAnsi="Times New Roman" w:cs="Times New Roman"/>
          <w:i/>
          <w:sz w:val="24"/>
          <w:szCs w:val="24"/>
          <w:lang w:val="en-IN"/>
        </w:rPr>
        <w:t>hd</w:t>
      </w:r>
      <w:r w:rsidRPr="00E275C1">
        <w:rPr>
          <w:rFonts w:ascii="Times New Roman" w:hAnsi="Times New Roman" w:cs="Times New Roman"/>
          <w:sz w:val="24"/>
          <w:szCs w:val="24"/>
          <w:lang w:val="en-IN"/>
        </w:rPr>
        <w:t>) and focal inflammation (</w:t>
      </w:r>
      <w:r w:rsidRPr="00E275C1">
        <w:rPr>
          <w:rFonts w:ascii="Times New Roman" w:hAnsi="Times New Roman" w:cs="Times New Roman"/>
          <w:i/>
          <w:sz w:val="24"/>
          <w:szCs w:val="24"/>
          <w:lang w:val="en-IN"/>
        </w:rPr>
        <w:t>fi</w:t>
      </w:r>
      <w:r w:rsidRPr="00E275C1">
        <w:rPr>
          <w:rFonts w:ascii="Times New Roman" w:hAnsi="Times New Roman" w:cs="Times New Roman"/>
          <w:sz w:val="24"/>
          <w:szCs w:val="24"/>
          <w:lang w:val="en-IN"/>
        </w:rPr>
        <w:t>). The 50 and 100 mg/kg treated group (</w:t>
      </w:r>
      <w:r w:rsidR="00F62186">
        <w:rPr>
          <w:rFonts w:ascii="Times New Roman" w:hAnsi="Times New Roman" w:cs="Times New Roman"/>
          <w:sz w:val="24"/>
          <w:szCs w:val="24"/>
          <w:lang w:val="en-IN"/>
        </w:rPr>
        <w:t>Fig.</w:t>
      </w:r>
      <w:r w:rsidR="001511E2">
        <w:rPr>
          <w:rFonts w:ascii="Times New Roman" w:hAnsi="Times New Roman" w:cs="Times New Roman"/>
          <w:sz w:val="24"/>
          <w:szCs w:val="24"/>
          <w:lang w:val="en-IN"/>
        </w:rPr>
        <w:t xml:space="preserve"> S2</w:t>
      </w:r>
      <w:r w:rsidRPr="00E275C1">
        <w:rPr>
          <w:rFonts w:ascii="Times New Roman" w:hAnsi="Times New Roman" w:cs="Times New Roman"/>
          <w:sz w:val="24"/>
          <w:szCs w:val="24"/>
          <w:lang w:val="en-IN"/>
        </w:rPr>
        <w:t xml:space="preserve"> (i)B, C) was not associated with any alterations of liver whereas minor changes were recorded in 200 mg/kg complex treated group (</w:t>
      </w:r>
      <w:r w:rsidR="00F62186">
        <w:rPr>
          <w:rFonts w:ascii="Times New Roman" w:hAnsi="Times New Roman" w:cs="Times New Roman"/>
          <w:sz w:val="24"/>
          <w:szCs w:val="24"/>
          <w:lang w:val="en-IN"/>
        </w:rPr>
        <w:t>Fig.</w:t>
      </w:r>
      <w:r w:rsidR="001511E2">
        <w:rPr>
          <w:rFonts w:ascii="Times New Roman" w:hAnsi="Times New Roman" w:cs="Times New Roman"/>
          <w:sz w:val="24"/>
          <w:szCs w:val="24"/>
          <w:lang w:val="en-IN"/>
        </w:rPr>
        <w:t xml:space="preserve"> S2</w:t>
      </w:r>
      <w:r w:rsidRPr="00E275C1">
        <w:rPr>
          <w:rFonts w:ascii="Times New Roman" w:hAnsi="Times New Roman" w:cs="Times New Roman"/>
          <w:sz w:val="24"/>
          <w:szCs w:val="24"/>
          <w:lang w:val="en-IN"/>
        </w:rPr>
        <w:t xml:space="preserve"> (i)D). In normal control group, the histopathology of kidney (</w:t>
      </w:r>
      <w:r w:rsidR="00F62186">
        <w:rPr>
          <w:rFonts w:ascii="Times New Roman" w:hAnsi="Times New Roman" w:cs="Times New Roman"/>
          <w:sz w:val="24"/>
          <w:szCs w:val="24"/>
          <w:lang w:val="en-IN"/>
        </w:rPr>
        <w:t>Fig.</w:t>
      </w:r>
      <w:r w:rsidR="001511E2">
        <w:rPr>
          <w:rFonts w:ascii="Times New Roman" w:hAnsi="Times New Roman" w:cs="Times New Roman"/>
          <w:sz w:val="24"/>
          <w:szCs w:val="24"/>
          <w:lang w:val="en-IN"/>
        </w:rPr>
        <w:t xml:space="preserve"> S2</w:t>
      </w:r>
      <w:r w:rsidRPr="00E275C1">
        <w:rPr>
          <w:rFonts w:ascii="Times New Roman" w:hAnsi="Times New Roman" w:cs="Times New Roman"/>
          <w:sz w:val="24"/>
          <w:szCs w:val="24"/>
          <w:lang w:val="en-IN"/>
        </w:rPr>
        <w:t xml:space="preserve"> (ii)A) showed normal structure of glomerulus (</w:t>
      </w:r>
      <w:r w:rsidRPr="00E275C1">
        <w:rPr>
          <w:rFonts w:ascii="Times New Roman" w:hAnsi="Times New Roman" w:cs="Times New Roman"/>
          <w:i/>
          <w:sz w:val="24"/>
          <w:szCs w:val="24"/>
          <w:lang w:val="en-IN"/>
        </w:rPr>
        <w:t>g</w:t>
      </w:r>
      <w:r w:rsidRPr="00E275C1">
        <w:rPr>
          <w:rFonts w:ascii="Times New Roman" w:hAnsi="Times New Roman" w:cs="Times New Roman"/>
          <w:sz w:val="24"/>
          <w:szCs w:val="24"/>
          <w:lang w:val="en-IN"/>
        </w:rPr>
        <w:t>), bowman’s capsular space (</w:t>
      </w:r>
      <w:r w:rsidRPr="00E275C1">
        <w:rPr>
          <w:rFonts w:ascii="Times New Roman" w:hAnsi="Times New Roman" w:cs="Times New Roman"/>
          <w:i/>
          <w:sz w:val="24"/>
          <w:szCs w:val="24"/>
          <w:lang w:val="en-IN"/>
        </w:rPr>
        <w:t>bc</w:t>
      </w:r>
      <w:r w:rsidRPr="00E275C1">
        <w:rPr>
          <w:rFonts w:ascii="Times New Roman" w:hAnsi="Times New Roman" w:cs="Times New Roman"/>
          <w:sz w:val="24"/>
          <w:szCs w:val="24"/>
          <w:lang w:val="en-IN"/>
        </w:rPr>
        <w:t>), proximal convoluted tubules (</w:t>
      </w:r>
      <w:r w:rsidRPr="00E275C1">
        <w:rPr>
          <w:rFonts w:ascii="Times New Roman" w:hAnsi="Times New Roman" w:cs="Times New Roman"/>
          <w:i/>
          <w:sz w:val="24"/>
          <w:szCs w:val="24"/>
          <w:lang w:val="en-IN"/>
        </w:rPr>
        <w:t>pct</w:t>
      </w:r>
      <w:r w:rsidRPr="00E275C1">
        <w:rPr>
          <w:rFonts w:ascii="Times New Roman" w:hAnsi="Times New Roman" w:cs="Times New Roman"/>
          <w:sz w:val="24"/>
          <w:szCs w:val="24"/>
          <w:lang w:val="en-IN"/>
        </w:rPr>
        <w:t>), distal convoluted tubule (</w:t>
      </w:r>
      <w:r w:rsidRPr="00E275C1">
        <w:rPr>
          <w:rFonts w:ascii="Times New Roman" w:hAnsi="Times New Roman" w:cs="Times New Roman"/>
          <w:i/>
          <w:sz w:val="24"/>
          <w:szCs w:val="24"/>
          <w:lang w:val="en-IN"/>
        </w:rPr>
        <w:t>dct</w:t>
      </w:r>
      <w:r w:rsidRPr="00E275C1">
        <w:rPr>
          <w:rFonts w:ascii="Times New Roman" w:hAnsi="Times New Roman" w:cs="Times New Roman"/>
          <w:sz w:val="24"/>
          <w:szCs w:val="24"/>
          <w:lang w:val="en-IN"/>
        </w:rPr>
        <w:t>), macula densa (</w:t>
      </w:r>
      <w:r w:rsidRPr="00E275C1">
        <w:rPr>
          <w:rFonts w:ascii="Times New Roman" w:hAnsi="Times New Roman" w:cs="Times New Roman"/>
          <w:i/>
          <w:sz w:val="24"/>
          <w:szCs w:val="24"/>
          <w:lang w:val="en-IN"/>
        </w:rPr>
        <w:t>md</w:t>
      </w:r>
      <w:r w:rsidRPr="00E275C1">
        <w:rPr>
          <w:rFonts w:ascii="Times New Roman" w:hAnsi="Times New Roman" w:cs="Times New Roman"/>
          <w:sz w:val="24"/>
          <w:szCs w:val="24"/>
          <w:lang w:val="en-IN"/>
        </w:rPr>
        <w:t>), jaxtaglomerular cells (</w:t>
      </w:r>
      <w:r w:rsidRPr="00E275C1">
        <w:rPr>
          <w:rFonts w:ascii="Times New Roman" w:hAnsi="Times New Roman" w:cs="Times New Roman"/>
          <w:i/>
          <w:sz w:val="24"/>
          <w:szCs w:val="24"/>
          <w:lang w:val="en-IN"/>
        </w:rPr>
        <w:t>jgc</w:t>
      </w:r>
      <w:r w:rsidRPr="00E275C1">
        <w:rPr>
          <w:rFonts w:ascii="Times New Roman" w:hAnsi="Times New Roman" w:cs="Times New Roman"/>
          <w:sz w:val="24"/>
          <w:szCs w:val="24"/>
          <w:lang w:val="en-IN"/>
        </w:rPr>
        <w:t>), podocytes (</w:t>
      </w:r>
      <w:r w:rsidRPr="00E275C1">
        <w:rPr>
          <w:rFonts w:ascii="Times New Roman" w:hAnsi="Times New Roman" w:cs="Times New Roman"/>
          <w:i/>
          <w:sz w:val="24"/>
          <w:szCs w:val="24"/>
          <w:lang w:val="en-IN"/>
        </w:rPr>
        <w:t>p</w:t>
      </w:r>
      <w:r w:rsidRPr="00E275C1">
        <w:rPr>
          <w:rFonts w:ascii="Times New Roman" w:hAnsi="Times New Roman" w:cs="Times New Roman"/>
          <w:sz w:val="24"/>
          <w:szCs w:val="24"/>
          <w:lang w:val="en-IN"/>
        </w:rPr>
        <w:t>), vascular pole (</w:t>
      </w:r>
      <w:r w:rsidRPr="00E275C1">
        <w:rPr>
          <w:rFonts w:ascii="Times New Roman" w:hAnsi="Times New Roman" w:cs="Times New Roman"/>
          <w:i/>
          <w:sz w:val="24"/>
          <w:szCs w:val="24"/>
          <w:lang w:val="en-IN"/>
        </w:rPr>
        <w:t>vp</w:t>
      </w:r>
      <w:r w:rsidRPr="00E275C1">
        <w:rPr>
          <w:rFonts w:ascii="Times New Roman" w:hAnsi="Times New Roman" w:cs="Times New Roman"/>
          <w:sz w:val="24"/>
          <w:szCs w:val="24"/>
          <w:lang w:val="en-IN"/>
        </w:rPr>
        <w:t>), urinary pole (</w:t>
      </w:r>
      <w:r w:rsidRPr="00E275C1">
        <w:rPr>
          <w:rFonts w:ascii="Times New Roman" w:hAnsi="Times New Roman" w:cs="Times New Roman"/>
          <w:i/>
          <w:sz w:val="24"/>
          <w:szCs w:val="24"/>
          <w:lang w:val="en-IN"/>
        </w:rPr>
        <w:t>up</w:t>
      </w:r>
      <w:r w:rsidRPr="00E275C1">
        <w:rPr>
          <w:rFonts w:ascii="Times New Roman" w:hAnsi="Times New Roman" w:cs="Times New Roman"/>
          <w:sz w:val="24"/>
          <w:szCs w:val="24"/>
          <w:lang w:val="en-IN"/>
        </w:rPr>
        <w:t>) and mesangium cells (</w:t>
      </w:r>
      <w:r w:rsidRPr="00E275C1">
        <w:rPr>
          <w:rFonts w:ascii="Times New Roman" w:hAnsi="Times New Roman" w:cs="Times New Roman"/>
          <w:i/>
          <w:sz w:val="24"/>
          <w:szCs w:val="24"/>
          <w:lang w:val="en-IN"/>
        </w:rPr>
        <w:t>mc</w:t>
      </w:r>
      <w:r w:rsidRPr="00E275C1">
        <w:rPr>
          <w:rFonts w:ascii="Times New Roman" w:hAnsi="Times New Roman" w:cs="Times New Roman"/>
          <w:sz w:val="24"/>
          <w:szCs w:val="24"/>
          <w:lang w:val="en-IN"/>
        </w:rPr>
        <w:t>). The 400 mg/kg treated group depicted thickening of capsular membrane (</w:t>
      </w:r>
      <w:r w:rsidRPr="00E275C1">
        <w:rPr>
          <w:rFonts w:ascii="Times New Roman" w:hAnsi="Times New Roman" w:cs="Times New Roman"/>
          <w:i/>
          <w:sz w:val="24"/>
          <w:szCs w:val="24"/>
          <w:lang w:val="en-IN"/>
        </w:rPr>
        <w:t>tm</w:t>
      </w:r>
      <w:r w:rsidRPr="00E275C1">
        <w:rPr>
          <w:rFonts w:ascii="Times New Roman" w:hAnsi="Times New Roman" w:cs="Times New Roman"/>
          <w:sz w:val="24"/>
          <w:szCs w:val="24"/>
          <w:lang w:val="en-IN"/>
        </w:rPr>
        <w:t>), desquamated epithelial cells (</w:t>
      </w:r>
      <w:r w:rsidRPr="00E275C1">
        <w:rPr>
          <w:rFonts w:ascii="Times New Roman" w:hAnsi="Times New Roman" w:cs="Times New Roman"/>
          <w:i/>
          <w:sz w:val="24"/>
          <w:szCs w:val="24"/>
          <w:lang w:val="en-IN"/>
        </w:rPr>
        <w:t>dec</w:t>
      </w:r>
      <w:r w:rsidRPr="00E275C1">
        <w:rPr>
          <w:rFonts w:ascii="Times New Roman" w:hAnsi="Times New Roman" w:cs="Times New Roman"/>
          <w:sz w:val="24"/>
          <w:szCs w:val="24"/>
          <w:lang w:val="en-IN"/>
        </w:rPr>
        <w:t>), vascular congestion (</w:t>
      </w:r>
      <w:r w:rsidRPr="00E275C1">
        <w:rPr>
          <w:rFonts w:ascii="Times New Roman" w:hAnsi="Times New Roman" w:cs="Times New Roman"/>
          <w:i/>
          <w:sz w:val="24"/>
          <w:szCs w:val="24"/>
          <w:lang w:val="en-IN"/>
        </w:rPr>
        <w:t>vc</w:t>
      </w:r>
      <w:r w:rsidRPr="00E275C1">
        <w:rPr>
          <w:rFonts w:ascii="Times New Roman" w:hAnsi="Times New Roman" w:cs="Times New Roman"/>
          <w:sz w:val="24"/>
          <w:szCs w:val="24"/>
          <w:lang w:val="en-IN"/>
        </w:rPr>
        <w:t>), infiltration of inflammatory cells (</w:t>
      </w:r>
      <w:r w:rsidRPr="00E275C1">
        <w:rPr>
          <w:rFonts w:ascii="Times New Roman" w:hAnsi="Times New Roman" w:cs="Times New Roman"/>
          <w:i/>
          <w:sz w:val="24"/>
          <w:szCs w:val="24"/>
          <w:lang w:val="en-IN"/>
        </w:rPr>
        <w:t>iic</w:t>
      </w:r>
      <w:r w:rsidRPr="00E275C1">
        <w:rPr>
          <w:rFonts w:ascii="Times New Roman" w:hAnsi="Times New Roman" w:cs="Times New Roman"/>
          <w:sz w:val="24"/>
          <w:szCs w:val="24"/>
          <w:lang w:val="en-IN"/>
        </w:rPr>
        <w:t>) and haemorrhages (</w:t>
      </w:r>
      <w:r w:rsidRPr="00E275C1">
        <w:rPr>
          <w:rFonts w:ascii="Times New Roman" w:hAnsi="Times New Roman" w:cs="Times New Roman"/>
          <w:i/>
          <w:sz w:val="24"/>
          <w:szCs w:val="24"/>
          <w:lang w:val="en-IN"/>
        </w:rPr>
        <w:t>h</w:t>
      </w:r>
      <w:r w:rsidRPr="00E275C1">
        <w:rPr>
          <w:rFonts w:ascii="Times New Roman" w:hAnsi="Times New Roman" w:cs="Times New Roman"/>
          <w:sz w:val="24"/>
          <w:szCs w:val="24"/>
          <w:lang w:val="en-IN"/>
        </w:rPr>
        <w:t>). Whereas, 50 and 100 mg/kg treated group (</w:t>
      </w:r>
      <w:r w:rsidR="00F62186">
        <w:rPr>
          <w:rFonts w:ascii="Times New Roman" w:hAnsi="Times New Roman" w:cs="Times New Roman"/>
          <w:sz w:val="24"/>
          <w:szCs w:val="24"/>
          <w:lang w:val="en-IN"/>
        </w:rPr>
        <w:t>Fig.</w:t>
      </w:r>
      <w:r w:rsidR="001511E2">
        <w:rPr>
          <w:rFonts w:ascii="Times New Roman" w:hAnsi="Times New Roman" w:cs="Times New Roman"/>
          <w:sz w:val="24"/>
          <w:szCs w:val="24"/>
          <w:lang w:val="en-IN"/>
        </w:rPr>
        <w:t xml:space="preserve"> S2</w:t>
      </w:r>
      <w:r w:rsidRPr="00E275C1">
        <w:rPr>
          <w:rFonts w:ascii="Times New Roman" w:hAnsi="Times New Roman" w:cs="Times New Roman"/>
          <w:sz w:val="24"/>
          <w:szCs w:val="24"/>
          <w:lang w:val="en-IN"/>
        </w:rPr>
        <w:t xml:space="preserve"> (ii)B, C) did not caused any histological alterations of kidney (</w:t>
      </w:r>
      <w:r w:rsidR="00F62186">
        <w:rPr>
          <w:rFonts w:ascii="Times New Roman" w:hAnsi="Times New Roman" w:cs="Times New Roman"/>
          <w:sz w:val="24"/>
          <w:szCs w:val="24"/>
          <w:lang w:val="en-IN"/>
        </w:rPr>
        <w:t>Fig.</w:t>
      </w:r>
      <w:r w:rsidR="001511E2">
        <w:rPr>
          <w:rFonts w:ascii="Times New Roman" w:hAnsi="Times New Roman" w:cs="Times New Roman"/>
          <w:sz w:val="24"/>
          <w:szCs w:val="24"/>
          <w:lang w:val="en-IN"/>
        </w:rPr>
        <w:t xml:space="preserve"> S2</w:t>
      </w:r>
      <w:r w:rsidRPr="00E275C1">
        <w:rPr>
          <w:rFonts w:ascii="Times New Roman" w:hAnsi="Times New Roman" w:cs="Times New Roman"/>
          <w:sz w:val="24"/>
          <w:szCs w:val="24"/>
          <w:lang w:val="en-IN"/>
        </w:rPr>
        <w:t xml:space="preserve"> (ii)D). In normal control group (</w:t>
      </w:r>
      <w:r w:rsidR="00F62186">
        <w:rPr>
          <w:rFonts w:ascii="Times New Roman" w:hAnsi="Times New Roman" w:cs="Times New Roman"/>
          <w:sz w:val="24"/>
          <w:szCs w:val="24"/>
          <w:lang w:val="en-IN"/>
        </w:rPr>
        <w:t>Fig.</w:t>
      </w:r>
      <w:r w:rsidR="001511E2">
        <w:rPr>
          <w:rFonts w:ascii="Times New Roman" w:hAnsi="Times New Roman" w:cs="Times New Roman"/>
          <w:sz w:val="24"/>
          <w:szCs w:val="24"/>
          <w:lang w:val="en-IN"/>
        </w:rPr>
        <w:t xml:space="preserve"> S2</w:t>
      </w:r>
      <w:r w:rsidRPr="00E275C1">
        <w:rPr>
          <w:rFonts w:ascii="Times New Roman" w:hAnsi="Times New Roman" w:cs="Times New Roman"/>
          <w:sz w:val="24"/>
          <w:szCs w:val="24"/>
          <w:lang w:val="en-IN"/>
        </w:rPr>
        <w:t xml:space="preserve"> (iii)A) the histology of stomach tissue demonstrated muscularis mucosa (</w:t>
      </w:r>
      <w:r w:rsidRPr="00E275C1">
        <w:rPr>
          <w:rFonts w:ascii="Times New Roman" w:hAnsi="Times New Roman" w:cs="Times New Roman"/>
          <w:i/>
          <w:sz w:val="24"/>
          <w:szCs w:val="24"/>
          <w:lang w:val="en-IN"/>
        </w:rPr>
        <w:t>mm</w:t>
      </w:r>
      <w:r w:rsidRPr="00E275C1">
        <w:rPr>
          <w:rFonts w:ascii="Times New Roman" w:hAnsi="Times New Roman" w:cs="Times New Roman"/>
          <w:sz w:val="24"/>
          <w:szCs w:val="24"/>
          <w:lang w:val="en-IN"/>
        </w:rPr>
        <w:t>), submucosa (</w:t>
      </w:r>
      <w:r w:rsidRPr="00E275C1">
        <w:rPr>
          <w:rFonts w:ascii="Times New Roman" w:hAnsi="Times New Roman" w:cs="Times New Roman"/>
          <w:i/>
          <w:sz w:val="24"/>
          <w:szCs w:val="24"/>
          <w:lang w:val="en-IN"/>
        </w:rPr>
        <w:t>s</w:t>
      </w:r>
      <w:r w:rsidRPr="00E275C1">
        <w:rPr>
          <w:rFonts w:ascii="Times New Roman" w:hAnsi="Times New Roman" w:cs="Times New Roman"/>
          <w:sz w:val="24"/>
          <w:szCs w:val="24"/>
          <w:lang w:val="en-IN"/>
        </w:rPr>
        <w:t>), lamina propia (</w:t>
      </w:r>
      <w:r w:rsidRPr="00E275C1">
        <w:rPr>
          <w:rFonts w:ascii="Times New Roman" w:hAnsi="Times New Roman" w:cs="Times New Roman"/>
          <w:i/>
          <w:sz w:val="24"/>
          <w:szCs w:val="24"/>
          <w:lang w:val="en-IN"/>
        </w:rPr>
        <w:t>lp</w:t>
      </w:r>
      <w:r w:rsidRPr="00E275C1">
        <w:rPr>
          <w:rFonts w:ascii="Times New Roman" w:hAnsi="Times New Roman" w:cs="Times New Roman"/>
          <w:sz w:val="24"/>
          <w:szCs w:val="24"/>
          <w:lang w:val="en-IN"/>
        </w:rPr>
        <w:t>) and gastric pits (</w:t>
      </w:r>
      <w:r w:rsidRPr="00E275C1">
        <w:rPr>
          <w:rFonts w:ascii="Times New Roman" w:hAnsi="Times New Roman" w:cs="Times New Roman"/>
          <w:i/>
          <w:sz w:val="24"/>
          <w:szCs w:val="24"/>
          <w:lang w:val="en-IN"/>
        </w:rPr>
        <w:t>gp</w:t>
      </w:r>
      <w:r w:rsidRPr="00E275C1">
        <w:rPr>
          <w:rFonts w:ascii="Times New Roman" w:hAnsi="Times New Roman" w:cs="Times New Roman"/>
          <w:sz w:val="24"/>
          <w:szCs w:val="24"/>
          <w:lang w:val="en-IN"/>
        </w:rPr>
        <w:t>), gastric mucosa (</w:t>
      </w:r>
      <w:r w:rsidRPr="00E275C1">
        <w:rPr>
          <w:rFonts w:ascii="Times New Roman" w:hAnsi="Times New Roman" w:cs="Times New Roman"/>
          <w:i/>
          <w:sz w:val="24"/>
          <w:szCs w:val="24"/>
          <w:lang w:val="en-IN"/>
        </w:rPr>
        <w:t>gm</w:t>
      </w:r>
      <w:r w:rsidRPr="00E275C1">
        <w:rPr>
          <w:rFonts w:ascii="Times New Roman" w:hAnsi="Times New Roman" w:cs="Times New Roman"/>
          <w:sz w:val="24"/>
          <w:szCs w:val="24"/>
          <w:lang w:val="en-IN"/>
        </w:rPr>
        <w:t>), gastric cavity (</w:t>
      </w:r>
      <w:r w:rsidRPr="00E275C1">
        <w:rPr>
          <w:rFonts w:ascii="Times New Roman" w:hAnsi="Times New Roman" w:cs="Times New Roman"/>
          <w:i/>
          <w:sz w:val="24"/>
          <w:szCs w:val="24"/>
          <w:lang w:val="en-IN"/>
        </w:rPr>
        <w:t>gc</w:t>
      </w:r>
      <w:r w:rsidRPr="00E275C1">
        <w:rPr>
          <w:rFonts w:ascii="Times New Roman" w:hAnsi="Times New Roman" w:cs="Times New Roman"/>
          <w:sz w:val="24"/>
          <w:szCs w:val="24"/>
          <w:lang w:val="en-IN"/>
        </w:rPr>
        <w:t>), gastric epithelium (</w:t>
      </w:r>
      <w:r w:rsidRPr="00E275C1">
        <w:rPr>
          <w:rFonts w:ascii="Times New Roman" w:hAnsi="Times New Roman" w:cs="Times New Roman"/>
          <w:i/>
          <w:sz w:val="24"/>
          <w:szCs w:val="24"/>
          <w:lang w:val="en-IN"/>
        </w:rPr>
        <w:t>ge</w:t>
      </w:r>
      <w:r w:rsidRPr="00E275C1">
        <w:rPr>
          <w:rFonts w:ascii="Times New Roman" w:hAnsi="Times New Roman" w:cs="Times New Roman"/>
          <w:sz w:val="24"/>
          <w:szCs w:val="24"/>
          <w:lang w:val="en-IN"/>
        </w:rPr>
        <w:t>), muscularis propia (</w:t>
      </w:r>
      <w:r w:rsidRPr="00E275C1">
        <w:rPr>
          <w:rFonts w:ascii="Times New Roman" w:hAnsi="Times New Roman" w:cs="Times New Roman"/>
          <w:i/>
          <w:sz w:val="24"/>
          <w:szCs w:val="24"/>
          <w:lang w:val="en-IN"/>
        </w:rPr>
        <w:t>mp</w:t>
      </w:r>
      <w:r w:rsidRPr="00E275C1">
        <w:rPr>
          <w:rFonts w:ascii="Times New Roman" w:hAnsi="Times New Roman" w:cs="Times New Roman"/>
          <w:sz w:val="24"/>
          <w:szCs w:val="24"/>
          <w:lang w:val="en-IN"/>
        </w:rPr>
        <w:t>), circular muscle (</w:t>
      </w:r>
      <w:r w:rsidRPr="00E275C1">
        <w:rPr>
          <w:rFonts w:ascii="Times New Roman" w:hAnsi="Times New Roman" w:cs="Times New Roman"/>
          <w:i/>
          <w:sz w:val="24"/>
          <w:szCs w:val="24"/>
          <w:lang w:val="en-IN"/>
        </w:rPr>
        <w:t>cm</w:t>
      </w:r>
      <w:r w:rsidRPr="00E275C1">
        <w:rPr>
          <w:rFonts w:ascii="Times New Roman" w:hAnsi="Times New Roman" w:cs="Times New Roman"/>
          <w:sz w:val="24"/>
          <w:szCs w:val="24"/>
          <w:lang w:val="en-IN"/>
        </w:rPr>
        <w:t>), longitudinal muscle (</w:t>
      </w:r>
      <w:r w:rsidRPr="00E275C1">
        <w:rPr>
          <w:rFonts w:ascii="Times New Roman" w:hAnsi="Times New Roman" w:cs="Times New Roman"/>
          <w:i/>
          <w:sz w:val="24"/>
          <w:szCs w:val="24"/>
          <w:lang w:val="en-IN"/>
        </w:rPr>
        <w:t>lm</w:t>
      </w:r>
      <w:r w:rsidRPr="00E275C1">
        <w:rPr>
          <w:rFonts w:ascii="Times New Roman" w:hAnsi="Times New Roman" w:cs="Times New Roman"/>
          <w:sz w:val="24"/>
          <w:szCs w:val="24"/>
          <w:lang w:val="en-IN"/>
        </w:rPr>
        <w:t>), serosa (</w:t>
      </w:r>
      <w:r w:rsidRPr="00E275C1">
        <w:rPr>
          <w:rFonts w:ascii="Times New Roman" w:hAnsi="Times New Roman" w:cs="Times New Roman"/>
          <w:i/>
          <w:sz w:val="24"/>
          <w:szCs w:val="24"/>
          <w:lang w:val="en-IN"/>
        </w:rPr>
        <w:t>s</w:t>
      </w:r>
      <w:r w:rsidRPr="00E275C1">
        <w:rPr>
          <w:rFonts w:ascii="Times New Roman" w:hAnsi="Times New Roman" w:cs="Times New Roman"/>
          <w:sz w:val="24"/>
          <w:szCs w:val="24"/>
          <w:lang w:val="en-IN"/>
        </w:rPr>
        <w:t>), blood vessels (</w:t>
      </w:r>
      <w:r w:rsidRPr="00E275C1">
        <w:rPr>
          <w:rFonts w:ascii="Times New Roman" w:hAnsi="Times New Roman" w:cs="Times New Roman"/>
          <w:i/>
          <w:sz w:val="24"/>
          <w:szCs w:val="24"/>
          <w:lang w:val="en-IN"/>
        </w:rPr>
        <w:t>bv</w:t>
      </w:r>
      <w:r w:rsidRPr="00E275C1">
        <w:rPr>
          <w:rFonts w:ascii="Times New Roman" w:hAnsi="Times New Roman" w:cs="Times New Roman"/>
          <w:sz w:val="24"/>
          <w:szCs w:val="24"/>
          <w:lang w:val="en-IN"/>
        </w:rPr>
        <w:t>). The 50 and 100 mg/kg treated group (</w:t>
      </w:r>
      <w:r w:rsidR="00F62186">
        <w:rPr>
          <w:rFonts w:ascii="Times New Roman" w:hAnsi="Times New Roman" w:cs="Times New Roman"/>
          <w:sz w:val="24"/>
          <w:szCs w:val="24"/>
          <w:lang w:val="en-IN"/>
        </w:rPr>
        <w:t>Fig.</w:t>
      </w:r>
      <w:r w:rsidR="001511E2">
        <w:rPr>
          <w:rFonts w:ascii="Times New Roman" w:hAnsi="Times New Roman" w:cs="Times New Roman"/>
          <w:sz w:val="24"/>
          <w:szCs w:val="24"/>
          <w:lang w:val="en-IN"/>
        </w:rPr>
        <w:t xml:space="preserve"> S2</w:t>
      </w:r>
      <w:r w:rsidRPr="00E275C1">
        <w:rPr>
          <w:rFonts w:ascii="Times New Roman" w:hAnsi="Times New Roman" w:cs="Times New Roman"/>
          <w:sz w:val="24"/>
          <w:szCs w:val="24"/>
          <w:lang w:val="en-IN"/>
        </w:rPr>
        <w:t xml:space="preserve"> (iii)B, C) denoted no histopathological alterations in the stomach tissue. The 200 mg/kg dose (</w:t>
      </w:r>
      <w:r w:rsidR="00F62186">
        <w:rPr>
          <w:rFonts w:ascii="Times New Roman" w:hAnsi="Times New Roman" w:cs="Times New Roman"/>
          <w:sz w:val="24"/>
          <w:szCs w:val="24"/>
          <w:lang w:val="en-IN"/>
        </w:rPr>
        <w:t>Fig.</w:t>
      </w:r>
      <w:r w:rsidR="001511E2">
        <w:rPr>
          <w:rFonts w:ascii="Times New Roman" w:hAnsi="Times New Roman" w:cs="Times New Roman"/>
          <w:sz w:val="24"/>
          <w:szCs w:val="24"/>
          <w:lang w:val="en-IN"/>
        </w:rPr>
        <w:t xml:space="preserve"> S2</w:t>
      </w:r>
      <w:r w:rsidRPr="00E275C1">
        <w:rPr>
          <w:rFonts w:ascii="Times New Roman" w:hAnsi="Times New Roman" w:cs="Times New Roman"/>
          <w:sz w:val="24"/>
          <w:szCs w:val="24"/>
          <w:lang w:val="en-IN"/>
        </w:rPr>
        <w:t xml:space="preserve"> (iii)E) showed some thickening of submucosal area (</w:t>
      </w:r>
      <w:r w:rsidRPr="00E275C1">
        <w:rPr>
          <w:rFonts w:ascii="Times New Roman" w:hAnsi="Times New Roman" w:cs="Times New Roman"/>
          <w:i/>
          <w:sz w:val="24"/>
          <w:szCs w:val="24"/>
          <w:lang w:val="en-IN"/>
        </w:rPr>
        <w:t>tsa</w:t>
      </w:r>
      <w:r w:rsidRPr="00E275C1">
        <w:rPr>
          <w:rFonts w:ascii="Times New Roman" w:hAnsi="Times New Roman" w:cs="Times New Roman"/>
          <w:sz w:val="24"/>
          <w:szCs w:val="24"/>
          <w:lang w:val="en-IN"/>
        </w:rPr>
        <w:t>), desquamation of gastric mucosa (</w:t>
      </w:r>
      <w:r w:rsidRPr="00E275C1">
        <w:rPr>
          <w:rFonts w:ascii="Times New Roman" w:hAnsi="Times New Roman" w:cs="Times New Roman"/>
          <w:i/>
          <w:sz w:val="24"/>
          <w:szCs w:val="24"/>
          <w:lang w:val="en-IN"/>
        </w:rPr>
        <w:t>d</w:t>
      </w:r>
      <w:r w:rsidRPr="00E275C1">
        <w:rPr>
          <w:rFonts w:ascii="Times New Roman" w:hAnsi="Times New Roman" w:cs="Times New Roman"/>
          <w:sz w:val="24"/>
          <w:szCs w:val="24"/>
          <w:lang w:val="en-IN"/>
        </w:rPr>
        <w:t>), vacuolization (</w:t>
      </w:r>
      <w:r w:rsidRPr="00E275C1">
        <w:rPr>
          <w:rFonts w:ascii="Times New Roman" w:hAnsi="Times New Roman" w:cs="Times New Roman"/>
          <w:i/>
          <w:sz w:val="24"/>
          <w:szCs w:val="24"/>
          <w:lang w:val="en-IN"/>
        </w:rPr>
        <w:t>v</w:t>
      </w:r>
      <w:r w:rsidRPr="00E275C1">
        <w:rPr>
          <w:rFonts w:ascii="Times New Roman" w:hAnsi="Times New Roman" w:cs="Times New Roman"/>
          <w:sz w:val="24"/>
          <w:szCs w:val="24"/>
          <w:lang w:val="en-IN"/>
        </w:rPr>
        <w:t>). On the other hand, 400 mg/kg group (</w:t>
      </w:r>
      <w:r w:rsidR="00F62186">
        <w:rPr>
          <w:rFonts w:ascii="Times New Roman" w:hAnsi="Times New Roman" w:cs="Times New Roman"/>
          <w:sz w:val="24"/>
          <w:szCs w:val="24"/>
          <w:lang w:val="en-IN"/>
        </w:rPr>
        <w:t>Fig.</w:t>
      </w:r>
      <w:r w:rsidR="001511E2">
        <w:rPr>
          <w:rFonts w:ascii="Times New Roman" w:hAnsi="Times New Roman" w:cs="Times New Roman"/>
          <w:sz w:val="24"/>
          <w:szCs w:val="24"/>
          <w:lang w:val="en-IN"/>
        </w:rPr>
        <w:t xml:space="preserve"> S2</w:t>
      </w:r>
      <w:r w:rsidRPr="00E275C1">
        <w:rPr>
          <w:rFonts w:ascii="Times New Roman" w:hAnsi="Times New Roman" w:cs="Times New Roman"/>
          <w:sz w:val="24"/>
          <w:szCs w:val="24"/>
          <w:lang w:val="en-IN"/>
        </w:rPr>
        <w:t xml:space="preserve"> (iii)E) showed vascular congestion (</w:t>
      </w:r>
      <w:r w:rsidRPr="00E275C1">
        <w:rPr>
          <w:rFonts w:ascii="Times New Roman" w:hAnsi="Times New Roman" w:cs="Times New Roman"/>
          <w:i/>
          <w:sz w:val="24"/>
          <w:szCs w:val="24"/>
          <w:lang w:val="en-IN"/>
        </w:rPr>
        <w:t>vc</w:t>
      </w:r>
      <w:r w:rsidRPr="00E275C1">
        <w:rPr>
          <w:rFonts w:ascii="Times New Roman" w:hAnsi="Times New Roman" w:cs="Times New Roman"/>
          <w:sz w:val="24"/>
          <w:szCs w:val="24"/>
          <w:lang w:val="en-IN"/>
        </w:rPr>
        <w:t>), thickening of submucosal area (</w:t>
      </w:r>
      <w:r w:rsidRPr="00E275C1">
        <w:rPr>
          <w:rFonts w:ascii="Times New Roman" w:hAnsi="Times New Roman" w:cs="Times New Roman"/>
          <w:i/>
          <w:sz w:val="24"/>
          <w:szCs w:val="24"/>
          <w:lang w:val="en-IN"/>
        </w:rPr>
        <w:t>tsa</w:t>
      </w:r>
      <w:r w:rsidRPr="00E275C1">
        <w:rPr>
          <w:rFonts w:ascii="Times New Roman" w:hAnsi="Times New Roman" w:cs="Times New Roman"/>
          <w:sz w:val="24"/>
          <w:szCs w:val="24"/>
          <w:lang w:val="en-IN"/>
        </w:rPr>
        <w:t>), cellular infiltration (</w:t>
      </w:r>
      <w:r w:rsidRPr="00E275C1">
        <w:rPr>
          <w:rFonts w:ascii="Times New Roman" w:hAnsi="Times New Roman" w:cs="Times New Roman"/>
          <w:i/>
          <w:sz w:val="24"/>
          <w:szCs w:val="24"/>
          <w:lang w:val="en-IN"/>
        </w:rPr>
        <w:t>ci</w:t>
      </w:r>
      <w:r w:rsidRPr="00E275C1">
        <w:rPr>
          <w:rFonts w:ascii="Times New Roman" w:hAnsi="Times New Roman" w:cs="Times New Roman"/>
          <w:sz w:val="24"/>
          <w:szCs w:val="24"/>
          <w:lang w:val="en-IN"/>
        </w:rPr>
        <w:t>), desquamation of gastric mucosa (</w:t>
      </w:r>
      <w:r w:rsidRPr="00E275C1">
        <w:rPr>
          <w:rFonts w:ascii="Times New Roman" w:hAnsi="Times New Roman" w:cs="Times New Roman"/>
          <w:i/>
          <w:sz w:val="24"/>
          <w:szCs w:val="24"/>
          <w:lang w:val="en-IN"/>
        </w:rPr>
        <w:t>d</w:t>
      </w:r>
      <w:r w:rsidRPr="00E275C1">
        <w:rPr>
          <w:rFonts w:ascii="Times New Roman" w:hAnsi="Times New Roman" w:cs="Times New Roman"/>
          <w:sz w:val="24"/>
          <w:szCs w:val="24"/>
          <w:lang w:val="en-IN"/>
        </w:rPr>
        <w:t>), vacuolization (</w:t>
      </w:r>
      <w:r w:rsidRPr="00E275C1">
        <w:rPr>
          <w:rFonts w:ascii="Times New Roman" w:hAnsi="Times New Roman" w:cs="Times New Roman"/>
          <w:i/>
          <w:sz w:val="24"/>
          <w:szCs w:val="24"/>
          <w:lang w:val="en-IN"/>
        </w:rPr>
        <w:t>v</w:t>
      </w:r>
      <w:r w:rsidRPr="00E275C1">
        <w:rPr>
          <w:rFonts w:ascii="Times New Roman" w:hAnsi="Times New Roman" w:cs="Times New Roman"/>
          <w:sz w:val="24"/>
          <w:szCs w:val="24"/>
          <w:lang w:val="en-IN"/>
        </w:rPr>
        <w:t>), glandular widening (</w:t>
      </w:r>
      <w:r w:rsidRPr="00E275C1">
        <w:rPr>
          <w:rFonts w:ascii="Times New Roman" w:hAnsi="Times New Roman" w:cs="Times New Roman"/>
          <w:i/>
          <w:sz w:val="24"/>
          <w:szCs w:val="24"/>
          <w:lang w:val="en-IN"/>
        </w:rPr>
        <w:t>gw</w:t>
      </w:r>
      <w:r w:rsidRPr="00E275C1">
        <w:rPr>
          <w:rFonts w:ascii="Times New Roman" w:hAnsi="Times New Roman" w:cs="Times New Roman"/>
          <w:sz w:val="24"/>
          <w:szCs w:val="24"/>
          <w:lang w:val="en-IN"/>
        </w:rPr>
        <w:t>). In the normal control group (</w:t>
      </w:r>
      <w:r w:rsidR="00F62186">
        <w:rPr>
          <w:rFonts w:ascii="Times New Roman" w:hAnsi="Times New Roman" w:cs="Times New Roman"/>
          <w:sz w:val="24"/>
          <w:szCs w:val="24"/>
          <w:lang w:val="en-IN"/>
        </w:rPr>
        <w:t>Fig.</w:t>
      </w:r>
      <w:r w:rsidR="001511E2">
        <w:rPr>
          <w:rFonts w:ascii="Times New Roman" w:hAnsi="Times New Roman" w:cs="Times New Roman"/>
          <w:sz w:val="24"/>
          <w:szCs w:val="24"/>
          <w:lang w:val="en-IN"/>
        </w:rPr>
        <w:t xml:space="preserve"> S2</w:t>
      </w:r>
      <w:r w:rsidRPr="00E275C1">
        <w:rPr>
          <w:rFonts w:ascii="Times New Roman" w:hAnsi="Times New Roman" w:cs="Times New Roman"/>
          <w:sz w:val="24"/>
          <w:szCs w:val="24"/>
          <w:lang w:val="en-IN"/>
        </w:rPr>
        <w:t xml:space="preserve"> (iv)A) the morphological architecture of pancreas showed normal structure of β cells of islets of Langerhans (</w:t>
      </w:r>
      <w:r w:rsidRPr="00E275C1">
        <w:rPr>
          <w:rFonts w:ascii="Times New Roman" w:hAnsi="Times New Roman" w:cs="Times New Roman"/>
          <w:i/>
          <w:sz w:val="24"/>
          <w:szCs w:val="24"/>
          <w:lang w:val="en-IN"/>
        </w:rPr>
        <w:t>i</w:t>
      </w:r>
      <w:r w:rsidRPr="00E275C1">
        <w:rPr>
          <w:rFonts w:ascii="Times New Roman" w:hAnsi="Times New Roman" w:cs="Times New Roman"/>
          <w:sz w:val="24"/>
          <w:szCs w:val="24"/>
          <w:lang w:val="en-IN"/>
        </w:rPr>
        <w:t>), with normal acinar arrangements with basal basophila and apical acidophila (</w:t>
      </w:r>
      <w:r w:rsidRPr="00E275C1">
        <w:rPr>
          <w:rFonts w:ascii="Times New Roman" w:hAnsi="Times New Roman" w:cs="Times New Roman"/>
          <w:i/>
          <w:sz w:val="24"/>
          <w:szCs w:val="24"/>
          <w:lang w:val="en-IN"/>
        </w:rPr>
        <w:t>a</w:t>
      </w:r>
      <w:r w:rsidRPr="00E275C1">
        <w:rPr>
          <w:rFonts w:ascii="Times New Roman" w:hAnsi="Times New Roman" w:cs="Times New Roman"/>
          <w:sz w:val="24"/>
          <w:szCs w:val="24"/>
          <w:lang w:val="en-IN"/>
        </w:rPr>
        <w:t>), exocrine protion (</w:t>
      </w:r>
      <w:r w:rsidRPr="00E275C1">
        <w:rPr>
          <w:rFonts w:ascii="Times New Roman" w:hAnsi="Times New Roman" w:cs="Times New Roman"/>
          <w:i/>
          <w:sz w:val="24"/>
          <w:szCs w:val="24"/>
          <w:lang w:val="en-IN"/>
        </w:rPr>
        <w:t>ep</w:t>
      </w:r>
      <w:r w:rsidRPr="00E275C1">
        <w:rPr>
          <w:rFonts w:ascii="Times New Roman" w:hAnsi="Times New Roman" w:cs="Times New Roman"/>
          <w:sz w:val="24"/>
          <w:szCs w:val="24"/>
          <w:lang w:val="en-IN"/>
        </w:rPr>
        <w:t>), collagen (</w:t>
      </w:r>
      <w:r w:rsidRPr="00E275C1">
        <w:rPr>
          <w:rFonts w:ascii="Times New Roman" w:hAnsi="Times New Roman" w:cs="Times New Roman"/>
          <w:i/>
          <w:sz w:val="24"/>
          <w:szCs w:val="24"/>
          <w:lang w:val="en-IN"/>
        </w:rPr>
        <w:t>c</w:t>
      </w:r>
      <w:r w:rsidRPr="00E275C1">
        <w:rPr>
          <w:rFonts w:ascii="Times New Roman" w:hAnsi="Times New Roman" w:cs="Times New Roman"/>
          <w:sz w:val="24"/>
          <w:szCs w:val="24"/>
          <w:lang w:val="en-IN"/>
        </w:rPr>
        <w:t>), intralobular duct (</w:t>
      </w:r>
      <w:r w:rsidRPr="00E275C1">
        <w:rPr>
          <w:rFonts w:ascii="Times New Roman" w:hAnsi="Times New Roman" w:cs="Times New Roman"/>
          <w:i/>
          <w:sz w:val="24"/>
          <w:szCs w:val="24"/>
          <w:lang w:val="en-IN"/>
        </w:rPr>
        <w:t>id</w:t>
      </w:r>
      <w:r w:rsidRPr="00E275C1">
        <w:rPr>
          <w:rFonts w:ascii="Times New Roman" w:hAnsi="Times New Roman" w:cs="Times New Roman"/>
          <w:sz w:val="24"/>
          <w:szCs w:val="24"/>
          <w:lang w:val="en-IN"/>
        </w:rPr>
        <w:t>), vascular stroma (</w:t>
      </w:r>
      <w:r w:rsidRPr="00E275C1">
        <w:rPr>
          <w:rFonts w:ascii="Times New Roman" w:hAnsi="Times New Roman" w:cs="Times New Roman"/>
          <w:i/>
          <w:sz w:val="24"/>
          <w:szCs w:val="24"/>
          <w:lang w:val="en-IN"/>
        </w:rPr>
        <w:t>vs</w:t>
      </w:r>
      <w:r w:rsidRPr="00E275C1">
        <w:rPr>
          <w:rFonts w:ascii="Times New Roman" w:hAnsi="Times New Roman" w:cs="Times New Roman"/>
          <w:sz w:val="24"/>
          <w:szCs w:val="24"/>
          <w:lang w:val="en-IN"/>
        </w:rPr>
        <w:t>). The 400 mg/kg group (</w:t>
      </w:r>
      <w:r w:rsidR="00F62186">
        <w:rPr>
          <w:rFonts w:ascii="Times New Roman" w:hAnsi="Times New Roman" w:cs="Times New Roman"/>
          <w:sz w:val="24"/>
          <w:szCs w:val="24"/>
          <w:lang w:val="en-IN"/>
        </w:rPr>
        <w:t>Fig.</w:t>
      </w:r>
      <w:r w:rsidR="001511E2">
        <w:rPr>
          <w:rFonts w:ascii="Times New Roman" w:hAnsi="Times New Roman" w:cs="Times New Roman"/>
          <w:sz w:val="24"/>
          <w:szCs w:val="24"/>
          <w:lang w:val="en-IN"/>
        </w:rPr>
        <w:t xml:space="preserve"> S2</w:t>
      </w:r>
      <w:r w:rsidRPr="00E275C1">
        <w:rPr>
          <w:rFonts w:ascii="Times New Roman" w:hAnsi="Times New Roman" w:cs="Times New Roman"/>
          <w:sz w:val="24"/>
          <w:szCs w:val="24"/>
          <w:lang w:val="en-IN"/>
        </w:rPr>
        <w:t xml:space="preserve"> (iv)E) depicted oedema (</w:t>
      </w:r>
      <w:r w:rsidRPr="00E275C1">
        <w:rPr>
          <w:rFonts w:ascii="Times New Roman" w:hAnsi="Times New Roman" w:cs="Times New Roman"/>
          <w:i/>
          <w:sz w:val="24"/>
          <w:szCs w:val="24"/>
          <w:lang w:val="en-IN"/>
        </w:rPr>
        <w:t>oe</w:t>
      </w:r>
      <w:r w:rsidRPr="00E275C1">
        <w:rPr>
          <w:rFonts w:ascii="Times New Roman" w:hAnsi="Times New Roman" w:cs="Times New Roman"/>
          <w:sz w:val="24"/>
          <w:szCs w:val="24"/>
          <w:lang w:val="en-IN"/>
        </w:rPr>
        <w:t>), degenerated entrapped islet of Langerhans (</w:t>
      </w:r>
      <w:r w:rsidRPr="00E275C1">
        <w:rPr>
          <w:rFonts w:ascii="Times New Roman" w:hAnsi="Times New Roman" w:cs="Times New Roman"/>
          <w:i/>
          <w:sz w:val="24"/>
          <w:szCs w:val="24"/>
          <w:lang w:val="en-IN"/>
        </w:rPr>
        <w:t>d</w:t>
      </w:r>
      <w:r w:rsidRPr="00E275C1">
        <w:rPr>
          <w:rFonts w:ascii="Times New Roman" w:hAnsi="Times New Roman" w:cs="Times New Roman"/>
          <w:sz w:val="24"/>
          <w:szCs w:val="24"/>
          <w:lang w:val="en-IN"/>
        </w:rPr>
        <w:t>), shrinkage of islet of Langerhans (</w:t>
      </w:r>
      <w:r w:rsidRPr="00E275C1">
        <w:rPr>
          <w:rFonts w:ascii="Times New Roman" w:hAnsi="Times New Roman" w:cs="Times New Roman"/>
          <w:i/>
          <w:sz w:val="24"/>
          <w:szCs w:val="24"/>
          <w:lang w:val="en-IN"/>
        </w:rPr>
        <w:t>sil</w:t>
      </w:r>
      <w:r w:rsidRPr="00E275C1">
        <w:rPr>
          <w:rFonts w:ascii="Times New Roman" w:hAnsi="Times New Roman" w:cs="Times New Roman"/>
          <w:sz w:val="24"/>
          <w:szCs w:val="24"/>
          <w:lang w:val="en-IN"/>
        </w:rPr>
        <w:t>), vacuolization (</w:t>
      </w:r>
      <w:r w:rsidRPr="00E275C1">
        <w:rPr>
          <w:rFonts w:ascii="Times New Roman" w:hAnsi="Times New Roman" w:cs="Times New Roman"/>
          <w:i/>
          <w:sz w:val="24"/>
          <w:szCs w:val="24"/>
          <w:lang w:val="en-IN"/>
        </w:rPr>
        <w:t>v</w:t>
      </w:r>
      <w:r w:rsidRPr="00E275C1">
        <w:rPr>
          <w:rFonts w:ascii="Times New Roman" w:hAnsi="Times New Roman" w:cs="Times New Roman"/>
          <w:sz w:val="24"/>
          <w:szCs w:val="24"/>
          <w:lang w:val="en-IN"/>
        </w:rPr>
        <w:t>) in pancreatic duct. The 50 and 100 mg/kg treated group (</w:t>
      </w:r>
      <w:r w:rsidR="00F62186">
        <w:rPr>
          <w:rFonts w:ascii="Times New Roman" w:hAnsi="Times New Roman" w:cs="Times New Roman"/>
          <w:sz w:val="24"/>
          <w:szCs w:val="24"/>
          <w:lang w:val="en-IN"/>
        </w:rPr>
        <w:t>Fig.</w:t>
      </w:r>
      <w:r w:rsidR="001511E2">
        <w:rPr>
          <w:rFonts w:ascii="Times New Roman" w:hAnsi="Times New Roman" w:cs="Times New Roman"/>
          <w:sz w:val="24"/>
          <w:szCs w:val="24"/>
          <w:lang w:val="en-IN"/>
        </w:rPr>
        <w:t xml:space="preserve"> S2</w:t>
      </w:r>
      <w:r w:rsidRPr="00E275C1">
        <w:rPr>
          <w:rFonts w:ascii="Times New Roman" w:hAnsi="Times New Roman" w:cs="Times New Roman"/>
          <w:sz w:val="24"/>
          <w:szCs w:val="24"/>
          <w:lang w:val="en-IN"/>
        </w:rPr>
        <w:t xml:space="preserve"> (iv)B, C) was not associated with any alterations of liver whereas minor changes were recorded in 200 mg/kg complex treated group (</w:t>
      </w:r>
      <w:r w:rsidR="00F62186">
        <w:rPr>
          <w:rFonts w:ascii="Times New Roman" w:hAnsi="Times New Roman" w:cs="Times New Roman"/>
          <w:sz w:val="24"/>
          <w:szCs w:val="24"/>
          <w:lang w:val="en-IN"/>
        </w:rPr>
        <w:t>Fig.</w:t>
      </w:r>
      <w:r w:rsidR="001511E2">
        <w:rPr>
          <w:rFonts w:ascii="Times New Roman" w:hAnsi="Times New Roman" w:cs="Times New Roman"/>
          <w:sz w:val="24"/>
          <w:szCs w:val="24"/>
          <w:lang w:val="en-IN"/>
        </w:rPr>
        <w:t xml:space="preserve"> S2</w:t>
      </w:r>
      <w:r w:rsidRPr="00E275C1">
        <w:rPr>
          <w:rFonts w:ascii="Times New Roman" w:hAnsi="Times New Roman" w:cs="Times New Roman"/>
          <w:sz w:val="24"/>
          <w:szCs w:val="24"/>
          <w:lang w:val="en-IN"/>
        </w:rPr>
        <w:t xml:space="preserve"> (iv)D). In normal control group, the histopathology of testis (</w:t>
      </w:r>
      <w:r w:rsidR="00F62186">
        <w:rPr>
          <w:rFonts w:ascii="Times New Roman" w:hAnsi="Times New Roman" w:cs="Times New Roman"/>
          <w:sz w:val="24"/>
          <w:szCs w:val="24"/>
          <w:lang w:val="en-IN"/>
        </w:rPr>
        <w:t>Fig.</w:t>
      </w:r>
      <w:r w:rsidR="001511E2">
        <w:rPr>
          <w:rFonts w:ascii="Times New Roman" w:hAnsi="Times New Roman" w:cs="Times New Roman"/>
          <w:sz w:val="24"/>
          <w:szCs w:val="24"/>
          <w:lang w:val="en-IN"/>
        </w:rPr>
        <w:t xml:space="preserve"> S2</w:t>
      </w:r>
      <w:r w:rsidRPr="00E275C1">
        <w:rPr>
          <w:rFonts w:ascii="Times New Roman" w:hAnsi="Times New Roman" w:cs="Times New Roman"/>
          <w:sz w:val="24"/>
          <w:szCs w:val="24"/>
          <w:lang w:val="en-IN"/>
        </w:rPr>
        <w:t xml:space="preserve"> (v)A) showed  seminiferous tubules (st), sertoli cells (sc), spermatogina (</w:t>
      </w:r>
      <w:r w:rsidRPr="00E275C1">
        <w:rPr>
          <w:rFonts w:ascii="Times New Roman" w:hAnsi="Times New Roman" w:cs="Times New Roman"/>
          <w:i/>
          <w:sz w:val="24"/>
          <w:szCs w:val="24"/>
          <w:lang w:val="en-IN"/>
        </w:rPr>
        <w:t>sg</w:t>
      </w:r>
      <w:r w:rsidRPr="00E275C1">
        <w:rPr>
          <w:rFonts w:ascii="Times New Roman" w:hAnsi="Times New Roman" w:cs="Times New Roman"/>
          <w:sz w:val="24"/>
          <w:szCs w:val="24"/>
          <w:lang w:val="en-IN"/>
        </w:rPr>
        <w:t>), primary spermatocytre (</w:t>
      </w:r>
      <w:r w:rsidRPr="00E275C1">
        <w:rPr>
          <w:rFonts w:ascii="Times New Roman" w:hAnsi="Times New Roman" w:cs="Times New Roman"/>
          <w:i/>
          <w:sz w:val="24"/>
          <w:szCs w:val="24"/>
          <w:lang w:val="en-IN"/>
        </w:rPr>
        <w:t>ps</w:t>
      </w:r>
      <w:r w:rsidRPr="00E275C1">
        <w:rPr>
          <w:rFonts w:ascii="Times New Roman" w:hAnsi="Times New Roman" w:cs="Times New Roman"/>
          <w:sz w:val="24"/>
          <w:szCs w:val="24"/>
          <w:lang w:val="en-IN"/>
        </w:rPr>
        <w:t>), spermatozoa (</w:t>
      </w:r>
      <w:r w:rsidRPr="00E275C1">
        <w:rPr>
          <w:rFonts w:ascii="Times New Roman" w:hAnsi="Times New Roman" w:cs="Times New Roman"/>
          <w:i/>
          <w:sz w:val="24"/>
          <w:szCs w:val="24"/>
          <w:lang w:val="en-IN"/>
        </w:rPr>
        <w:t>sz</w:t>
      </w:r>
      <w:r w:rsidRPr="00E275C1">
        <w:rPr>
          <w:rFonts w:ascii="Times New Roman" w:hAnsi="Times New Roman" w:cs="Times New Roman"/>
          <w:sz w:val="24"/>
          <w:szCs w:val="24"/>
          <w:lang w:val="en-IN"/>
        </w:rPr>
        <w:t>), leydig cells (</w:t>
      </w:r>
      <w:r w:rsidRPr="00E275C1">
        <w:rPr>
          <w:rFonts w:ascii="Times New Roman" w:hAnsi="Times New Roman" w:cs="Times New Roman"/>
          <w:i/>
          <w:sz w:val="24"/>
          <w:szCs w:val="24"/>
          <w:lang w:val="en-IN"/>
        </w:rPr>
        <w:t>lc</w:t>
      </w:r>
      <w:r w:rsidRPr="00E275C1">
        <w:rPr>
          <w:rFonts w:ascii="Times New Roman" w:hAnsi="Times New Roman" w:cs="Times New Roman"/>
          <w:sz w:val="24"/>
          <w:szCs w:val="24"/>
          <w:lang w:val="en-IN"/>
        </w:rPr>
        <w:t>), lumen (</w:t>
      </w:r>
      <w:r w:rsidRPr="00E275C1">
        <w:rPr>
          <w:rFonts w:ascii="Times New Roman" w:hAnsi="Times New Roman" w:cs="Times New Roman"/>
          <w:i/>
          <w:sz w:val="24"/>
          <w:szCs w:val="24"/>
          <w:lang w:val="en-IN"/>
        </w:rPr>
        <w:t>lu</w:t>
      </w:r>
      <w:r w:rsidRPr="00E275C1">
        <w:rPr>
          <w:rFonts w:ascii="Times New Roman" w:hAnsi="Times New Roman" w:cs="Times New Roman"/>
          <w:sz w:val="24"/>
          <w:szCs w:val="24"/>
          <w:lang w:val="en-IN"/>
        </w:rPr>
        <w:t>), round spermatids (</w:t>
      </w:r>
      <w:r w:rsidRPr="00E275C1">
        <w:rPr>
          <w:rFonts w:ascii="Times New Roman" w:hAnsi="Times New Roman" w:cs="Times New Roman"/>
          <w:i/>
          <w:sz w:val="24"/>
          <w:szCs w:val="24"/>
          <w:lang w:val="en-IN"/>
        </w:rPr>
        <w:t>rs</w:t>
      </w:r>
      <w:r w:rsidRPr="00E275C1">
        <w:rPr>
          <w:rFonts w:ascii="Times New Roman" w:hAnsi="Times New Roman" w:cs="Times New Roman"/>
          <w:sz w:val="24"/>
          <w:szCs w:val="24"/>
          <w:lang w:val="en-IN"/>
        </w:rPr>
        <w:t>), elongated spermatid (</w:t>
      </w:r>
      <w:r w:rsidRPr="00E275C1">
        <w:rPr>
          <w:rFonts w:ascii="Times New Roman" w:hAnsi="Times New Roman" w:cs="Times New Roman"/>
          <w:i/>
          <w:sz w:val="24"/>
          <w:szCs w:val="24"/>
          <w:lang w:val="en-IN"/>
        </w:rPr>
        <w:t>es</w:t>
      </w:r>
      <w:r w:rsidRPr="00E275C1">
        <w:rPr>
          <w:rFonts w:ascii="Times New Roman" w:hAnsi="Times New Roman" w:cs="Times New Roman"/>
          <w:sz w:val="24"/>
          <w:szCs w:val="24"/>
          <w:lang w:val="en-IN"/>
        </w:rPr>
        <w:t>), basement membrane (</w:t>
      </w:r>
      <w:r w:rsidRPr="00E275C1">
        <w:rPr>
          <w:rFonts w:ascii="Times New Roman" w:hAnsi="Times New Roman" w:cs="Times New Roman"/>
          <w:i/>
          <w:sz w:val="24"/>
          <w:szCs w:val="24"/>
          <w:lang w:val="en-IN"/>
        </w:rPr>
        <w:t>bm</w:t>
      </w:r>
      <w:r w:rsidRPr="00E275C1">
        <w:rPr>
          <w:rFonts w:ascii="Times New Roman" w:hAnsi="Times New Roman" w:cs="Times New Roman"/>
          <w:sz w:val="24"/>
          <w:szCs w:val="24"/>
          <w:lang w:val="en-IN"/>
        </w:rPr>
        <w:t xml:space="preserve">). The 400 mg/kg </w:t>
      </w:r>
      <w:r w:rsidRPr="00E275C1">
        <w:rPr>
          <w:rFonts w:ascii="Times New Roman" w:hAnsi="Times New Roman" w:cs="Times New Roman"/>
          <w:sz w:val="24"/>
          <w:szCs w:val="24"/>
          <w:lang w:val="en-IN"/>
        </w:rPr>
        <w:lastRenderedPageBreak/>
        <w:t>treated group (</w:t>
      </w:r>
      <w:r w:rsidR="00F62186">
        <w:rPr>
          <w:rFonts w:ascii="Times New Roman" w:hAnsi="Times New Roman" w:cs="Times New Roman"/>
          <w:sz w:val="24"/>
          <w:szCs w:val="24"/>
          <w:lang w:val="en-IN"/>
        </w:rPr>
        <w:t>Fig.</w:t>
      </w:r>
      <w:r w:rsidR="001511E2">
        <w:rPr>
          <w:rFonts w:ascii="Times New Roman" w:hAnsi="Times New Roman" w:cs="Times New Roman"/>
          <w:sz w:val="24"/>
          <w:szCs w:val="24"/>
          <w:lang w:val="en-IN"/>
        </w:rPr>
        <w:t xml:space="preserve"> S2</w:t>
      </w:r>
      <w:r w:rsidRPr="00E275C1">
        <w:rPr>
          <w:rFonts w:ascii="Times New Roman" w:hAnsi="Times New Roman" w:cs="Times New Roman"/>
          <w:sz w:val="24"/>
          <w:szCs w:val="24"/>
          <w:lang w:val="en-IN"/>
        </w:rPr>
        <w:t xml:space="preserve"> (v)E) depicted degeneration in seminiferous tubules (</w:t>
      </w:r>
      <w:r w:rsidRPr="00E275C1">
        <w:rPr>
          <w:rFonts w:ascii="Times New Roman" w:hAnsi="Times New Roman" w:cs="Times New Roman"/>
          <w:i/>
          <w:sz w:val="24"/>
          <w:szCs w:val="24"/>
          <w:lang w:val="en-IN"/>
        </w:rPr>
        <w:t>d</w:t>
      </w:r>
      <w:r w:rsidRPr="00E275C1">
        <w:rPr>
          <w:rFonts w:ascii="Times New Roman" w:hAnsi="Times New Roman" w:cs="Times New Roman"/>
          <w:sz w:val="24"/>
          <w:szCs w:val="24"/>
          <w:lang w:val="en-IN"/>
        </w:rPr>
        <w:t>), oedema in interstitial tissues (</w:t>
      </w:r>
      <w:r w:rsidRPr="00E275C1">
        <w:rPr>
          <w:rFonts w:ascii="Times New Roman" w:hAnsi="Times New Roman" w:cs="Times New Roman"/>
          <w:i/>
          <w:sz w:val="24"/>
          <w:szCs w:val="24"/>
          <w:lang w:val="en-IN"/>
        </w:rPr>
        <w:t>oe</w:t>
      </w:r>
      <w:r w:rsidRPr="00E275C1">
        <w:rPr>
          <w:rFonts w:ascii="Times New Roman" w:hAnsi="Times New Roman" w:cs="Times New Roman"/>
          <w:sz w:val="24"/>
          <w:szCs w:val="24"/>
          <w:lang w:val="en-IN"/>
        </w:rPr>
        <w:t>), vacuolization (</w:t>
      </w:r>
      <w:r w:rsidRPr="00E275C1">
        <w:rPr>
          <w:rFonts w:ascii="Times New Roman" w:hAnsi="Times New Roman" w:cs="Times New Roman"/>
          <w:i/>
          <w:sz w:val="24"/>
          <w:szCs w:val="24"/>
          <w:lang w:val="en-IN"/>
        </w:rPr>
        <w:t>v</w:t>
      </w:r>
      <w:r w:rsidRPr="00E275C1">
        <w:rPr>
          <w:rFonts w:ascii="Times New Roman" w:hAnsi="Times New Roman" w:cs="Times New Roman"/>
          <w:sz w:val="24"/>
          <w:szCs w:val="24"/>
          <w:lang w:val="en-IN"/>
        </w:rPr>
        <w:t>), exfoliated cells (</w:t>
      </w:r>
      <w:r w:rsidRPr="00E275C1">
        <w:rPr>
          <w:rFonts w:ascii="Times New Roman" w:hAnsi="Times New Roman" w:cs="Times New Roman"/>
          <w:i/>
          <w:sz w:val="24"/>
          <w:szCs w:val="24"/>
          <w:lang w:val="en-IN"/>
        </w:rPr>
        <w:t>ec</w:t>
      </w:r>
      <w:r w:rsidRPr="00E275C1">
        <w:rPr>
          <w:rFonts w:ascii="Times New Roman" w:hAnsi="Times New Roman" w:cs="Times New Roman"/>
          <w:sz w:val="24"/>
          <w:szCs w:val="24"/>
          <w:lang w:val="en-IN"/>
        </w:rPr>
        <w:t>), empty lumen (</w:t>
      </w:r>
      <w:r w:rsidRPr="00E275C1">
        <w:rPr>
          <w:rFonts w:ascii="Times New Roman" w:hAnsi="Times New Roman" w:cs="Times New Roman"/>
          <w:i/>
          <w:sz w:val="24"/>
          <w:szCs w:val="24"/>
          <w:lang w:val="en-IN"/>
        </w:rPr>
        <w:t>el</w:t>
      </w:r>
      <w:r w:rsidRPr="00E275C1">
        <w:rPr>
          <w:rFonts w:ascii="Times New Roman" w:hAnsi="Times New Roman" w:cs="Times New Roman"/>
          <w:sz w:val="24"/>
          <w:szCs w:val="24"/>
          <w:lang w:val="en-IN"/>
        </w:rPr>
        <w:t>), atrophy of leydig cells (</w:t>
      </w:r>
      <w:r w:rsidRPr="00E275C1">
        <w:rPr>
          <w:rFonts w:ascii="Times New Roman" w:hAnsi="Times New Roman" w:cs="Times New Roman"/>
          <w:i/>
          <w:sz w:val="24"/>
          <w:szCs w:val="24"/>
          <w:lang w:val="en-IN"/>
        </w:rPr>
        <w:t>a</w:t>
      </w:r>
      <w:r w:rsidRPr="00E275C1">
        <w:rPr>
          <w:rFonts w:ascii="Times New Roman" w:hAnsi="Times New Roman" w:cs="Times New Roman"/>
          <w:sz w:val="24"/>
          <w:szCs w:val="24"/>
          <w:lang w:val="en-IN"/>
        </w:rPr>
        <w:t>), multinucleated giant cells (</w:t>
      </w:r>
      <w:r w:rsidRPr="00E275C1">
        <w:rPr>
          <w:rFonts w:ascii="Times New Roman" w:hAnsi="Times New Roman" w:cs="Times New Roman"/>
          <w:i/>
          <w:sz w:val="24"/>
          <w:szCs w:val="24"/>
          <w:lang w:val="en-IN"/>
        </w:rPr>
        <w:t>mng</w:t>
      </w:r>
      <w:r w:rsidRPr="00E275C1">
        <w:rPr>
          <w:rFonts w:ascii="Times New Roman" w:hAnsi="Times New Roman" w:cs="Times New Roman"/>
          <w:sz w:val="24"/>
          <w:szCs w:val="24"/>
          <w:lang w:val="en-IN"/>
        </w:rPr>
        <w:t>). However, no structural abnormalities were found in 50 and 100 mg/kg treated group (</w:t>
      </w:r>
      <w:r w:rsidR="00F62186">
        <w:rPr>
          <w:rFonts w:ascii="Times New Roman" w:hAnsi="Times New Roman" w:cs="Times New Roman"/>
          <w:sz w:val="24"/>
          <w:szCs w:val="24"/>
          <w:lang w:val="en-IN"/>
        </w:rPr>
        <w:t>Fig.</w:t>
      </w:r>
      <w:r w:rsidR="001511E2">
        <w:rPr>
          <w:rFonts w:ascii="Times New Roman" w:hAnsi="Times New Roman" w:cs="Times New Roman"/>
          <w:sz w:val="24"/>
          <w:szCs w:val="24"/>
          <w:lang w:val="en-IN"/>
        </w:rPr>
        <w:t xml:space="preserve"> S2</w:t>
      </w:r>
      <w:r w:rsidRPr="00E275C1">
        <w:rPr>
          <w:rFonts w:ascii="Times New Roman" w:hAnsi="Times New Roman" w:cs="Times New Roman"/>
          <w:sz w:val="24"/>
          <w:szCs w:val="24"/>
          <w:lang w:val="en-IN"/>
        </w:rPr>
        <w:t xml:space="preserve"> (v)B, C) but the 200 mg/kg (</w:t>
      </w:r>
      <w:r w:rsidR="00F62186">
        <w:rPr>
          <w:rFonts w:ascii="Times New Roman" w:hAnsi="Times New Roman" w:cs="Times New Roman"/>
          <w:sz w:val="24"/>
          <w:szCs w:val="24"/>
          <w:lang w:val="en-IN"/>
        </w:rPr>
        <w:t>Fig.</w:t>
      </w:r>
      <w:r w:rsidR="001511E2">
        <w:rPr>
          <w:rFonts w:ascii="Times New Roman" w:hAnsi="Times New Roman" w:cs="Times New Roman"/>
          <w:sz w:val="24"/>
          <w:szCs w:val="24"/>
          <w:lang w:val="en-IN"/>
        </w:rPr>
        <w:t xml:space="preserve"> S2</w:t>
      </w:r>
      <w:r w:rsidRPr="00E275C1">
        <w:rPr>
          <w:rFonts w:ascii="Times New Roman" w:hAnsi="Times New Roman" w:cs="Times New Roman"/>
          <w:sz w:val="24"/>
          <w:szCs w:val="24"/>
          <w:lang w:val="en-IN"/>
        </w:rPr>
        <w:t xml:space="preserve"> (v)D) group showed slight oedema (</w:t>
      </w:r>
      <w:r w:rsidRPr="00E275C1">
        <w:rPr>
          <w:rFonts w:ascii="Times New Roman" w:hAnsi="Times New Roman" w:cs="Times New Roman"/>
          <w:i/>
          <w:sz w:val="24"/>
          <w:szCs w:val="24"/>
          <w:lang w:val="en-IN"/>
        </w:rPr>
        <w:t>oe</w:t>
      </w:r>
      <w:r w:rsidRPr="00E275C1">
        <w:rPr>
          <w:rFonts w:ascii="Times New Roman" w:hAnsi="Times New Roman" w:cs="Times New Roman"/>
          <w:sz w:val="24"/>
          <w:szCs w:val="24"/>
          <w:lang w:val="en-IN"/>
        </w:rPr>
        <w:t>), empty lumen (</w:t>
      </w:r>
      <w:r w:rsidRPr="00E275C1">
        <w:rPr>
          <w:rFonts w:ascii="Times New Roman" w:hAnsi="Times New Roman" w:cs="Times New Roman"/>
          <w:i/>
          <w:sz w:val="24"/>
          <w:szCs w:val="24"/>
          <w:lang w:val="en-IN"/>
        </w:rPr>
        <w:t>el</w:t>
      </w:r>
      <w:r w:rsidRPr="00E275C1">
        <w:rPr>
          <w:rFonts w:ascii="Times New Roman" w:hAnsi="Times New Roman" w:cs="Times New Roman"/>
          <w:sz w:val="24"/>
          <w:szCs w:val="24"/>
          <w:lang w:val="en-IN"/>
        </w:rPr>
        <w:t>) and vacuolization (</w:t>
      </w:r>
      <w:r w:rsidRPr="00E275C1">
        <w:rPr>
          <w:rFonts w:ascii="Times New Roman" w:hAnsi="Times New Roman" w:cs="Times New Roman"/>
          <w:i/>
          <w:sz w:val="24"/>
          <w:szCs w:val="24"/>
          <w:lang w:val="en-IN"/>
        </w:rPr>
        <w:t>v</w:t>
      </w:r>
      <w:r w:rsidRPr="00E275C1">
        <w:rPr>
          <w:rFonts w:ascii="Times New Roman" w:hAnsi="Times New Roman" w:cs="Times New Roman"/>
          <w:sz w:val="24"/>
          <w:szCs w:val="24"/>
          <w:lang w:val="en-IN"/>
        </w:rPr>
        <w:t>).</w:t>
      </w:r>
    </w:p>
    <w:p w:rsidR="001511E2" w:rsidRPr="002A0ADE" w:rsidRDefault="001511E2" w:rsidP="001511E2">
      <w:pPr>
        <w:spacing w:line="360" w:lineRule="auto"/>
        <w:jc w:val="both"/>
        <w:rPr>
          <w:rFonts w:ascii="Times New Roman" w:hAnsi="Times New Roman" w:cs="Times New Roman"/>
          <w:b/>
          <w:i/>
          <w:iCs/>
          <w:sz w:val="24"/>
          <w:szCs w:val="24"/>
        </w:rPr>
      </w:pPr>
      <w:r w:rsidRPr="002A0ADE">
        <w:rPr>
          <w:rFonts w:ascii="Times New Roman" w:hAnsi="Times New Roman" w:cs="Times New Roman"/>
          <w:b/>
          <w:i/>
          <w:iCs/>
          <w:sz w:val="24"/>
          <w:szCs w:val="24"/>
        </w:rPr>
        <w:t>In vivo antioxidant activity</w:t>
      </w:r>
    </w:p>
    <w:p w:rsidR="001511E2" w:rsidRPr="001511E2" w:rsidRDefault="001511E2" w:rsidP="00E275C1">
      <w:pPr>
        <w:spacing w:line="360" w:lineRule="auto"/>
        <w:jc w:val="both"/>
        <w:rPr>
          <w:rFonts w:ascii="Times New Roman" w:hAnsi="Times New Roman" w:cs="Times New Roman"/>
          <w:iCs/>
          <w:sz w:val="24"/>
          <w:szCs w:val="24"/>
        </w:rPr>
      </w:pPr>
      <w:r w:rsidRPr="001511E2">
        <w:rPr>
          <w:rFonts w:ascii="Times New Roman" w:hAnsi="Times New Roman" w:cs="Times New Roman"/>
          <w:iCs/>
          <w:sz w:val="24"/>
          <w:szCs w:val="24"/>
        </w:rPr>
        <w:t xml:space="preserve">The effect of taxifolin ruthenium-p-cymene complex on the antioxidant levels of lung tissue has been depicted in </w:t>
      </w:r>
      <w:r w:rsidR="00F62186">
        <w:rPr>
          <w:rFonts w:ascii="Times New Roman" w:hAnsi="Times New Roman" w:cs="Times New Roman"/>
          <w:iCs/>
          <w:sz w:val="24"/>
          <w:szCs w:val="24"/>
        </w:rPr>
        <w:t>Fig.</w:t>
      </w:r>
      <w:r w:rsidRPr="001511E2">
        <w:rPr>
          <w:rFonts w:ascii="Times New Roman" w:hAnsi="Times New Roman" w:cs="Times New Roman"/>
          <w:iCs/>
          <w:sz w:val="24"/>
          <w:szCs w:val="24"/>
        </w:rPr>
        <w:t xml:space="preserve"> </w:t>
      </w:r>
      <w:r>
        <w:rPr>
          <w:rFonts w:ascii="Times New Roman" w:hAnsi="Times New Roman" w:cs="Times New Roman"/>
          <w:iCs/>
          <w:sz w:val="24"/>
          <w:szCs w:val="24"/>
        </w:rPr>
        <w:t>S3</w:t>
      </w:r>
      <w:r w:rsidRPr="001511E2">
        <w:rPr>
          <w:rFonts w:ascii="Times New Roman" w:hAnsi="Times New Roman" w:cs="Times New Roman"/>
          <w:iCs/>
          <w:sz w:val="24"/>
          <w:szCs w:val="24"/>
        </w:rPr>
        <w:t xml:space="preserve">. The induction of benzo-α-pyrene significantly decreases the antioxidant levels. Whereas, treatment with the complex drastically upregulated the antioxidant levels in lung. The highest levels of antioxidant enzymes were observed in the 200 mg/kg complex treated group. </w:t>
      </w:r>
    </w:p>
    <w:p w:rsidR="00E275C1" w:rsidRDefault="00E275C1" w:rsidP="00E275C1">
      <w:pPr>
        <w:spacing w:line="360" w:lineRule="auto"/>
        <w:jc w:val="both"/>
        <w:rPr>
          <w:rFonts w:ascii="Times New Roman" w:hAnsi="Times New Roman" w:cs="Times New Roman"/>
          <w:b/>
          <w:sz w:val="24"/>
          <w:szCs w:val="24"/>
          <w:lang w:val="en-IN"/>
        </w:rPr>
      </w:pPr>
      <w:r w:rsidRPr="00E275C1">
        <w:rPr>
          <w:rFonts w:ascii="Times New Roman" w:hAnsi="Times New Roman" w:cs="Times New Roman"/>
          <w:b/>
          <w:sz w:val="24"/>
          <w:szCs w:val="24"/>
          <w:lang w:val="en-IN"/>
        </w:rPr>
        <w:t>References</w:t>
      </w:r>
    </w:p>
    <w:p w:rsidR="00E275C1" w:rsidRPr="00374C81" w:rsidRDefault="00E275C1" w:rsidP="00E275C1">
      <w:pPr>
        <w:pStyle w:val="ListParagraph"/>
        <w:numPr>
          <w:ilvl w:val="0"/>
          <w:numId w:val="1"/>
        </w:numPr>
        <w:spacing w:after="100" w:afterAutospacing="1" w:line="360" w:lineRule="auto"/>
        <w:ind w:hanging="360"/>
        <w:jc w:val="both"/>
        <w:rPr>
          <w:rFonts w:ascii="Times New Roman" w:hAnsi="Times New Roman" w:cs="Times New Roman"/>
          <w:color w:val="000000" w:themeColor="text1"/>
          <w:sz w:val="24"/>
          <w:szCs w:val="24"/>
        </w:rPr>
      </w:pPr>
      <w:r w:rsidRPr="00374C81">
        <w:rPr>
          <w:rFonts w:ascii="Times New Roman" w:hAnsi="Times New Roman" w:cs="Times New Roman"/>
          <w:color w:val="000000" w:themeColor="text1"/>
          <w:sz w:val="24"/>
          <w:szCs w:val="24"/>
        </w:rPr>
        <w:t>Dehghan G, Dolatabadi JE, Jouyban A, Zey</w:t>
      </w:r>
      <w:r w:rsidR="007226F3">
        <w:rPr>
          <w:rFonts w:ascii="Times New Roman" w:hAnsi="Times New Roman" w:cs="Times New Roman"/>
          <w:color w:val="000000" w:themeColor="text1"/>
          <w:sz w:val="24"/>
          <w:szCs w:val="24"/>
        </w:rPr>
        <w:t>nali KA, Ahmadi SM, Kashanian S (</w:t>
      </w:r>
      <w:r w:rsidR="007226F3" w:rsidRPr="007226F3">
        <w:rPr>
          <w:rFonts w:ascii="Times New Roman" w:hAnsi="Times New Roman" w:cs="Times New Roman"/>
          <w:color w:val="000000" w:themeColor="text1"/>
          <w:sz w:val="24"/>
          <w:szCs w:val="24"/>
        </w:rPr>
        <w:t>2011</w:t>
      </w:r>
      <w:r w:rsidR="007226F3">
        <w:rPr>
          <w:rFonts w:ascii="Times New Roman" w:hAnsi="Times New Roman" w:cs="Times New Roman"/>
          <w:color w:val="000000" w:themeColor="text1"/>
          <w:sz w:val="24"/>
          <w:szCs w:val="24"/>
        </w:rPr>
        <w:t xml:space="preserve">) </w:t>
      </w:r>
      <w:r w:rsidRPr="00374C81">
        <w:rPr>
          <w:rFonts w:ascii="Times New Roman" w:hAnsi="Times New Roman" w:cs="Times New Roman"/>
          <w:color w:val="000000" w:themeColor="text1"/>
          <w:sz w:val="24"/>
          <w:szCs w:val="24"/>
        </w:rPr>
        <w:t>Spectroscopic studies on the interaction of quercetin-terbium(III) complex with</w:t>
      </w:r>
      <w:r w:rsidR="007226F3">
        <w:rPr>
          <w:rFonts w:ascii="Times New Roman" w:hAnsi="Times New Roman" w:cs="Times New Roman"/>
          <w:color w:val="000000" w:themeColor="text1"/>
          <w:sz w:val="24"/>
          <w:szCs w:val="24"/>
        </w:rPr>
        <w:t xml:space="preserve"> calf thymus DNA. DNA Cell Biol</w:t>
      </w:r>
      <w:r w:rsidRPr="00374C81">
        <w:rPr>
          <w:rFonts w:ascii="Times New Roman" w:hAnsi="Times New Roman" w:cs="Times New Roman"/>
          <w:color w:val="000000" w:themeColor="text1"/>
          <w:sz w:val="24"/>
          <w:szCs w:val="24"/>
        </w:rPr>
        <w:t xml:space="preserve"> 30(3):195-201. </w:t>
      </w:r>
      <w:hyperlink r:id="rId7" w:history="1">
        <w:r w:rsidR="007226F3" w:rsidRPr="002301FE">
          <w:rPr>
            <w:rStyle w:val="Hyperlink"/>
            <w:rFonts w:ascii="Times New Roman" w:hAnsi="Times New Roman" w:cs="Times New Roman"/>
            <w:sz w:val="24"/>
            <w:szCs w:val="24"/>
          </w:rPr>
          <w:t>https://doi.org/10.1089/dna.2010.1063</w:t>
        </w:r>
      </w:hyperlink>
      <w:r w:rsidR="007226F3">
        <w:rPr>
          <w:rFonts w:ascii="Times New Roman" w:hAnsi="Times New Roman" w:cs="Times New Roman"/>
          <w:color w:val="000000" w:themeColor="text1"/>
          <w:sz w:val="24"/>
          <w:szCs w:val="24"/>
        </w:rPr>
        <w:t xml:space="preserve"> </w:t>
      </w:r>
    </w:p>
    <w:p w:rsidR="00E275C1" w:rsidRPr="00374C81" w:rsidRDefault="00E275C1" w:rsidP="00E275C1">
      <w:pPr>
        <w:numPr>
          <w:ilvl w:val="0"/>
          <w:numId w:val="1"/>
        </w:numPr>
        <w:spacing w:after="100" w:afterAutospacing="1" w:line="360" w:lineRule="auto"/>
        <w:ind w:hanging="360"/>
        <w:contextualSpacing/>
        <w:jc w:val="both"/>
        <w:rPr>
          <w:rFonts w:ascii="Times New Roman" w:eastAsia="Times New Roman" w:hAnsi="Times New Roman" w:cs="Times New Roman"/>
          <w:color w:val="000000" w:themeColor="text1"/>
          <w:sz w:val="24"/>
          <w:szCs w:val="24"/>
        </w:rPr>
      </w:pPr>
      <w:r w:rsidRPr="00374C81">
        <w:rPr>
          <w:rFonts w:ascii="Times New Roman" w:hAnsi="Times New Roman" w:cs="Times New Roman"/>
          <w:color w:val="000000" w:themeColor="text1"/>
          <w:sz w:val="24"/>
          <w:szCs w:val="24"/>
        </w:rPr>
        <w:t xml:space="preserve">Sinha BBP, Peterson GA, Li GC, </w:t>
      </w:r>
      <w:r w:rsidR="007226F3">
        <w:rPr>
          <w:rFonts w:ascii="Times New Roman" w:hAnsi="Times New Roman" w:cs="Times New Roman"/>
          <w:color w:val="000000" w:themeColor="text1"/>
          <w:sz w:val="24"/>
          <w:szCs w:val="24"/>
        </w:rPr>
        <w:t>Whitney RR, Sick I, McCarthy JS (</w:t>
      </w:r>
      <w:r w:rsidR="007226F3" w:rsidRPr="007226F3">
        <w:rPr>
          <w:rFonts w:ascii="Times New Roman" w:hAnsi="Times New Roman" w:cs="Times New Roman"/>
          <w:color w:val="000000" w:themeColor="text1"/>
          <w:sz w:val="24"/>
          <w:szCs w:val="24"/>
        </w:rPr>
        <w:t>1972</w:t>
      </w:r>
      <w:r w:rsidR="007226F3">
        <w:rPr>
          <w:rFonts w:ascii="Times New Roman" w:hAnsi="Times New Roman" w:cs="Times New Roman"/>
          <w:color w:val="000000" w:themeColor="text1"/>
          <w:sz w:val="24"/>
          <w:szCs w:val="24"/>
        </w:rPr>
        <w:t>)</w:t>
      </w:r>
      <w:r w:rsidRPr="00374C81">
        <w:rPr>
          <w:rFonts w:ascii="Times New Roman" w:hAnsi="Times New Roman" w:cs="Times New Roman"/>
          <w:color w:val="000000" w:themeColor="text1"/>
          <w:sz w:val="24"/>
          <w:szCs w:val="24"/>
        </w:rPr>
        <w:t xml:space="preserve"> Nuclear change distribution of isotone p</w:t>
      </w:r>
      <w:r w:rsidR="007226F3">
        <w:rPr>
          <w:rFonts w:ascii="Times New Roman" w:hAnsi="Times New Roman" w:cs="Times New Roman"/>
          <w:color w:val="000000" w:themeColor="text1"/>
          <w:sz w:val="24"/>
          <w:szCs w:val="24"/>
        </w:rPr>
        <w:t xml:space="preserve">airs I. 31P and 32S. Phys Rev C </w:t>
      </w:r>
      <w:r w:rsidRPr="00374C81">
        <w:rPr>
          <w:rFonts w:ascii="Times New Roman" w:hAnsi="Times New Roman" w:cs="Times New Roman"/>
          <w:color w:val="000000" w:themeColor="text1"/>
          <w:sz w:val="24"/>
          <w:szCs w:val="24"/>
        </w:rPr>
        <w:t>6:1657-1663.</w:t>
      </w:r>
      <w:r w:rsidRPr="00374C81">
        <w:rPr>
          <w:rFonts w:ascii="Times New Roman" w:hAnsi="Times New Roman" w:cs="Times New Roman"/>
          <w:sz w:val="24"/>
          <w:szCs w:val="24"/>
        </w:rPr>
        <w:t xml:space="preserve"> </w:t>
      </w:r>
      <w:hyperlink r:id="rId8" w:history="1">
        <w:r w:rsidR="007226F3" w:rsidRPr="002301FE">
          <w:rPr>
            <w:rStyle w:val="Hyperlink"/>
            <w:rFonts w:ascii="Times New Roman" w:hAnsi="Times New Roman" w:cs="Times New Roman"/>
            <w:sz w:val="24"/>
            <w:szCs w:val="24"/>
          </w:rPr>
          <w:t>https://doi.org/10.1103/PhysRevC.7.1930</w:t>
        </w:r>
      </w:hyperlink>
      <w:r w:rsidR="007226F3">
        <w:rPr>
          <w:rFonts w:ascii="Times New Roman" w:hAnsi="Times New Roman" w:cs="Times New Roman"/>
          <w:color w:val="000000" w:themeColor="text1"/>
          <w:sz w:val="24"/>
          <w:szCs w:val="24"/>
        </w:rPr>
        <w:t xml:space="preserve"> </w:t>
      </w:r>
    </w:p>
    <w:p w:rsidR="00E275C1" w:rsidRPr="00374C81" w:rsidRDefault="00E275C1" w:rsidP="00E275C1">
      <w:pPr>
        <w:numPr>
          <w:ilvl w:val="0"/>
          <w:numId w:val="1"/>
        </w:numPr>
        <w:spacing w:after="100" w:afterAutospacing="1" w:line="360" w:lineRule="auto"/>
        <w:ind w:hanging="360"/>
        <w:contextualSpacing/>
        <w:jc w:val="both"/>
        <w:rPr>
          <w:rFonts w:ascii="Times New Roman" w:eastAsia="Times New Roman" w:hAnsi="Times New Roman" w:cs="Times New Roman"/>
          <w:color w:val="000000" w:themeColor="text1"/>
          <w:sz w:val="24"/>
          <w:szCs w:val="24"/>
        </w:rPr>
      </w:pPr>
      <w:r w:rsidRPr="00374C81">
        <w:rPr>
          <w:rFonts w:ascii="Times New Roman" w:hAnsi="Times New Roman" w:cs="Times New Roman"/>
          <w:color w:val="000000" w:themeColor="text1"/>
          <w:sz w:val="24"/>
          <w:szCs w:val="24"/>
        </w:rPr>
        <w:t>Awasthi S, Kakkar P, Viswanathan PN, Bharadwaj R</w:t>
      </w:r>
      <w:r w:rsidR="007226F3">
        <w:rPr>
          <w:rFonts w:ascii="Times New Roman" w:hAnsi="Times New Roman" w:cs="Times New Roman"/>
          <w:color w:val="000000" w:themeColor="text1"/>
          <w:sz w:val="24"/>
          <w:szCs w:val="24"/>
        </w:rPr>
        <w:t xml:space="preserve"> (</w:t>
      </w:r>
      <w:r w:rsidR="007226F3" w:rsidRPr="007226F3">
        <w:rPr>
          <w:rFonts w:ascii="Times New Roman" w:hAnsi="Times New Roman" w:cs="Times New Roman"/>
          <w:color w:val="000000" w:themeColor="text1"/>
          <w:sz w:val="24"/>
          <w:szCs w:val="24"/>
        </w:rPr>
        <w:t>1989</w:t>
      </w:r>
      <w:r w:rsidR="007226F3">
        <w:rPr>
          <w:rFonts w:ascii="Times New Roman" w:hAnsi="Times New Roman" w:cs="Times New Roman"/>
          <w:color w:val="000000" w:themeColor="text1"/>
          <w:sz w:val="24"/>
          <w:szCs w:val="24"/>
        </w:rPr>
        <w:t>)</w:t>
      </w:r>
      <w:r w:rsidRPr="00374C81">
        <w:rPr>
          <w:rFonts w:ascii="Times New Roman" w:hAnsi="Times New Roman" w:cs="Times New Roman"/>
          <w:color w:val="000000" w:themeColor="text1"/>
          <w:sz w:val="24"/>
          <w:szCs w:val="24"/>
        </w:rPr>
        <w:t xml:space="preserve"> Effect of anaesthetic ether on lipid peroxidation and superoxide dismutase isozymes of young and adu</w:t>
      </w:r>
      <w:r w:rsidR="007226F3">
        <w:rPr>
          <w:rFonts w:ascii="Times New Roman" w:hAnsi="Times New Roman" w:cs="Times New Roman"/>
          <w:color w:val="000000" w:themeColor="text1"/>
          <w:sz w:val="24"/>
          <w:szCs w:val="24"/>
        </w:rPr>
        <w:t>lt rat brain. Indian J Exp Biol</w:t>
      </w:r>
      <w:r w:rsidRPr="00374C81">
        <w:rPr>
          <w:rFonts w:ascii="Times New Roman" w:hAnsi="Times New Roman" w:cs="Times New Roman"/>
          <w:color w:val="000000" w:themeColor="text1"/>
          <w:sz w:val="24"/>
          <w:szCs w:val="24"/>
        </w:rPr>
        <w:t xml:space="preserve"> 27(7):647-</w:t>
      </w:r>
      <w:r w:rsidR="007226F3">
        <w:rPr>
          <w:rFonts w:ascii="Times New Roman" w:hAnsi="Times New Roman" w:cs="Times New Roman"/>
          <w:color w:val="000000" w:themeColor="text1"/>
          <w:sz w:val="24"/>
          <w:szCs w:val="24"/>
        </w:rPr>
        <w:t>64</w:t>
      </w:r>
      <w:r w:rsidRPr="00374C81">
        <w:rPr>
          <w:rFonts w:ascii="Times New Roman" w:hAnsi="Times New Roman" w:cs="Times New Roman"/>
          <w:color w:val="000000" w:themeColor="text1"/>
          <w:sz w:val="24"/>
          <w:szCs w:val="24"/>
        </w:rPr>
        <w:t>9. </w:t>
      </w:r>
      <w:bookmarkStart w:id="0" w:name="_GoBack"/>
      <w:bookmarkEnd w:id="0"/>
    </w:p>
    <w:p w:rsidR="00E275C1" w:rsidRDefault="00E275C1" w:rsidP="00E275C1">
      <w:pPr>
        <w:numPr>
          <w:ilvl w:val="0"/>
          <w:numId w:val="1"/>
        </w:numPr>
        <w:spacing w:after="100" w:afterAutospacing="1" w:line="360" w:lineRule="auto"/>
        <w:ind w:hanging="360"/>
        <w:contextualSpacing/>
        <w:jc w:val="both"/>
        <w:rPr>
          <w:rFonts w:ascii="Times New Roman" w:hAnsi="Times New Roman" w:cs="Times New Roman"/>
          <w:color w:val="000000" w:themeColor="text1"/>
          <w:sz w:val="24"/>
          <w:szCs w:val="24"/>
        </w:rPr>
      </w:pPr>
      <w:r w:rsidRPr="00374C81">
        <w:rPr>
          <w:rFonts w:ascii="Times New Roman" w:hAnsi="Times New Roman" w:cs="Times New Roman"/>
          <w:color w:val="000000" w:themeColor="text1"/>
          <w:sz w:val="24"/>
          <w:szCs w:val="24"/>
        </w:rPr>
        <w:t>Rotruck JT, Pope AL, Ganther HE, Swan</w:t>
      </w:r>
      <w:r w:rsidR="007226F3">
        <w:rPr>
          <w:rFonts w:ascii="Times New Roman" w:hAnsi="Times New Roman" w:cs="Times New Roman"/>
          <w:color w:val="000000" w:themeColor="text1"/>
          <w:sz w:val="24"/>
          <w:szCs w:val="24"/>
        </w:rPr>
        <w:t>son AB, Hafeman DG, Hoekstra WG (</w:t>
      </w:r>
      <w:r w:rsidR="007226F3" w:rsidRPr="007226F3">
        <w:rPr>
          <w:rFonts w:ascii="Times New Roman" w:hAnsi="Times New Roman" w:cs="Times New Roman"/>
          <w:color w:val="000000" w:themeColor="text1"/>
          <w:sz w:val="24"/>
          <w:szCs w:val="24"/>
        </w:rPr>
        <w:t>1973</w:t>
      </w:r>
      <w:r w:rsidR="007226F3">
        <w:rPr>
          <w:rFonts w:ascii="Times New Roman" w:hAnsi="Times New Roman" w:cs="Times New Roman"/>
          <w:color w:val="000000" w:themeColor="text1"/>
          <w:sz w:val="24"/>
          <w:szCs w:val="24"/>
        </w:rPr>
        <w:t>)</w:t>
      </w:r>
      <w:r w:rsidRPr="00374C81">
        <w:rPr>
          <w:rFonts w:ascii="Times New Roman" w:hAnsi="Times New Roman" w:cs="Times New Roman"/>
          <w:color w:val="000000" w:themeColor="text1"/>
          <w:sz w:val="24"/>
          <w:szCs w:val="24"/>
        </w:rPr>
        <w:t xml:space="preserve"> Selenium: biochemical role as a component of g</w:t>
      </w:r>
      <w:r w:rsidR="007226F3">
        <w:rPr>
          <w:rFonts w:ascii="Times New Roman" w:hAnsi="Times New Roman" w:cs="Times New Roman"/>
          <w:color w:val="000000" w:themeColor="text1"/>
          <w:sz w:val="24"/>
          <w:szCs w:val="24"/>
        </w:rPr>
        <w:t xml:space="preserve">lutathione peroxidase. Science </w:t>
      </w:r>
      <w:r w:rsidRPr="00374C81">
        <w:rPr>
          <w:rFonts w:ascii="Times New Roman" w:hAnsi="Times New Roman" w:cs="Times New Roman"/>
          <w:color w:val="000000" w:themeColor="text1"/>
          <w:sz w:val="24"/>
          <w:szCs w:val="24"/>
        </w:rPr>
        <w:t>179(4073):588-</w:t>
      </w:r>
      <w:r w:rsidR="007226F3">
        <w:rPr>
          <w:rFonts w:ascii="Times New Roman" w:hAnsi="Times New Roman" w:cs="Times New Roman"/>
          <w:color w:val="000000" w:themeColor="text1"/>
          <w:sz w:val="24"/>
          <w:szCs w:val="24"/>
        </w:rPr>
        <w:t>5</w:t>
      </w:r>
      <w:r w:rsidRPr="00374C81">
        <w:rPr>
          <w:rFonts w:ascii="Times New Roman" w:hAnsi="Times New Roman" w:cs="Times New Roman"/>
          <w:color w:val="000000" w:themeColor="text1"/>
          <w:sz w:val="24"/>
          <w:szCs w:val="24"/>
        </w:rPr>
        <w:t xml:space="preserve">90. </w:t>
      </w:r>
      <w:hyperlink r:id="rId9" w:history="1">
        <w:r w:rsidR="007226F3" w:rsidRPr="002301FE">
          <w:rPr>
            <w:rStyle w:val="Hyperlink"/>
            <w:rFonts w:ascii="Times New Roman" w:hAnsi="Times New Roman" w:cs="Times New Roman"/>
            <w:sz w:val="24"/>
            <w:szCs w:val="24"/>
          </w:rPr>
          <w:t>https://doi.org/10.1126/science.179.4073.588</w:t>
        </w:r>
      </w:hyperlink>
      <w:r w:rsidR="007226F3">
        <w:rPr>
          <w:rFonts w:ascii="Times New Roman" w:hAnsi="Times New Roman" w:cs="Times New Roman"/>
          <w:color w:val="000000" w:themeColor="text1"/>
          <w:sz w:val="24"/>
          <w:szCs w:val="24"/>
        </w:rPr>
        <w:t xml:space="preserve"> </w:t>
      </w:r>
    </w:p>
    <w:p w:rsidR="00E275C1" w:rsidRDefault="00E275C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6B343B" w:rsidRPr="00BE2AC4" w:rsidRDefault="006B343B" w:rsidP="006B343B">
      <w:pPr>
        <w:autoSpaceDE w:val="0"/>
        <w:autoSpaceDN w:val="0"/>
        <w:adjustRightInd w:val="0"/>
        <w:spacing w:after="100" w:afterAutospacing="1" w:line="360" w:lineRule="auto"/>
        <w:jc w:val="center"/>
        <w:rPr>
          <w:rFonts w:ascii="Times New Roman" w:eastAsia="Calibri" w:hAnsi="Times New Roman" w:cs="Times New Roman"/>
          <w:sz w:val="24"/>
          <w:szCs w:val="24"/>
        </w:rPr>
      </w:pPr>
      <w:r w:rsidRPr="006B343B">
        <w:rPr>
          <w:rFonts w:ascii="Times New Roman" w:eastAsia="Calibri" w:hAnsi="Times New Roman" w:cs="Times New Roman"/>
          <w:b/>
          <w:sz w:val="24"/>
          <w:szCs w:val="24"/>
        </w:rPr>
        <w:lastRenderedPageBreak/>
        <w:t xml:space="preserve">Table </w:t>
      </w:r>
      <w:r>
        <w:rPr>
          <w:rFonts w:ascii="Times New Roman" w:eastAsia="Calibri" w:hAnsi="Times New Roman" w:cs="Times New Roman"/>
          <w:b/>
          <w:sz w:val="24"/>
          <w:szCs w:val="24"/>
        </w:rPr>
        <w:t>S1</w:t>
      </w:r>
      <w:r w:rsidRPr="006B343B">
        <w:rPr>
          <w:rFonts w:ascii="Times New Roman" w:eastAsia="Calibri" w:hAnsi="Times New Roman" w:cs="Times New Roman"/>
          <w:sz w:val="24"/>
          <w:szCs w:val="24"/>
        </w:rPr>
        <w:t xml:space="preserve"> </w:t>
      </w:r>
      <w:r w:rsidRPr="00BE2AC4">
        <w:rPr>
          <w:rFonts w:ascii="Times New Roman" w:eastAsia="Calibri" w:hAnsi="Times New Roman" w:cs="Times New Roman"/>
          <w:sz w:val="24"/>
          <w:szCs w:val="24"/>
        </w:rPr>
        <w:t>Hematological finding in male Swiss albino mice treated with taxifolin ruthenium-p-cymene complex for 28 days repeated-dose oral sub-acute toxicity study</w:t>
      </w:r>
    </w:p>
    <w:tbl>
      <w:tblPr>
        <w:tblW w:w="9873" w:type="dxa"/>
        <w:tblInd w:w="-522" w:type="dxa"/>
        <w:tblLook w:val="04A0"/>
      </w:tblPr>
      <w:tblGrid>
        <w:gridCol w:w="2522"/>
        <w:gridCol w:w="1428"/>
        <w:gridCol w:w="1435"/>
        <w:gridCol w:w="1468"/>
        <w:gridCol w:w="1468"/>
        <w:gridCol w:w="1552"/>
      </w:tblGrid>
      <w:tr w:rsidR="006B343B" w:rsidRPr="006B343B" w:rsidTr="00A02D70">
        <w:trPr>
          <w:trHeight w:val="1006"/>
        </w:trPr>
        <w:tc>
          <w:tcPr>
            <w:tcW w:w="2522"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Parameters (</w:t>
            </w:r>
            <w:r w:rsidRPr="006B343B">
              <w:rPr>
                <w:rFonts w:ascii="Times New Roman" w:eastAsia="Calibri" w:hAnsi="Times New Roman" w:cs="Times New Roman"/>
                <w:b/>
                <w:color w:val="131413"/>
                <w:sz w:val="24"/>
                <w:szCs w:val="24"/>
              </w:rPr>
              <w:t>± SEM)</w:t>
            </w:r>
          </w:p>
        </w:tc>
        <w:tc>
          <w:tcPr>
            <w:tcW w:w="1428"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Control</w:t>
            </w:r>
          </w:p>
        </w:tc>
        <w:tc>
          <w:tcPr>
            <w:tcW w:w="1435"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taxifolin ruthenium-p-cymene (400 mg/kg)</w:t>
            </w:r>
          </w:p>
        </w:tc>
        <w:tc>
          <w:tcPr>
            <w:tcW w:w="1468"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taxifolin ruthenium-p-cymene (200 mg/kg)</w:t>
            </w:r>
          </w:p>
        </w:tc>
        <w:tc>
          <w:tcPr>
            <w:tcW w:w="1468"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taxifolin ruthenium-p-cymene (100 mg/kg)</w:t>
            </w:r>
          </w:p>
        </w:tc>
        <w:tc>
          <w:tcPr>
            <w:tcW w:w="1552"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taxifolin ruthenium-p-cymene (50 mg/kg)</w:t>
            </w:r>
          </w:p>
        </w:tc>
      </w:tr>
      <w:tr w:rsidR="006B343B" w:rsidRPr="006B343B" w:rsidTr="00A02D70">
        <w:trPr>
          <w:trHeight w:val="243"/>
        </w:trPr>
        <w:tc>
          <w:tcPr>
            <w:tcW w:w="2522"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Haemoglobin (%)</w:t>
            </w:r>
          </w:p>
        </w:tc>
        <w:tc>
          <w:tcPr>
            <w:tcW w:w="1428"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11.23</w:t>
            </w:r>
            <w:r w:rsidRPr="006B343B">
              <w:rPr>
                <w:rFonts w:ascii="Times New Roman" w:eastAsia="Calibri" w:hAnsi="Times New Roman" w:cs="Times New Roman"/>
                <w:color w:val="131413"/>
                <w:sz w:val="24"/>
                <w:szCs w:val="24"/>
              </w:rPr>
              <w:t>±0.015</w:t>
            </w:r>
          </w:p>
        </w:tc>
        <w:tc>
          <w:tcPr>
            <w:tcW w:w="1435"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13.47</w:t>
            </w:r>
            <w:r w:rsidRPr="006B343B">
              <w:rPr>
                <w:rFonts w:ascii="Times New Roman" w:eastAsia="Calibri" w:hAnsi="Times New Roman" w:cs="Times New Roman"/>
                <w:color w:val="131413"/>
                <w:sz w:val="24"/>
                <w:szCs w:val="24"/>
              </w:rPr>
              <w:t>±0.01</w:t>
            </w:r>
          </w:p>
        </w:tc>
        <w:tc>
          <w:tcPr>
            <w:tcW w:w="1468"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12.68</w:t>
            </w:r>
            <w:r w:rsidRPr="006B343B">
              <w:rPr>
                <w:rFonts w:ascii="Times New Roman" w:eastAsia="Calibri" w:hAnsi="Times New Roman" w:cs="Times New Roman"/>
                <w:color w:val="131413"/>
                <w:sz w:val="24"/>
                <w:szCs w:val="24"/>
              </w:rPr>
              <w:t>±0.01</w:t>
            </w:r>
          </w:p>
        </w:tc>
        <w:tc>
          <w:tcPr>
            <w:tcW w:w="1468"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12.26</w:t>
            </w:r>
            <w:r w:rsidRPr="006B343B">
              <w:rPr>
                <w:rFonts w:ascii="Times New Roman" w:eastAsia="Calibri" w:hAnsi="Times New Roman" w:cs="Times New Roman"/>
                <w:color w:val="131413"/>
                <w:sz w:val="24"/>
                <w:szCs w:val="24"/>
              </w:rPr>
              <w:t>±0.01</w:t>
            </w:r>
          </w:p>
        </w:tc>
        <w:tc>
          <w:tcPr>
            <w:tcW w:w="1552"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12.59</w:t>
            </w:r>
            <w:r w:rsidRPr="006B343B">
              <w:rPr>
                <w:rFonts w:ascii="Times New Roman" w:eastAsia="Calibri" w:hAnsi="Times New Roman" w:cs="Times New Roman"/>
                <w:color w:val="131413"/>
                <w:sz w:val="24"/>
                <w:szCs w:val="24"/>
              </w:rPr>
              <w:t>±0.02</w:t>
            </w:r>
          </w:p>
        </w:tc>
      </w:tr>
      <w:tr w:rsidR="006B343B" w:rsidRPr="006B343B" w:rsidTr="00A02D70">
        <w:trPr>
          <w:trHeight w:val="278"/>
        </w:trPr>
        <w:tc>
          <w:tcPr>
            <w:tcW w:w="252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Total RBC (</w:t>
            </w:r>
            <w:r w:rsidR="004B3E5D" w:rsidRPr="002311CE">
              <w:rPr>
                <w:rFonts w:ascii="Times New Roman" w:eastAsia="Calibri" w:hAnsi="Times New Roman" w:cs="Times New Roman"/>
                <w:position w:val="-6"/>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14.4pt" equationxml="&lt;">
                  <v:imagedata r:id="rId10" o:title="" chromakey="white"/>
                </v:shape>
              </w:pict>
            </w:r>
            <w:r w:rsidRPr="006B343B">
              <w:rPr>
                <w:rFonts w:ascii="Times New Roman" w:eastAsia="Calibri" w:hAnsi="Times New Roman" w:cs="Times New Roman"/>
                <w:sz w:val="24"/>
                <w:szCs w:val="24"/>
              </w:rPr>
              <w:t>10</w:t>
            </w:r>
            <w:r w:rsidRPr="006B343B">
              <w:rPr>
                <w:rFonts w:ascii="Times New Roman" w:eastAsia="Calibri" w:hAnsi="Times New Roman" w:cs="Times New Roman"/>
                <w:sz w:val="24"/>
                <w:szCs w:val="24"/>
                <w:vertAlign w:val="superscript"/>
              </w:rPr>
              <w:t>6</w:t>
            </w:r>
            <w:r w:rsidRPr="006B343B">
              <w:rPr>
                <w:rFonts w:ascii="Times New Roman" w:eastAsia="Calibri" w:hAnsi="Times New Roman" w:cs="Times New Roman"/>
                <w:sz w:val="24"/>
                <w:szCs w:val="24"/>
              </w:rPr>
              <w:t>/µ)</w:t>
            </w:r>
          </w:p>
        </w:tc>
        <w:tc>
          <w:tcPr>
            <w:tcW w:w="142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4.25</w:t>
            </w:r>
            <w:r w:rsidRPr="006B343B">
              <w:rPr>
                <w:rFonts w:ascii="Times New Roman" w:eastAsia="Calibri" w:hAnsi="Times New Roman" w:cs="Times New Roman"/>
                <w:color w:val="131413"/>
                <w:sz w:val="24"/>
                <w:szCs w:val="24"/>
              </w:rPr>
              <w:t>±0.003</w:t>
            </w:r>
          </w:p>
        </w:tc>
        <w:tc>
          <w:tcPr>
            <w:tcW w:w="1435"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vertAlign w:val="superscript"/>
              </w:rPr>
            </w:pPr>
            <w:r w:rsidRPr="006B343B">
              <w:rPr>
                <w:rFonts w:ascii="Times New Roman" w:eastAsia="Calibri" w:hAnsi="Times New Roman" w:cs="Times New Roman"/>
                <w:sz w:val="24"/>
                <w:szCs w:val="24"/>
              </w:rPr>
              <w:t>5.11</w:t>
            </w:r>
            <w:r w:rsidRPr="006B343B">
              <w:rPr>
                <w:rFonts w:ascii="Times New Roman" w:eastAsia="Calibri" w:hAnsi="Times New Roman" w:cs="Times New Roman"/>
                <w:color w:val="131413"/>
                <w:sz w:val="24"/>
                <w:szCs w:val="24"/>
              </w:rPr>
              <w:t>±0.001</w:t>
            </w:r>
            <w:r w:rsidRPr="006B343B">
              <w:rPr>
                <w:rFonts w:ascii="Times New Roman" w:eastAsia="Calibri" w:hAnsi="Times New Roman" w:cs="Times New Roman"/>
                <w:color w:val="131413"/>
                <w:sz w:val="24"/>
                <w:szCs w:val="24"/>
                <w:vertAlign w:val="superscript"/>
              </w:rPr>
              <w:t>*</w:t>
            </w:r>
          </w:p>
        </w:tc>
        <w:tc>
          <w:tcPr>
            <w:tcW w:w="146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4.49</w:t>
            </w:r>
            <w:r w:rsidRPr="006B343B">
              <w:rPr>
                <w:rFonts w:ascii="Times New Roman" w:eastAsia="Calibri" w:hAnsi="Times New Roman" w:cs="Times New Roman"/>
                <w:color w:val="131413"/>
                <w:sz w:val="24"/>
                <w:szCs w:val="24"/>
              </w:rPr>
              <w:t>±0.001</w:t>
            </w:r>
          </w:p>
        </w:tc>
        <w:tc>
          <w:tcPr>
            <w:tcW w:w="146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4.35</w:t>
            </w:r>
            <w:r w:rsidRPr="006B343B">
              <w:rPr>
                <w:rFonts w:ascii="Times New Roman" w:eastAsia="Calibri" w:hAnsi="Times New Roman" w:cs="Times New Roman"/>
                <w:color w:val="131413"/>
                <w:sz w:val="24"/>
                <w:szCs w:val="24"/>
              </w:rPr>
              <w:t>±0.002</w:t>
            </w:r>
          </w:p>
        </w:tc>
        <w:tc>
          <w:tcPr>
            <w:tcW w:w="155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4.64</w:t>
            </w:r>
            <w:r w:rsidRPr="006B343B">
              <w:rPr>
                <w:rFonts w:ascii="Times New Roman" w:eastAsia="Calibri" w:hAnsi="Times New Roman" w:cs="Times New Roman"/>
                <w:color w:val="131413"/>
                <w:sz w:val="24"/>
                <w:szCs w:val="24"/>
              </w:rPr>
              <w:t>±0.001</w:t>
            </w:r>
          </w:p>
        </w:tc>
      </w:tr>
      <w:tr w:rsidR="006B343B" w:rsidRPr="006B343B" w:rsidTr="00A02D70">
        <w:trPr>
          <w:trHeight w:val="267"/>
        </w:trPr>
        <w:tc>
          <w:tcPr>
            <w:tcW w:w="252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Platelet count (</w:t>
            </w:r>
            <w:r w:rsidR="004B3E5D" w:rsidRPr="002311CE">
              <w:rPr>
                <w:rFonts w:ascii="Times New Roman" w:eastAsia="Calibri" w:hAnsi="Times New Roman" w:cs="Times New Roman"/>
                <w:position w:val="-6"/>
                <w:sz w:val="24"/>
                <w:szCs w:val="24"/>
              </w:rPr>
              <w:pict>
                <v:shape id="_x0000_i1026" type="#_x0000_t75" style="width:7.7pt;height:14.4pt" equationxml="&lt;">
                  <v:imagedata r:id="rId10" o:title="" chromakey="white"/>
                </v:shape>
              </w:pict>
            </w:r>
            <w:r w:rsidRPr="006B343B">
              <w:rPr>
                <w:rFonts w:ascii="Times New Roman" w:eastAsia="Calibri" w:hAnsi="Times New Roman" w:cs="Times New Roman"/>
                <w:sz w:val="24"/>
                <w:szCs w:val="24"/>
              </w:rPr>
              <w:t>10</w:t>
            </w:r>
            <w:r w:rsidRPr="006B343B">
              <w:rPr>
                <w:rFonts w:ascii="Times New Roman" w:eastAsia="Calibri" w:hAnsi="Times New Roman" w:cs="Times New Roman"/>
                <w:sz w:val="24"/>
                <w:szCs w:val="24"/>
                <w:vertAlign w:val="superscript"/>
              </w:rPr>
              <w:t>5</w:t>
            </w:r>
            <w:r w:rsidRPr="006B343B">
              <w:rPr>
                <w:rFonts w:ascii="Times New Roman" w:eastAsia="Calibri" w:hAnsi="Times New Roman" w:cs="Times New Roman"/>
                <w:sz w:val="24"/>
                <w:szCs w:val="24"/>
              </w:rPr>
              <w:t>/ µ)</w:t>
            </w:r>
          </w:p>
        </w:tc>
        <w:tc>
          <w:tcPr>
            <w:tcW w:w="142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2.85</w:t>
            </w:r>
            <w:r w:rsidRPr="006B343B">
              <w:rPr>
                <w:rFonts w:ascii="Times New Roman" w:eastAsia="Calibri" w:hAnsi="Times New Roman" w:cs="Times New Roman"/>
                <w:color w:val="131413"/>
                <w:sz w:val="24"/>
                <w:szCs w:val="24"/>
              </w:rPr>
              <w:t>±0.001</w:t>
            </w:r>
          </w:p>
        </w:tc>
        <w:tc>
          <w:tcPr>
            <w:tcW w:w="1435"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4.27</w:t>
            </w:r>
            <w:r w:rsidRPr="006B343B">
              <w:rPr>
                <w:rFonts w:ascii="Times New Roman" w:eastAsia="Calibri" w:hAnsi="Times New Roman" w:cs="Times New Roman"/>
                <w:color w:val="131413"/>
                <w:sz w:val="24"/>
                <w:szCs w:val="24"/>
              </w:rPr>
              <w:t>±0.03</w:t>
            </w:r>
            <w:r w:rsidRPr="006B343B">
              <w:rPr>
                <w:rFonts w:ascii="Times New Roman" w:eastAsia="Calibri" w:hAnsi="Times New Roman" w:cs="Times New Roman"/>
                <w:color w:val="131413"/>
                <w:sz w:val="24"/>
                <w:szCs w:val="24"/>
                <w:vertAlign w:val="superscript"/>
              </w:rPr>
              <w:t>*</w:t>
            </w:r>
          </w:p>
        </w:tc>
        <w:tc>
          <w:tcPr>
            <w:tcW w:w="146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2.67</w:t>
            </w:r>
            <w:r w:rsidRPr="006B343B">
              <w:rPr>
                <w:rFonts w:ascii="Times New Roman" w:eastAsia="Calibri" w:hAnsi="Times New Roman" w:cs="Times New Roman"/>
                <w:color w:val="131413"/>
                <w:sz w:val="24"/>
                <w:szCs w:val="24"/>
              </w:rPr>
              <w:t>±0.004</w:t>
            </w:r>
          </w:p>
        </w:tc>
        <w:tc>
          <w:tcPr>
            <w:tcW w:w="146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2.70</w:t>
            </w:r>
            <w:r w:rsidRPr="006B343B">
              <w:rPr>
                <w:rFonts w:ascii="Times New Roman" w:eastAsia="Calibri" w:hAnsi="Times New Roman" w:cs="Times New Roman"/>
                <w:color w:val="131413"/>
                <w:sz w:val="24"/>
                <w:szCs w:val="24"/>
              </w:rPr>
              <w:t>±0.001</w:t>
            </w:r>
          </w:p>
        </w:tc>
        <w:tc>
          <w:tcPr>
            <w:tcW w:w="155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2.87</w:t>
            </w:r>
            <w:r w:rsidRPr="006B343B">
              <w:rPr>
                <w:rFonts w:ascii="Times New Roman" w:eastAsia="Calibri" w:hAnsi="Times New Roman" w:cs="Times New Roman"/>
                <w:color w:val="131413"/>
                <w:sz w:val="24"/>
                <w:szCs w:val="24"/>
              </w:rPr>
              <w:t>±0.001</w:t>
            </w:r>
          </w:p>
        </w:tc>
      </w:tr>
      <w:tr w:rsidR="006B343B" w:rsidRPr="006B343B" w:rsidTr="00A02D70">
        <w:trPr>
          <w:trHeight w:val="243"/>
        </w:trPr>
        <w:tc>
          <w:tcPr>
            <w:tcW w:w="252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WBC (</w:t>
            </w:r>
            <w:r w:rsidR="004B3E5D" w:rsidRPr="002311CE">
              <w:rPr>
                <w:rFonts w:ascii="Times New Roman" w:eastAsia="Calibri" w:hAnsi="Times New Roman" w:cs="Times New Roman"/>
                <w:position w:val="-6"/>
                <w:sz w:val="24"/>
                <w:szCs w:val="24"/>
              </w:rPr>
              <w:pict>
                <v:shape id="_x0000_i1027" type="#_x0000_t75" style="width:7.7pt;height:14.4pt" equationxml="&lt;">
                  <v:imagedata r:id="rId10" o:title="" chromakey="white"/>
                </v:shape>
              </w:pict>
            </w:r>
            <w:r w:rsidRPr="006B343B">
              <w:rPr>
                <w:rFonts w:ascii="Times New Roman" w:eastAsia="Calibri" w:hAnsi="Times New Roman" w:cs="Times New Roman"/>
                <w:sz w:val="24"/>
                <w:szCs w:val="24"/>
              </w:rPr>
              <w:t>10</w:t>
            </w:r>
            <w:r w:rsidRPr="006B343B">
              <w:rPr>
                <w:rFonts w:ascii="Times New Roman" w:eastAsia="Calibri" w:hAnsi="Times New Roman" w:cs="Times New Roman"/>
                <w:sz w:val="24"/>
                <w:szCs w:val="24"/>
                <w:vertAlign w:val="superscript"/>
              </w:rPr>
              <w:t>3</w:t>
            </w:r>
            <w:r w:rsidRPr="006B343B">
              <w:rPr>
                <w:rFonts w:ascii="Times New Roman" w:eastAsia="Calibri" w:hAnsi="Times New Roman" w:cs="Times New Roman"/>
                <w:sz w:val="24"/>
                <w:szCs w:val="24"/>
              </w:rPr>
              <w:t>/ µ)</w:t>
            </w:r>
          </w:p>
        </w:tc>
        <w:tc>
          <w:tcPr>
            <w:tcW w:w="142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8.87</w:t>
            </w:r>
            <w:r w:rsidRPr="006B343B">
              <w:rPr>
                <w:rFonts w:ascii="Times New Roman" w:eastAsia="Calibri" w:hAnsi="Times New Roman" w:cs="Times New Roman"/>
                <w:color w:val="131413"/>
                <w:sz w:val="24"/>
                <w:szCs w:val="24"/>
              </w:rPr>
              <w:t>±0.02</w:t>
            </w:r>
          </w:p>
        </w:tc>
        <w:tc>
          <w:tcPr>
            <w:tcW w:w="1435"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vertAlign w:val="superscript"/>
              </w:rPr>
            </w:pPr>
            <w:r w:rsidRPr="006B343B">
              <w:rPr>
                <w:rFonts w:ascii="Times New Roman" w:eastAsia="Calibri" w:hAnsi="Times New Roman" w:cs="Times New Roman"/>
                <w:sz w:val="24"/>
                <w:szCs w:val="24"/>
              </w:rPr>
              <w:t>13.20</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w:t>
            </w:r>
          </w:p>
        </w:tc>
        <w:tc>
          <w:tcPr>
            <w:tcW w:w="146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vertAlign w:val="superscript"/>
              </w:rPr>
            </w:pPr>
            <w:r w:rsidRPr="006B343B">
              <w:rPr>
                <w:rFonts w:ascii="Times New Roman" w:eastAsia="Calibri" w:hAnsi="Times New Roman" w:cs="Times New Roman"/>
                <w:sz w:val="24"/>
                <w:szCs w:val="24"/>
              </w:rPr>
              <w:t>12.83</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w:t>
            </w:r>
          </w:p>
        </w:tc>
        <w:tc>
          <w:tcPr>
            <w:tcW w:w="146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3.54</w:t>
            </w:r>
            <w:r w:rsidRPr="006B343B">
              <w:rPr>
                <w:rFonts w:ascii="Times New Roman" w:eastAsia="Calibri" w:hAnsi="Times New Roman" w:cs="Times New Roman"/>
                <w:color w:val="131413"/>
                <w:sz w:val="24"/>
                <w:szCs w:val="24"/>
              </w:rPr>
              <w:t>±0.01</w:t>
            </w:r>
            <w:r w:rsidRPr="006B343B">
              <w:rPr>
                <w:rFonts w:ascii="Times New Roman" w:eastAsia="Calibri" w:hAnsi="Times New Roman" w:cs="Times New Roman"/>
                <w:color w:val="131413"/>
                <w:sz w:val="24"/>
                <w:szCs w:val="24"/>
                <w:vertAlign w:val="superscript"/>
              </w:rPr>
              <w:t>*#$</w:t>
            </w:r>
          </w:p>
        </w:tc>
        <w:tc>
          <w:tcPr>
            <w:tcW w:w="155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vertAlign w:val="superscript"/>
              </w:rPr>
            </w:pPr>
            <w:r w:rsidRPr="006B343B">
              <w:rPr>
                <w:rFonts w:ascii="Times New Roman" w:eastAsia="Calibri" w:hAnsi="Times New Roman" w:cs="Times New Roman"/>
                <w:sz w:val="24"/>
                <w:szCs w:val="24"/>
              </w:rPr>
              <w:t>6.53</w:t>
            </w:r>
            <w:r w:rsidRPr="006B343B">
              <w:rPr>
                <w:rFonts w:ascii="Times New Roman" w:eastAsia="Calibri" w:hAnsi="Times New Roman" w:cs="Times New Roman"/>
                <w:color w:val="131413"/>
                <w:sz w:val="24"/>
                <w:szCs w:val="24"/>
              </w:rPr>
              <w:t>±0.04</w:t>
            </w:r>
            <w:r w:rsidRPr="006B343B">
              <w:rPr>
                <w:rFonts w:ascii="Times New Roman" w:eastAsia="Calibri" w:hAnsi="Times New Roman" w:cs="Times New Roman"/>
                <w:color w:val="131413"/>
                <w:sz w:val="24"/>
                <w:szCs w:val="24"/>
                <w:vertAlign w:val="superscript"/>
              </w:rPr>
              <w:t>*#$α</w:t>
            </w:r>
          </w:p>
        </w:tc>
      </w:tr>
      <w:tr w:rsidR="006B343B" w:rsidRPr="006B343B" w:rsidTr="00A02D70">
        <w:trPr>
          <w:trHeight w:val="243"/>
        </w:trPr>
        <w:tc>
          <w:tcPr>
            <w:tcW w:w="252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MCV (fL)</w:t>
            </w:r>
          </w:p>
        </w:tc>
        <w:tc>
          <w:tcPr>
            <w:tcW w:w="142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89.76</w:t>
            </w:r>
            <w:r w:rsidRPr="006B343B">
              <w:rPr>
                <w:rFonts w:ascii="Times New Roman" w:eastAsia="Calibri" w:hAnsi="Times New Roman" w:cs="Times New Roman"/>
                <w:color w:val="131413"/>
                <w:sz w:val="24"/>
                <w:szCs w:val="24"/>
              </w:rPr>
              <w:t>±0.01</w:t>
            </w:r>
          </w:p>
        </w:tc>
        <w:tc>
          <w:tcPr>
            <w:tcW w:w="1435"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vertAlign w:val="superscript"/>
              </w:rPr>
            </w:pPr>
            <w:r w:rsidRPr="006B343B">
              <w:rPr>
                <w:rFonts w:ascii="Times New Roman" w:eastAsia="Calibri" w:hAnsi="Times New Roman" w:cs="Times New Roman"/>
                <w:sz w:val="24"/>
                <w:szCs w:val="24"/>
              </w:rPr>
              <w:t>92.24</w:t>
            </w:r>
            <w:r w:rsidRPr="006B343B">
              <w:rPr>
                <w:rFonts w:ascii="Times New Roman" w:eastAsia="Calibri" w:hAnsi="Times New Roman" w:cs="Times New Roman"/>
                <w:color w:val="131413"/>
                <w:sz w:val="24"/>
                <w:szCs w:val="24"/>
              </w:rPr>
              <w:t>±0.01</w:t>
            </w:r>
            <w:r w:rsidRPr="006B343B">
              <w:rPr>
                <w:rFonts w:ascii="Times New Roman" w:eastAsia="Calibri" w:hAnsi="Times New Roman" w:cs="Times New Roman"/>
                <w:color w:val="131413"/>
                <w:sz w:val="24"/>
                <w:szCs w:val="24"/>
                <w:vertAlign w:val="superscript"/>
              </w:rPr>
              <w:t>*</w:t>
            </w:r>
          </w:p>
        </w:tc>
        <w:tc>
          <w:tcPr>
            <w:tcW w:w="146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87.40</w:t>
            </w:r>
            <w:r w:rsidRPr="006B343B">
              <w:rPr>
                <w:rFonts w:ascii="Times New Roman" w:eastAsia="Calibri" w:hAnsi="Times New Roman" w:cs="Times New Roman"/>
                <w:color w:val="131413"/>
                <w:sz w:val="24"/>
                <w:szCs w:val="24"/>
              </w:rPr>
              <w:t>±0.03</w:t>
            </w:r>
          </w:p>
        </w:tc>
        <w:tc>
          <w:tcPr>
            <w:tcW w:w="146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88.95</w:t>
            </w:r>
            <w:r w:rsidRPr="006B343B">
              <w:rPr>
                <w:rFonts w:ascii="Times New Roman" w:eastAsia="Calibri" w:hAnsi="Times New Roman" w:cs="Times New Roman"/>
                <w:color w:val="131413"/>
                <w:sz w:val="24"/>
                <w:szCs w:val="24"/>
              </w:rPr>
              <w:t>±0.01</w:t>
            </w:r>
          </w:p>
        </w:tc>
        <w:tc>
          <w:tcPr>
            <w:tcW w:w="155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88.76</w:t>
            </w:r>
            <w:r w:rsidRPr="006B343B">
              <w:rPr>
                <w:rFonts w:ascii="Times New Roman" w:eastAsia="Calibri" w:hAnsi="Times New Roman" w:cs="Times New Roman"/>
                <w:color w:val="131413"/>
                <w:sz w:val="24"/>
                <w:szCs w:val="24"/>
              </w:rPr>
              <w:t>±0.01</w:t>
            </w:r>
          </w:p>
        </w:tc>
      </w:tr>
      <w:tr w:rsidR="006B343B" w:rsidRPr="006B343B" w:rsidTr="00A02D70">
        <w:trPr>
          <w:trHeight w:val="259"/>
        </w:trPr>
        <w:tc>
          <w:tcPr>
            <w:tcW w:w="252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MCH (pg)</w:t>
            </w:r>
          </w:p>
        </w:tc>
        <w:tc>
          <w:tcPr>
            <w:tcW w:w="142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28.45</w:t>
            </w:r>
            <w:r w:rsidRPr="006B343B">
              <w:rPr>
                <w:rFonts w:ascii="Times New Roman" w:eastAsia="Calibri" w:hAnsi="Times New Roman" w:cs="Times New Roman"/>
                <w:color w:val="131413"/>
                <w:sz w:val="24"/>
                <w:szCs w:val="24"/>
              </w:rPr>
              <w:t>±0.01</w:t>
            </w:r>
          </w:p>
        </w:tc>
        <w:tc>
          <w:tcPr>
            <w:tcW w:w="1435"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29.96</w:t>
            </w:r>
            <w:r w:rsidRPr="006B343B">
              <w:rPr>
                <w:rFonts w:ascii="Times New Roman" w:eastAsia="Calibri" w:hAnsi="Times New Roman" w:cs="Times New Roman"/>
                <w:color w:val="131413"/>
                <w:sz w:val="24"/>
                <w:szCs w:val="24"/>
              </w:rPr>
              <w:t>±0.09</w:t>
            </w:r>
          </w:p>
        </w:tc>
        <w:tc>
          <w:tcPr>
            <w:tcW w:w="146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26.13</w:t>
            </w:r>
            <w:r w:rsidRPr="006B343B">
              <w:rPr>
                <w:rFonts w:ascii="Times New Roman" w:eastAsia="Calibri" w:hAnsi="Times New Roman" w:cs="Times New Roman"/>
                <w:color w:val="131413"/>
                <w:sz w:val="24"/>
                <w:szCs w:val="24"/>
              </w:rPr>
              <w:t>±0.01</w:t>
            </w:r>
            <w:r w:rsidRPr="006B343B">
              <w:rPr>
                <w:rFonts w:ascii="Times New Roman" w:eastAsia="Calibri" w:hAnsi="Times New Roman" w:cs="Times New Roman"/>
                <w:color w:val="131413"/>
                <w:sz w:val="24"/>
                <w:szCs w:val="24"/>
                <w:vertAlign w:val="superscript"/>
              </w:rPr>
              <w:t>*#</w:t>
            </w:r>
          </w:p>
        </w:tc>
        <w:tc>
          <w:tcPr>
            <w:tcW w:w="146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29.18</w:t>
            </w:r>
            <w:r w:rsidRPr="006B343B">
              <w:rPr>
                <w:rFonts w:ascii="Times New Roman" w:eastAsia="Calibri" w:hAnsi="Times New Roman" w:cs="Times New Roman"/>
                <w:color w:val="131413"/>
                <w:sz w:val="24"/>
                <w:szCs w:val="24"/>
              </w:rPr>
              <w:t>±0.03</w:t>
            </w:r>
          </w:p>
        </w:tc>
        <w:tc>
          <w:tcPr>
            <w:tcW w:w="155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28.12</w:t>
            </w:r>
            <w:r w:rsidRPr="006B343B">
              <w:rPr>
                <w:rFonts w:ascii="Times New Roman" w:eastAsia="Calibri" w:hAnsi="Times New Roman" w:cs="Times New Roman"/>
                <w:color w:val="131413"/>
                <w:sz w:val="24"/>
                <w:szCs w:val="24"/>
              </w:rPr>
              <w:t>±0.01</w:t>
            </w:r>
          </w:p>
        </w:tc>
      </w:tr>
      <w:tr w:rsidR="006B343B" w:rsidRPr="006B343B" w:rsidTr="00A02D70">
        <w:trPr>
          <w:trHeight w:val="243"/>
        </w:trPr>
        <w:tc>
          <w:tcPr>
            <w:tcW w:w="252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MCHC (%)</w:t>
            </w:r>
          </w:p>
        </w:tc>
        <w:tc>
          <w:tcPr>
            <w:tcW w:w="142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33.20</w:t>
            </w:r>
            <w:r w:rsidRPr="006B343B">
              <w:rPr>
                <w:rFonts w:ascii="Times New Roman" w:eastAsia="Calibri" w:hAnsi="Times New Roman" w:cs="Times New Roman"/>
                <w:color w:val="131413"/>
                <w:sz w:val="24"/>
                <w:szCs w:val="24"/>
              </w:rPr>
              <w:t>±0.02</w:t>
            </w:r>
          </w:p>
        </w:tc>
        <w:tc>
          <w:tcPr>
            <w:tcW w:w="1435"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31.75</w:t>
            </w:r>
            <w:r w:rsidRPr="006B343B">
              <w:rPr>
                <w:rFonts w:ascii="Times New Roman" w:eastAsia="Calibri" w:hAnsi="Times New Roman" w:cs="Times New Roman"/>
                <w:color w:val="131413"/>
                <w:sz w:val="24"/>
                <w:szCs w:val="24"/>
              </w:rPr>
              <w:t>±0.06</w:t>
            </w:r>
          </w:p>
        </w:tc>
        <w:tc>
          <w:tcPr>
            <w:tcW w:w="146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31.85</w:t>
            </w:r>
            <w:r w:rsidRPr="006B343B">
              <w:rPr>
                <w:rFonts w:ascii="Times New Roman" w:eastAsia="Calibri" w:hAnsi="Times New Roman" w:cs="Times New Roman"/>
                <w:color w:val="131413"/>
                <w:sz w:val="24"/>
                <w:szCs w:val="24"/>
              </w:rPr>
              <w:t>±0.01</w:t>
            </w:r>
          </w:p>
        </w:tc>
        <w:tc>
          <w:tcPr>
            <w:tcW w:w="146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30.26</w:t>
            </w:r>
            <w:r w:rsidRPr="006B343B">
              <w:rPr>
                <w:rFonts w:ascii="Times New Roman" w:eastAsia="Calibri" w:hAnsi="Times New Roman" w:cs="Times New Roman"/>
                <w:color w:val="131413"/>
                <w:sz w:val="24"/>
                <w:szCs w:val="24"/>
              </w:rPr>
              <w:t>±0.01</w:t>
            </w:r>
          </w:p>
        </w:tc>
        <w:tc>
          <w:tcPr>
            <w:tcW w:w="155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31.58</w:t>
            </w:r>
            <w:r w:rsidRPr="006B343B">
              <w:rPr>
                <w:rFonts w:ascii="Times New Roman" w:eastAsia="Calibri" w:hAnsi="Times New Roman" w:cs="Times New Roman"/>
                <w:color w:val="131413"/>
                <w:sz w:val="24"/>
                <w:szCs w:val="24"/>
              </w:rPr>
              <w:t>±0.02</w:t>
            </w:r>
          </w:p>
        </w:tc>
      </w:tr>
      <w:tr w:rsidR="006B343B" w:rsidRPr="006B343B" w:rsidTr="00A02D70">
        <w:trPr>
          <w:trHeight w:val="243"/>
        </w:trPr>
        <w:tc>
          <w:tcPr>
            <w:tcW w:w="252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Neutrophil (%)</w:t>
            </w:r>
          </w:p>
        </w:tc>
        <w:tc>
          <w:tcPr>
            <w:tcW w:w="142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27.77</w:t>
            </w:r>
            <w:r w:rsidRPr="006B343B">
              <w:rPr>
                <w:rFonts w:ascii="Times New Roman" w:eastAsia="Calibri" w:hAnsi="Times New Roman" w:cs="Times New Roman"/>
                <w:color w:val="131413"/>
                <w:sz w:val="24"/>
                <w:szCs w:val="24"/>
              </w:rPr>
              <w:t>±0.10</w:t>
            </w:r>
          </w:p>
        </w:tc>
        <w:tc>
          <w:tcPr>
            <w:tcW w:w="1435"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30.05</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w:t>
            </w:r>
          </w:p>
        </w:tc>
        <w:tc>
          <w:tcPr>
            <w:tcW w:w="146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25.27</w:t>
            </w:r>
            <w:r w:rsidRPr="006B343B">
              <w:rPr>
                <w:rFonts w:ascii="Times New Roman" w:eastAsia="Calibri" w:hAnsi="Times New Roman" w:cs="Times New Roman"/>
                <w:color w:val="131413"/>
                <w:sz w:val="24"/>
                <w:szCs w:val="24"/>
              </w:rPr>
              <w:t>±0.12</w:t>
            </w:r>
            <w:r w:rsidRPr="006B343B">
              <w:rPr>
                <w:rFonts w:ascii="Times New Roman" w:eastAsia="Calibri" w:hAnsi="Times New Roman" w:cs="Times New Roman"/>
                <w:color w:val="131413"/>
                <w:sz w:val="24"/>
                <w:szCs w:val="24"/>
                <w:vertAlign w:val="superscript"/>
              </w:rPr>
              <w:t>*#</w:t>
            </w:r>
          </w:p>
        </w:tc>
        <w:tc>
          <w:tcPr>
            <w:tcW w:w="146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27.32</w:t>
            </w:r>
            <w:r w:rsidRPr="006B343B">
              <w:rPr>
                <w:rFonts w:ascii="Times New Roman" w:eastAsia="Calibri" w:hAnsi="Times New Roman" w:cs="Times New Roman"/>
                <w:color w:val="131413"/>
                <w:sz w:val="24"/>
                <w:szCs w:val="24"/>
              </w:rPr>
              <w:t>±0.15</w:t>
            </w:r>
            <w:r w:rsidRPr="006B343B">
              <w:rPr>
                <w:rFonts w:ascii="Times New Roman" w:eastAsia="Calibri" w:hAnsi="Times New Roman" w:cs="Times New Roman"/>
                <w:color w:val="131413"/>
                <w:sz w:val="24"/>
                <w:szCs w:val="24"/>
                <w:vertAlign w:val="superscript"/>
              </w:rPr>
              <w:t>#$</w:t>
            </w:r>
          </w:p>
        </w:tc>
        <w:tc>
          <w:tcPr>
            <w:tcW w:w="155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25.18</w:t>
            </w:r>
            <w:r w:rsidRPr="006B343B">
              <w:rPr>
                <w:rFonts w:ascii="Times New Roman" w:eastAsia="Calibri" w:hAnsi="Times New Roman" w:cs="Times New Roman"/>
                <w:color w:val="131413"/>
                <w:sz w:val="24"/>
                <w:szCs w:val="24"/>
              </w:rPr>
              <w:t>±0.03</w:t>
            </w:r>
            <w:r w:rsidRPr="006B343B">
              <w:rPr>
                <w:rFonts w:ascii="Times New Roman" w:eastAsia="Calibri" w:hAnsi="Times New Roman" w:cs="Times New Roman"/>
                <w:color w:val="131413"/>
                <w:sz w:val="24"/>
                <w:szCs w:val="24"/>
                <w:vertAlign w:val="superscript"/>
              </w:rPr>
              <w:t>*#α</w:t>
            </w:r>
          </w:p>
        </w:tc>
      </w:tr>
      <w:tr w:rsidR="006B343B" w:rsidRPr="006B343B" w:rsidTr="00A02D70">
        <w:trPr>
          <w:trHeight w:val="243"/>
        </w:trPr>
        <w:tc>
          <w:tcPr>
            <w:tcW w:w="252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Eosinophil (%)</w:t>
            </w:r>
          </w:p>
        </w:tc>
        <w:tc>
          <w:tcPr>
            <w:tcW w:w="142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2.1</w:t>
            </w:r>
            <w:r w:rsidRPr="006B343B">
              <w:rPr>
                <w:rFonts w:ascii="Times New Roman" w:eastAsia="Calibri" w:hAnsi="Times New Roman" w:cs="Times New Roman"/>
                <w:color w:val="131413"/>
                <w:sz w:val="24"/>
                <w:szCs w:val="24"/>
              </w:rPr>
              <w:t>±0.03</w:t>
            </w:r>
          </w:p>
        </w:tc>
        <w:tc>
          <w:tcPr>
            <w:tcW w:w="1435"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6.07</w:t>
            </w:r>
            <w:r w:rsidRPr="006B343B">
              <w:rPr>
                <w:rFonts w:ascii="Times New Roman" w:eastAsia="Calibri" w:hAnsi="Times New Roman" w:cs="Times New Roman"/>
                <w:color w:val="131413"/>
                <w:sz w:val="24"/>
                <w:szCs w:val="24"/>
              </w:rPr>
              <w:t>±0.03</w:t>
            </w:r>
            <w:r w:rsidRPr="006B343B">
              <w:rPr>
                <w:rFonts w:ascii="Times New Roman" w:eastAsia="Calibri" w:hAnsi="Times New Roman" w:cs="Times New Roman"/>
                <w:color w:val="131413"/>
                <w:sz w:val="24"/>
                <w:szCs w:val="24"/>
                <w:vertAlign w:val="superscript"/>
              </w:rPr>
              <w:t>*</w:t>
            </w:r>
          </w:p>
        </w:tc>
        <w:tc>
          <w:tcPr>
            <w:tcW w:w="146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6.09</w:t>
            </w:r>
            <w:r w:rsidRPr="006B343B">
              <w:rPr>
                <w:rFonts w:ascii="Times New Roman" w:eastAsia="Calibri" w:hAnsi="Times New Roman" w:cs="Times New Roman"/>
                <w:color w:val="131413"/>
                <w:sz w:val="24"/>
                <w:szCs w:val="24"/>
              </w:rPr>
              <w:t>±0.03</w:t>
            </w:r>
            <w:r w:rsidRPr="006B343B">
              <w:rPr>
                <w:rFonts w:ascii="Times New Roman" w:eastAsia="Calibri" w:hAnsi="Times New Roman" w:cs="Times New Roman"/>
                <w:color w:val="131413"/>
                <w:sz w:val="24"/>
                <w:szCs w:val="24"/>
                <w:vertAlign w:val="superscript"/>
              </w:rPr>
              <w:t>*</w:t>
            </w:r>
          </w:p>
        </w:tc>
        <w:tc>
          <w:tcPr>
            <w:tcW w:w="146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5.23</w:t>
            </w:r>
            <w:r w:rsidRPr="006B343B">
              <w:rPr>
                <w:rFonts w:ascii="Times New Roman" w:eastAsia="Calibri" w:hAnsi="Times New Roman" w:cs="Times New Roman"/>
                <w:color w:val="131413"/>
                <w:sz w:val="24"/>
                <w:szCs w:val="24"/>
              </w:rPr>
              <w:t>±0.08</w:t>
            </w:r>
            <w:r w:rsidRPr="006B343B">
              <w:rPr>
                <w:rFonts w:ascii="Times New Roman" w:eastAsia="Calibri" w:hAnsi="Times New Roman" w:cs="Times New Roman"/>
                <w:color w:val="131413"/>
                <w:sz w:val="24"/>
                <w:szCs w:val="24"/>
                <w:vertAlign w:val="superscript"/>
              </w:rPr>
              <w:t>*#$</w:t>
            </w:r>
          </w:p>
        </w:tc>
        <w:tc>
          <w:tcPr>
            <w:tcW w:w="155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1.05</w:t>
            </w:r>
            <w:r w:rsidRPr="006B343B">
              <w:rPr>
                <w:rFonts w:ascii="Times New Roman" w:eastAsia="Calibri" w:hAnsi="Times New Roman" w:cs="Times New Roman"/>
                <w:color w:val="131413"/>
                <w:sz w:val="24"/>
                <w:szCs w:val="24"/>
              </w:rPr>
              <w:t>±0.01</w:t>
            </w:r>
            <w:r w:rsidRPr="006B343B">
              <w:rPr>
                <w:rFonts w:ascii="Times New Roman" w:eastAsia="Calibri" w:hAnsi="Times New Roman" w:cs="Times New Roman"/>
                <w:color w:val="131413"/>
                <w:sz w:val="24"/>
                <w:szCs w:val="24"/>
                <w:vertAlign w:val="superscript"/>
              </w:rPr>
              <w:t>*#$α</w:t>
            </w:r>
          </w:p>
        </w:tc>
      </w:tr>
      <w:tr w:rsidR="006B343B" w:rsidRPr="006B343B" w:rsidTr="00A02D70">
        <w:trPr>
          <w:trHeight w:val="259"/>
        </w:trPr>
        <w:tc>
          <w:tcPr>
            <w:tcW w:w="252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Monocytes (%)</w:t>
            </w:r>
          </w:p>
        </w:tc>
        <w:tc>
          <w:tcPr>
            <w:tcW w:w="142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1.20</w:t>
            </w:r>
            <w:r w:rsidRPr="006B343B">
              <w:rPr>
                <w:rFonts w:ascii="Times New Roman" w:eastAsia="Calibri" w:hAnsi="Times New Roman" w:cs="Times New Roman"/>
                <w:color w:val="131413"/>
                <w:sz w:val="24"/>
                <w:szCs w:val="24"/>
              </w:rPr>
              <w:t>±0.08</w:t>
            </w:r>
          </w:p>
        </w:tc>
        <w:tc>
          <w:tcPr>
            <w:tcW w:w="1435"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2.12</w:t>
            </w:r>
            <w:r w:rsidRPr="006B343B">
              <w:rPr>
                <w:rFonts w:ascii="Times New Roman" w:eastAsia="Calibri" w:hAnsi="Times New Roman" w:cs="Times New Roman"/>
                <w:color w:val="131413"/>
                <w:sz w:val="24"/>
                <w:szCs w:val="24"/>
              </w:rPr>
              <w:t>±0.06</w:t>
            </w:r>
          </w:p>
        </w:tc>
        <w:tc>
          <w:tcPr>
            <w:tcW w:w="146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1.23</w:t>
            </w:r>
            <w:r w:rsidRPr="006B343B">
              <w:rPr>
                <w:rFonts w:ascii="Times New Roman" w:eastAsia="Calibri" w:hAnsi="Times New Roman" w:cs="Times New Roman"/>
                <w:color w:val="131413"/>
                <w:sz w:val="24"/>
                <w:szCs w:val="24"/>
              </w:rPr>
              <w:t>±0.08</w:t>
            </w:r>
          </w:p>
        </w:tc>
        <w:tc>
          <w:tcPr>
            <w:tcW w:w="146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1.19</w:t>
            </w:r>
            <w:r w:rsidRPr="006B343B">
              <w:rPr>
                <w:rFonts w:ascii="Times New Roman" w:eastAsia="Calibri" w:hAnsi="Times New Roman" w:cs="Times New Roman"/>
                <w:color w:val="131413"/>
                <w:sz w:val="24"/>
                <w:szCs w:val="24"/>
              </w:rPr>
              <w:t>±0.08</w:t>
            </w:r>
          </w:p>
        </w:tc>
        <w:tc>
          <w:tcPr>
            <w:tcW w:w="155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2.13</w:t>
            </w:r>
            <w:r w:rsidRPr="006B343B">
              <w:rPr>
                <w:rFonts w:ascii="Times New Roman" w:eastAsia="Calibri" w:hAnsi="Times New Roman" w:cs="Times New Roman"/>
                <w:color w:val="131413"/>
                <w:sz w:val="24"/>
                <w:szCs w:val="24"/>
              </w:rPr>
              <w:t>±0.06</w:t>
            </w:r>
          </w:p>
        </w:tc>
      </w:tr>
      <w:tr w:rsidR="006B343B" w:rsidRPr="006B343B" w:rsidTr="00A02D70">
        <w:trPr>
          <w:trHeight w:val="227"/>
        </w:trPr>
        <w:tc>
          <w:tcPr>
            <w:tcW w:w="2522"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Basophil (%)</w:t>
            </w:r>
          </w:p>
        </w:tc>
        <w:tc>
          <w:tcPr>
            <w:tcW w:w="1428"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0.0</w:t>
            </w:r>
            <w:r w:rsidRPr="006B343B">
              <w:rPr>
                <w:rFonts w:ascii="Times New Roman" w:eastAsia="Calibri" w:hAnsi="Times New Roman" w:cs="Times New Roman"/>
                <w:color w:val="131413"/>
                <w:sz w:val="24"/>
                <w:szCs w:val="24"/>
              </w:rPr>
              <w:t>±0.0</w:t>
            </w:r>
          </w:p>
        </w:tc>
        <w:tc>
          <w:tcPr>
            <w:tcW w:w="1435"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0.0</w:t>
            </w:r>
            <w:r w:rsidRPr="006B343B">
              <w:rPr>
                <w:rFonts w:ascii="Times New Roman" w:eastAsia="Calibri" w:hAnsi="Times New Roman" w:cs="Times New Roman"/>
                <w:color w:val="131413"/>
                <w:sz w:val="24"/>
                <w:szCs w:val="24"/>
              </w:rPr>
              <w:t>±0.0</w:t>
            </w:r>
          </w:p>
        </w:tc>
        <w:tc>
          <w:tcPr>
            <w:tcW w:w="1468"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0.0</w:t>
            </w:r>
            <w:r w:rsidRPr="006B343B">
              <w:rPr>
                <w:rFonts w:ascii="Times New Roman" w:eastAsia="Calibri" w:hAnsi="Times New Roman" w:cs="Times New Roman"/>
                <w:color w:val="131413"/>
                <w:sz w:val="24"/>
                <w:szCs w:val="24"/>
              </w:rPr>
              <w:t>±0.0</w:t>
            </w:r>
          </w:p>
        </w:tc>
        <w:tc>
          <w:tcPr>
            <w:tcW w:w="1468"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0.0</w:t>
            </w:r>
            <w:r w:rsidRPr="006B343B">
              <w:rPr>
                <w:rFonts w:ascii="Times New Roman" w:eastAsia="Calibri" w:hAnsi="Times New Roman" w:cs="Times New Roman"/>
                <w:color w:val="131413"/>
                <w:sz w:val="24"/>
                <w:szCs w:val="24"/>
              </w:rPr>
              <w:t>±0.0</w:t>
            </w:r>
          </w:p>
        </w:tc>
        <w:tc>
          <w:tcPr>
            <w:tcW w:w="1552"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0.0</w:t>
            </w:r>
            <w:r w:rsidRPr="006B343B">
              <w:rPr>
                <w:rFonts w:ascii="Times New Roman" w:eastAsia="Calibri" w:hAnsi="Times New Roman" w:cs="Times New Roman"/>
                <w:color w:val="131413"/>
                <w:sz w:val="24"/>
                <w:szCs w:val="24"/>
              </w:rPr>
              <w:t>±0.0</w:t>
            </w:r>
          </w:p>
        </w:tc>
      </w:tr>
    </w:tbl>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p>
    <w:p w:rsidR="006B343B" w:rsidRPr="006B343B" w:rsidRDefault="006B343B" w:rsidP="006B343B">
      <w:pPr>
        <w:spacing w:after="100" w:afterAutospacing="1"/>
        <w:jc w:val="both"/>
        <w:rPr>
          <w:rFonts w:ascii="Times New Roman" w:eastAsia="Calibri" w:hAnsi="Times New Roman" w:cs="Times New Roman"/>
          <w:b/>
          <w:sz w:val="24"/>
          <w:szCs w:val="24"/>
        </w:rPr>
      </w:pPr>
      <w:r w:rsidRPr="006B343B">
        <w:rPr>
          <w:rFonts w:ascii="Times New Roman" w:eastAsia="Calibri" w:hAnsi="Times New Roman" w:cs="Times New Roman"/>
          <w:sz w:val="24"/>
          <w:szCs w:val="24"/>
        </w:rPr>
        <w:t>Standard error of mean= standard deviation (SD)/√ Total subject. Result are analyzed by one-way ANOVA and confirmed by Tukey’s multiple comparison test.</w:t>
      </w:r>
    </w:p>
    <w:p w:rsidR="006B343B" w:rsidRPr="006B343B" w:rsidRDefault="006B343B" w:rsidP="006B343B">
      <w:pPr>
        <w:spacing w:after="100" w:afterAutospacing="1"/>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MCV: mean corpuscular volume; MCH: mean corpuscular haemoglobin; MCHC: mean corpuscular haemoglobin concentration; RBC: red blood cell; WBC: white blood cell.</w:t>
      </w:r>
    </w:p>
    <w:p w:rsidR="006B343B" w:rsidRPr="006B343B" w:rsidRDefault="006B343B" w:rsidP="006B343B">
      <w:pPr>
        <w:spacing w:after="100" w:afterAutospacing="1"/>
        <w:jc w:val="both"/>
        <w:rPr>
          <w:rFonts w:ascii="Times New Roman" w:eastAsia="Calibri" w:hAnsi="Times New Roman" w:cs="Times New Roman"/>
          <w:sz w:val="24"/>
          <w:szCs w:val="24"/>
        </w:rPr>
      </w:pPr>
      <w:r w:rsidRPr="006B343B">
        <w:rPr>
          <w:rFonts w:ascii="Times New Roman" w:eastAsia="Calibri" w:hAnsi="Times New Roman" w:cs="Times New Roman"/>
          <w:sz w:val="24"/>
          <w:szCs w:val="24"/>
          <w:vertAlign w:val="superscript"/>
        </w:rPr>
        <w:t>*</w:t>
      </w:r>
      <w:r w:rsidRPr="006B343B">
        <w:rPr>
          <w:rFonts w:ascii="Times New Roman" w:eastAsia="Calibri" w:hAnsi="Times New Roman" w:cs="Times New Roman"/>
          <w:sz w:val="24"/>
          <w:szCs w:val="24"/>
        </w:rPr>
        <w:t xml:space="preserve"> Significant difference at p&lt;0.05, when compared with control group.</w:t>
      </w:r>
    </w:p>
    <w:p w:rsidR="006B343B" w:rsidRPr="006B343B" w:rsidRDefault="006B343B" w:rsidP="006B343B">
      <w:pPr>
        <w:spacing w:after="100" w:afterAutospacing="1"/>
        <w:jc w:val="both"/>
        <w:rPr>
          <w:rFonts w:ascii="Times New Roman" w:eastAsia="Calibri" w:hAnsi="Times New Roman" w:cs="Times New Roman"/>
          <w:sz w:val="24"/>
          <w:szCs w:val="24"/>
        </w:rPr>
      </w:pPr>
      <w:r w:rsidRPr="006B343B">
        <w:rPr>
          <w:rFonts w:ascii="Times New Roman" w:eastAsia="Calibri" w:hAnsi="Times New Roman" w:cs="Times New Roman"/>
          <w:sz w:val="24"/>
          <w:szCs w:val="24"/>
          <w:vertAlign w:val="superscript"/>
        </w:rPr>
        <w:t xml:space="preserve"># </w:t>
      </w:r>
      <w:r w:rsidRPr="006B343B">
        <w:rPr>
          <w:rFonts w:ascii="Times New Roman" w:eastAsia="Calibri" w:hAnsi="Times New Roman" w:cs="Times New Roman"/>
          <w:sz w:val="24"/>
          <w:szCs w:val="24"/>
        </w:rPr>
        <w:t>Significant difference at p&lt;0.05, when compared with 400 mg/kg group.</w:t>
      </w:r>
    </w:p>
    <w:p w:rsidR="006B343B" w:rsidRPr="006B343B" w:rsidRDefault="006B343B" w:rsidP="006B343B">
      <w:pPr>
        <w:spacing w:after="100" w:afterAutospacing="1"/>
        <w:jc w:val="both"/>
        <w:rPr>
          <w:rFonts w:ascii="Times New Roman" w:eastAsia="Calibri" w:hAnsi="Times New Roman" w:cs="Times New Roman"/>
          <w:sz w:val="24"/>
          <w:szCs w:val="24"/>
        </w:rPr>
      </w:pPr>
      <w:r w:rsidRPr="006B343B">
        <w:rPr>
          <w:rFonts w:ascii="Times New Roman" w:eastAsia="Calibri" w:hAnsi="Times New Roman" w:cs="Times New Roman"/>
          <w:sz w:val="24"/>
          <w:szCs w:val="24"/>
          <w:vertAlign w:val="superscript"/>
        </w:rPr>
        <w:t>$</w:t>
      </w:r>
      <w:r w:rsidRPr="006B343B">
        <w:rPr>
          <w:rFonts w:ascii="Times New Roman" w:eastAsia="Calibri" w:hAnsi="Times New Roman" w:cs="Times New Roman"/>
          <w:sz w:val="24"/>
          <w:szCs w:val="24"/>
        </w:rPr>
        <w:t xml:space="preserve"> Significant difference at p&lt;0.05, when compared with 200 mg/kg group.</w:t>
      </w:r>
    </w:p>
    <w:p w:rsidR="006B343B" w:rsidRPr="006B343B" w:rsidRDefault="006B343B" w:rsidP="006B343B">
      <w:pPr>
        <w:spacing w:after="100" w:afterAutospacing="1"/>
        <w:jc w:val="both"/>
        <w:rPr>
          <w:rFonts w:ascii="Times New Roman" w:eastAsia="Calibri" w:hAnsi="Times New Roman" w:cs="Times New Roman"/>
          <w:b/>
          <w:sz w:val="24"/>
          <w:szCs w:val="24"/>
        </w:rPr>
      </w:pPr>
      <w:r w:rsidRPr="006B343B">
        <w:rPr>
          <w:rFonts w:ascii="Times New Roman" w:eastAsia="Calibri" w:hAnsi="Times New Roman" w:cs="Times New Roman"/>
          <w:sz w:val="24"/>
          <w:szCs w:val="24"/>
          <w:vertAlign w:val="superscript"/>
        </w:rPr>
        <w:t>α</w:t>
      </w:r>
      <w:r w:rsidRPr="006B343B">
        <w:rPr>
          <w:rFonts w:ascii="Times New Roman" w:eastAsia="Calibri" w:hAnsi="Times New Roman" w:cs="Times New Roman"/>
          <w:sz w:val="24"/>
          <w:szCs w:val="24"/>
        </w:rPr>
        <w:t xml:space="preserve"> Significant difference at p&lt;0.05, when compared with 100 mg/kg group.</w:t>
      </w:r>
    </w:p>
    <w:p w:rsidR="006B343B" w:rsidRPr="00BE2AC4" w:rsidRDefault="006B343B" w:rsidP="006B343B">
      <w:pPr>
        <w:spacing w:after="100" w:afterAutospacing="1" w:line="360" w:lineRule="auto"/>
        <w:jc w:val="center"/>
        <w:rPr>
          <w:rFonts w:ascii="Times New Roman" w:eastAsia="Calibri" w:hAnsi="Times New Roman" w:cs="Times New Roman"/>
          <w:sz w:val="24"/>
          <w:szCs w:val="24"/>
        </w:rPr>
      </w:pPr>
      <w:r w:rsidRPr="006B343B">
        <w:rPr>
          <w:rFonts w:ascii="Times New Roman" w:eastAsia="Calibri" w:hAnsi="Times New Roman" w:cs="Times New Roman"/>
          <w:b/>
          <w:sz w:val="24"/>
          <w:szCs w:val="24"/>
        </w:rPr>
        <w:lastRenderedPageBreak/>
        <w:t xml:space="preserve">Table </w:t>
      </w:r>
      <w:r>
        <w:rPr>
          <w:rFonts w:ascii="Times New Roman" w:eastAsia="Calibri" w:hAnsi="Times New Roman" w:cs="Times New Roman"/>
          <w:b/>
          <w:sz w:val="24"/>
          <w:szCs w:val="24"/>
        </w:rPr>
        <w:t>S2</w:t>
      </w:r>
      <w:r w:rsidRPr="006B343B">
        <w:rPr>
          <w:rFonts w:ascii="Times New Roman" w:eastAsia="Calibri" w:hAnsi="Times New Roman" w:cs="Times New Roman"/>
          <w:b/>
          <w:sz w:val="24"/>
          <w:szCs w:val="24"/>
        </w:rPr>
        <w:t xml:space="preserve"> </w:t>
      </w:r>
      <w:r w:rsidRPr="00BE2AC4">
        <w:rPr>
          <w:rFonts w:ascii="Times New Roman" w:eastAsia="Calibri" w:hAnsi="Times New Roman" w:cs="Times New Roman"/>
          <w:sz w:val="24"/>
          <w:szCs w:val="24"/>
        </w:rPr>
        <w:t>Hematological finding in female Swiss albino mice treated with taxifolin ruthenium-p-cymene complex for 28 days repeated-dose oral sub-acute toxicity study</w:t>
      </w:r>
    </w:p>
    <w:tbl>
      <w:tblPr>
        <w:tblW w:w="10530" w:type="dxa"/>
        <w:tblInd w:w="-702" w:type="dxa"/>
        <w:tblLayout w:type="fixed"/>
        <w:tblLook w:val="04A0"/>
      </w:tblPr>
      <w:tblGrid>
        <w:gridCol w:w="2790"/>
        <w:gridCol w:w="1530"/>
        <w:gridCol w:w="1440"/>
        <w:gridCol w:w="1530"/>
        <w:gridCol w:w="1530"/>
        <w:gridCol w:w="1710"/>
      </w:tblGrid>
      <w:tr w:rsidR="006B343B" w:rsidRPr="006B343B" w:rsidTr="00A02D70">
        <w:trPr>
          <w:trHeight w:val="1006"/>
        </w:trPr>
        <w:tc>
          <w:tcPr>
            <w:tcW w:w="2790"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Parameters (</w:t>
            </w:r>
            <w:r w:rsidRPr="006B343B">
              <w:rPr>
                <w:rFonts w:ascii="Times New Roman" w:eastAsia="Calibri" w:hAnsi="Times New Roman" w:cs="Times New Roman"/>
                <w:b/>
                <w:color w:val="131413"/>
                <w:sz w:val="24"/>
                <w:szCs w:val="24"/>
              </w:rPr>
              <w:t>± SEM)</w:t>
            </w:r>
          </w:p>
        </w:tc>
        <w:tc>
          <w:tcPr>
            <w:tcW w:w="1530"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Control</w:t>
            </w:r>
          </w:p>
        </w:tc>
        <w:tc>
          <w:tcPr>
            <w:tcW w:w="1440"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taxifolin ruthenium-p-cymene (400 mg/kg)</w:t>
            </w:r>
          </w:p>
        </w:tc>
        <w:tc>
          <w:tcPr>
            <w:tcW w:w="1530"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taxifolin ruthenium-p-cymene (200 mg/kg)</w:t>
            </w:r>
          </w:p>
        </w:tc>
        <w:tc>
          <w:tcPr>
            <w:tcW w:w="1530"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taxifolin ruthenium-p-cymene (100 mg/kg)</w:t>
            </w:r>
          </w:p>
        </w:tc>
        <w:tc>
          <w:tcPr>
            <w:tcW w:w="1710"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taxifolin ruthenium-p-cymene (50 mg/kg)</w:t>
            </w:r>
          </w:p>
        </w:tc>
      </w:tr>
      <w:tr w:rsidR="006B343B" w:rsidRPr="006B343B" w:rsidTr="00A02D70">
        <w:trPr>
          <w:trHeight w:val="243"/>
        </w:trPr>
        <w:tc>
          <w:tcPr>
            <w:tcW w:w="2790"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Haemoglobin (%)</w:t>
            </w:r>
          </w:p>
        </w:tc>
        <w:tc>
          <w:tcPr>
            <w:tcW w:w="1530"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12.25</w:t>
            </w:r>
            <w:r w:rsidRPr="006B343B">
              <w:rPr>
                <w:rFonts w:ascii="Times New Roman" w:eastAsia="Calibri" w:hAnsi="Times New Roman" w:cs="Times New Roman"/>
                <w:color w:val="131413"/>
                <w:sz w:val="24"/>
                <w:szCs w:val="24"/>
              </w:rPr>
              <w:t>±0.024</w:t>
            </w:r>
          </w:p>
        </w:tc>
        <w:tc>
          <w:tcPr>
            <w:tcW w:w="1440"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13.44</w:t>
            </w:r>
            <w:r w:rsidRPr="006B343B">
              <w:rPr>
                <w:rFonts w:ascii="Times New Roman" w:eastAsia="Calibri" w:hAnsi="Times New Roman" w:cs="Times New Roman"/>
                <w:color w:val="131413"/>
                <w:sz w:val="24"/>
                <w:szCs w:val="24"/>
              </w:rPr>
              <w:t>±0.13</w:t>
            </w:r>
          </w:p>
        </w:tc>
        <w:tc>
          <w:tcPr>
            <w:tcW w:w="1530"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12.66</w:t>
            </w:r>
            <w:r w:rsidRPr="006B343B">
              <w:rPr>
                <w:rFonts w:ascii="Times New Roman" w:eastAsia="Calibri" w:hAnsi="Times New Roman" w:cs="Times New Roman"/>
                <w:color w:val="131413"/>
                <w:sz w:val="24"/>
                <w:szCs w:val="24"/>
              </w:rPr>
              <w:t>±0.02</w:t>
            </w:r>
          </w:p>
        </w:tc>
        <w:tc>
          <w:tcPr>
            <w:tcW w:w="1530"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12.25</w:t>
            </w:r>
            <w:r w:rsidRPr="006B343B">
              <w:rPr>
                <w:rFonts w:ascii="Times New Roman" w:eastAsia="Calibri" w:hAnsi="Times New Roman" w:cs="Times New Roman"/>
                <w:color w:val="131413"/>
                <w:sz w:val="24"/>
                <w:szCs w:val="24"/>
              </w:rPr>
              <w:t>±0.024</w:t>
            </w:r>
          </w:p>
        </w:tc>
        <w:tc>
          <w:tcPr>
            <w:tcW w:w="1710"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13.12</w:t>
            </w:r>
            <w:r w:rsidRPr="006B343B">
              <w:rPr>
                <w:rFonts w:ascii="Times New Roman" w:eastAsia="Calibri" w:hAnsi="Times New Roman" w:cs="Times New Roman"/>
                <w:color w:val="131413"/>
                <w:sz w:val="24"/>
                <w:szCs w:val="24"/>
              </w:rPr>
              <w:t>±0.17</w:t>
            </w:r>
          </w:p>
        </w:tc>
      </w:tr>
      <w:tr w:rsidR="006B343B" w:rsidRPr="006B343B" w:rsidTr="00A02D70">
        <w:trPr>
          <w:trHeight w:val="278"/>
        </w:trPr>
        <w:tc>
          <w:tcPr>
            <w:tcW w:w="279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Total RBC (</w:t>
            </w:r>
            <w:r w:rsidR="004B3E5D" w:rsidRPr="002311CE">
              <w:rPr>
                <w:rFonts w:ascii="Times New Roman" w:eastAsia="Calibri" w:hAnsi="Times New Roman" w:cs="Times New Roman"/>
                <w:position w:val="-6"/>
                <w:sz w:val="24"/>
                <w:szCs w:val="24"/>
              </w:rPr>
              <w:pict>
                <v:shape id="_x0000_i1028" type="#_x0000_t75" style="width:7.7pt;height:14.4pt" equationxml="&lt;">
                  <v:imagedata r:id="rId10" o:title="" chromakey="white"/>
                </v:shape>
              </w:pict>
            </w:r>
            <w:r w:rsidRPr="006B343B">
              <w:rPr>
                <w:rFonts w:ascii="Times New Roman" w:eastAsia="Calibri" w:hAnsi="Times New Roman" w:cs="Times New Roman"/>
                <w:sz w:val="24"/>
                <w:szCs w:val="24"/>
              </w:rPr>
              <w:t>10</w:t>
            </w:r>
            <w:r w:rsidRPr="006B343B">
              <w:rPr>
                <w:rFonts w:ascii="Times New Roman" w:eastAsia="Calibri" w:hAnsi="Times New Roman" w:cs="Times New Roman"/>
                <w:sz w:val="24"/>
                <w:szCs w:val="24"/>
                <w:vertAlign w:val="superscript"/>
              </w:rPr>
              <w:t>6</w:t>
            </w:r>
            <w:r w:rsidRPr="006B343B">
              <w:rPr>
                <w:rFonts w:ascii="Times New Roman" w:eastAsia="Calibri" w:hAnsi="Times New Roman" w:cs="Times New Roman"/>
                <w:sz w:val="24"/>
                <w:szCs w:val="24"/>
              </w:rPr>
              <w:t>/µ)</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4.27</w:t>
            </w:r>
            <w:r w:rsidRPr="006B343B">
              <w:rPr>
                <w:rFonts w:ascii="Times New Roman" w:eastAsia="Calibri" w:hAnsi="Times New Roman" w:cs="Times New Roman"/>
                <w:color w:val="131413"/>
                <w:sz w:val="24"/>
                <w:szCs w:val="24"/>
              </w:rPr>
              <w:t>±0.005</w:t>
            </w:r>
          </w:p>
        </w:tc>
        <w:tc>
          <w:tcPr>
            <w:tcW w:w="144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vertAlign w:val="superscript"/>
              </w:rPr>
            </w:pPr>
            <w:r w:rsidRPr="006B343B">
              <w:rPr>
                <w:rFonts w:ascii="Times New Roman" w:eastAsia="Calibri" w:hAnsi="Times New Roman" w:cs="Times New Roman"/>
                <w:sz w:val="24"/>
                <w:szCs w:val="24"/>
              </w:rPr>
              <w:t>5.08</w:t>
            </w:r>
            <w:r w:rsidRPr="006B343B">
              <w:rPr>
                <w:rFonts w:ascii="Times New Roman" w:eastAsia="Calibri" w:hAnsi="Times New Roman" w:cs="Times New Roman"/>
                <w:color w:val="131413"/>
                <w:sz w:val="24"/>
                <w:szCs w:val="24"/>
              </w:rPr>
              <w:t>±0.24</w:t>
            </w:r>
            <w:r w:rsidRPr="006B343B">
              <w:rPr>
                <w:rFonts w:ascii="Times New Roman" w:eastAsia="Calibri" w:hAnsi="Times New Roman" w:cs="Times New Roman"/>
                <w:color w:val="131413"/>
                <w:sz w:val="24"/>
                <w:szCs w:val="24"/>
                <w:vertAlign w:val="superscript"/>
              </w:rPr>
              <w:t>*</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4.54</w:t>
            </w:r>
            <w:r w:rsidRPr="006B343B">
              <w:rPr>
                <w:rFonts w:ascii="Times New Roman" w:eastAsia="Calibri" w:hAnsi="Times New Roman" w:cs="Times New Roman"/>
                <w:color w:val="131413"/>
                <w:sz w:val="24"/>
                <w:szCs w:val="24"/>
              </w:rPr>
              <w:t>±0.004</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4.33</w:t>
            </w:r>
            <w:r w:rsidRPr="006B343B">
              <w:rPr>
                <w:rFonts w:ascii="Times New Roman" w:eastAsia="Calibri" w:hAnsi="Times New Roman" w:cs="Times New Roman"/>
                <w:color w:val="131413"/>
                <w:sz w:val="24"/>
                <w:szCs w:val="24"/>
              </w:rPr>
              <w:t>±0.003</w:t>
            </w:r>
          </w:p>
        </w:tc>
        <w:tc>
          <w:tcPr>
            <w:tcW w:w="171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4.64</w:t>
            </w:r>
            <w:r w:rsidRPr="006B343B">
              <w:rPr>
                <w:rFonts w:ascii="Times New Roman" w:eastAsia="Calibri" w:hAnsi="Times New Roman" w:cs="Times New Roman"/>
                <w:color w:val="131413"/>
                <w:sz w:val="24"/>
                <w:szCs w:val="24"/>
              </w:rPr>
              <w:t>±0.003</w:t>
            </w:r>
          </w:p>
        </w:tc>
      </w:tr>
      <w:tr w:rsidR="006B343B" w:rsidRPr="006B343B" w:rsidTr="00A02D70">
        <w:trPr>
          <w:trHeight w:val="267"/>
        </w:trPr>
        <w:tc>
          <w:tcPr>
            <w:tcW w:w="279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Platelet count (</w:t>
            </w:r>
            <w:r w:rsidR="004B3E5D" w:rsidRPr="002311CE">
              <w:rPr>
                <w:rFonts w:ascii="Times New Roman" w:eastAsia="Calibri" w:hAnsi="Times New Roman" w:cs="Times New Roman"/>
                <w:position w:val="-6"/>
                <w:sz w:val="24"/>
                <w:szCs w:val="24"/>
              </w:rPr>
              <w:pict>
                <v:shape id="_x0000_i1029" type="#_x0000_t75" style="width:7.7pt;height:14.4pt" equationxml="&lt;">
                  <v:imagedata r:id="rId10" o:title="" chromakey="white"/>
                </v:shape>
              </w:pict>
            </w:r>
            <w:r w:rsidRPr="006B343B">
              <w:rPr>
                <w:rFonts w:ascii="Times New Roman" w:eastAsia="Calibri" w:hAnsi="Times New Roman" w:cs="Times New Roman"/>
                <w:sz w:val="24"/>
                <w:szCs w:val="24"/>
              </w:rPr>
              <w:t>10</w:t>
            </w:r>
            <w:r w:rsidRPr="006B343B">
              <w:rPr>
                <w:rFonts w:ascii="Times New Roman" w:eastAsia="Calibri" w:hAnsi="Times New Roman" w:cs="Times New Roman"/>
                <w:sz w:val="24"/>
                <w:szCs w:val="24"/>
                <w:vertAlign w:val="superscript"/>
              </w:rPr>
              <w:t>5</w:t>
            </w:r>
            <w:r w:rsidRPr="006B343B">
              <w:rPr>
                <w:rFonts w:ascii="Times New Roman" w:eastAsia="Calibri" w:hAnsi="Times New Roman" w:cs="Times New Roman"/>
                <w:sz w:val="24"/>
                <w:szCs w:val="24"/>
              </w:rPr>
              <w:t>/ µ)</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2.94</w:t>
            </w:r>
            <w:r w:rsidRPr="006B343B">
              <w:rPr>
                <w:rFonts w:ascii="Times New Roman" w:eastAsia="Calibri" w:hAnsi="Times New Roman" w:cs="Times New Roman"/>
                <w:color w:val="131413"/>
                <w:sz w:val="24"/>
                <w:szCs w:val="24"/>
              </w:rPr>
              <w:t>±0.002</w:t>
            </w:r>
          </w:p>
        </w:tc>
        <w:tc>
          <w:tcPr>
            <w:tcW w:w="144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vertAlign w:val="superscript"/>
              </w:rPr>
            </w:pPr>
            <w:r w:rsidRPr="006B343B">
              <w:rPr>
                <w:rFonts w:ascii="Times New Roman" w:eastAsia="Calibri" w:hAnsi="Times New Roman" w:cs="Times New Roman"/>
                <w:sz w:val="24"/>
                <w:szCs w:val="24"/>
              </w:rPr>
              <w:t>3.20</w:t>
            </w:r>
            <w:r w:rsidRPr="006B343B">
              <w:rPr>
                <w:rFonts w:ascii="Times New Roman" w:eastAsia="Calibri" w:hAnsi="Times New Roman" w:cs="Times New Roman"/>
                <w:color w:val="131413"/>
                <w:sz w:val="24"/>
                <w:szCs w:val="24"/>
              </w:rPr>
              <w:t>±0.005</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2.63</w:t>
            </w:r>
            <w:r w:rsidRPr="006B343B">
              <w:rPr>
                <w:rFonts w:ascii="Times New Roman" w:eastAsia="Calibri" w:hAnsi="Times New Roman" w:cs="Times New Roman"/>
                <w:color w:val="131413"/>
                <w:sz w:val="24"/>
                <w:szCs w:val="24"/>
              </w:rPr>
              <w:t>±0.002</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2.70</w:t>
            </w:r>
            <w:r w:rsidRPr="006B343B">
              <w:rPr>
                <w:rFonts w:ascii="Times New Roman" w:eastAsia="Calibri" w:hAnsi="Times New Roman" w:cs="Times New Roman"/>
                <w:color w:val="131413"/>
                <w:sz w:val="24"/>
                <w:szCs w:val="24"/>
              </w:rPr>
              <w:t>±0.002</w:t>
            </w:r>
          </w:p>
        </w:tc>
        <w:tc>
          <w:tcPr>
            <w:tcW w:w="171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2.89</w:t>
            </w:r>
            <w:r w:rsidRPr="006B343B">
              <w:rPr>
                <w:rFonts w:ascii="Times New Roman" w:eastAsia="Calibri" w:hAnsi="Times New Roman" w:cs="Times New Roman"/>
                <w:color w:val="131413"/>
                <w:sz w:val="24"/>
                <w:szCs w:val="24"/>
              </w:rPr>
              <w:t>±0.002</w:t>
            </w:r>
          </w:p>
        </w:tc>
      </w:tr>
      <w:tr w:rsidR="006B343B" w:rsidRPr="006B343B" w:rsidTr="00A02D70">
        <w:trPr>
          <w:trHeight w:val="243"/>
        </w:trPr>
        <w:tc>
          <w:tcPr>
            <w:tcW w:w="279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WBC (</w:t>
            </w:r>
            <w:r w:rsidR="004B3E5D" w:rsidRPr="002311CE">
              <w:rPr>
                <w:rFonts w:ascii="Times New Roman" w:eastAsia="Calibri" w:hAnsi="Times New Roman" w:cs="Times New Roman"/>
                <w:position w:val="-6"/>
                <w:sz w:val="24"/>
                <w:szCs w:val="24"/>
              </w:rPr>
              <w:pict>
                <v:shape id="_x0000_i1030" type="#_x0000_t75" style="width:7.7pt;height:14.4pt" equationxml="&lt;">
                  <v:imagedata r:id="rId10" o:title="" chromakey="white"/>
                </v:shape>
              </w:pict>
            </w:r>
            <w:r w:rsidRPr="006B343B">
              <w:rPr>
                <w:rFonts w:ascii="Times New Roman" w:eastAsia="Calibri" w:hAnsi="Times New Roman" w:cs="Times New Roman"/>
                <w:sz w:val="24"/>
                <w:szCs w:val="24"/>
              </w:rPr>
              <w:t>10</w:t>
            </w:r>
            <w:r w:rsidRPr="006B343B">
              <w:rPr>
                <w:rFonts w:ascii="Times New Roman" w:eastAsia="Calibri" w:hAnsi="Times New Roman" w:cs="Times New Roman"/>
                <w:sz w:val="24"/>
                <w:szCs w:val="24"/>
                <w:vertAlign w:val="superscript"/>
              </w:rPr>
              <w:t>3</w:t>
            </w:r>
            <w:r w:rsidRPr="006B343B">
              <w:rPr>
                <w:rFonts w:ascii="Times New Roman" w:eastAsia="Calibri" w:hAnsi="Times New Roman" w:cs="Times New Roman"/>
                <w:sz w:val="24"/>
                <w:szCs w:val="24"/>
              </w:rPr>
              <w:t>/ µ)</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8.85</w:t>
            </w:r>
            <w:r w:rsidRPr="006B343B">
              <w:rPr>
                <w:rFonts w:ascii="Times New Roman" w:eastAsia="Calibri" w:hAnsi="Times New Roman" w:cs="Times New Roman"/>
                <w:color w:val="131413"/>
                <w:sz w:val="24"/>
                <w:szCs w:val="24"/>
              </w:rPr>
              <w:t>±0.03</w:t>
            </w:r>
          </w:p>
        </w:tc>
        <w:tc>
          <w:tcPr>
            <w:tcW w:w="144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vertAlign w:val="superscript"/>
              </w:rPr>
            </w:pPr>
            <w:r w:rsidRPr="006B343B">
              <w:rPr>
                <w:rFonts w:ascii="Times New Roman" w:eastAsia="Calibri" w:hAnsi="Times New Roman" w:cs="Times New Roman"/>
                <w:sz w:val="24"/>
                <w:szCs w:val="24"/>
              </w:rPr>
              <w:t>13.28</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12.84</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3.67</w:t>
            </w:r>
            <w:r w:rsidRPr="006B343B">
              <w:rPr>
                <w:rFonts w:ascii="Times New Roman" w:eastAsia="Calibri" w:hAnsi="Times New Roman" w:cs="Times New Roman"/>
                <w:color w:val="131413"/>
                <w:sz w:val="24"/>
                <w:szCs w:val="24"/>
              </w:rPr>
              <w:t>±0.03</w:t>
            </w:r>
            <w:r w:rsidRPr="006B343B">
              <w:rPr>
                <w:rFonts w:ascii="Times New Roman" w:eastAsia="Calibri" w:hAnsi="Times New Roman" w:cs="Times New Roman"/>
                <w:color w:val="131413"/>
                <w:sz w:val="24"/>
                <w:szCs w:val="24"/>
                <w:vertAlign w:val="superscript"/>
              </w:rPr>
              <w:t>*#$</w:t>
            </w:r>
          </w:p>
        </w:tc>
        <w:tc>
          <w:tcPr>
            <w:tcW w:w="171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5.12</w:t>
            </w:r>
            <w:r w:rsidRPr="006B343B">
              <w:rPr>
                <w:rFonts w:ascii="Times New Roman" w:eastAsia="Calibri" w:hAnsi="Times New Roman" w:cs="Times New Roman"/>
                <w:color w:val="131413"/>
                <w:sz w:val="24"/>
                <w:szCs w:val="24"/>
              </w:rPr>
              <w:t>±0.004</w:t>
            </w:r>
            <w:r w:rsidRPr="006B343B">
              <w:rPr>
                <w:rFonts w:ascii="Times New Roman" w:eastAsia="Calibri" w:hAnsi="Times New Roman" w:cs="Times New Roman"/>
                <w:color w:val="131413"/>
                <w:sz w:val="24"/>
                <w:szCs w:val="24"/>
                <w:vertAlign w:val="superscript"/>
              </w:rPr>
              <w:t>*#$α</w:t>
            </w:r>
          </w:p>
        </w:tc>
      </w:tr>
      <w:tr w:rsidR="006B343B" w:rsidRPr="006B343B" w:rsidTr="00A02D70">
        <w:trPr>
          <w:trHeight w:val="243"/>
        </w:trPr>
        <w:tc>
          <w:tcPr>
            <w:tcW w:w="279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MCV (fL)</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88.74</w:t>
            </w:r>
            <w:r w:rsidRPr="006B343B">
              <w:rPr>
                <w:rFonts w:ascii="Times New Roman" w:eastAsia="Calibri" w:hAnsi="Times New Roman" w:cs="Times New Roman"/>
                <w:color w:val="131413"/>
                <w:sz w:val="24"/>
                <w:szCs w:val="24"/>
              </w:rPr>
              <w:t>±0.02</w:t>
            </w:r>
          </w:p>
        </w:tc>
        <w:tc>
          <w:tcPr>
            <w:tcW w:w="144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91.25</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87.34</w:t>
            </w:r>
            <w:r w:rsidRPr="006B343B">
              <w:rPr>
                <w:rFonts w:ascii="Times New Roman" w:eastAsia="Calibri" w:hAnsi="Times New Roman" w:cs="Times New Roman"/>
                <w:color w:val="131413"/>
                <w:sz w:val="24"/>
                <w:szCs w:val="24"/>
              </w:rPr>
              <w:t>±0.05</w:t>
            </w:r>
            <w:r w:rsidRPr="006B343B">
              <w:rPr>
                <w:rFonts w:ascii="Times New Roman" w:eastAsia="Calibri" w:hAnsi="Times New Roman" w:cs="Times New Roman"/>
                <w:color w:val="131413"/>
                <w:sz w:val="24"/>
                <w:szCs w:val="24"/>
                <w:vertAlign w:val="superscript"/>
              </w:rPr>
              <w:t>#</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88.96</w:t>
            </w:r>
            <w:r w:rsidRPr="006B343B">
              <w:rPr>
                <w:rFonts w:ascii="Times New Roman" w:eastAsia="Calibri" w:hAnsi="Times New Roman" w:cs="Times New Roman"/>
                <w:color w:val="131413"/>
                <w:sz w:val="24"/>
                <w:szCs w:val="24"/>
              </w:rPr>
              <w:t>±0.23</w:t>
            </w:r>
            <w:r w:rsidRPr="006B343B">
              <w:rPr>
                <w:rFonts w:ascii="Times New Roman" w:eastAsia="Calibri" w:hAnsi="Times New Roman" w:cs="Times New Roman"/>
                <w:color w:val="131413"/>
                <w:sz w:val="24"/>
                <w:szCs w:val="24"/>
                <w:vertAlign w:val="superscript"/>
              </w:rPr>
              <w:t>#</w:t>
            </w:r>
          </w:p>
        </w:tc>
        <w:tc>
          <w:tcPr>
            <w:tcW w:w="171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87.12</w:t>
            </w:r>
            <w:r w:rsidRPr="006B343B">
              <w:rPr>
                <w:rFonts w:ascii="Times New Roman" w:eastAsia="Calibri" w:hAnsi="Times New Roman" w:cs="Times New Roman"/>
                <w:color w:val="131413"/>
                <w:sz w:val="24"/>
                <w:szCs w:val="24"/>
              </w:rPr>
              <w:t>±0.23</w:t>
            </w:r>
            <w:r w:rsidRPr="006B343B">
              <w:rPr>
                <w:rFonts w:ascii="Times New Roman" w:eastAsia="Calibri" w:hAnsi="Times New Roman" w:cs="Times New Roman"/>
                <w:color w:val="131413"/>
                <w:sz w:val="24"/>
                <w:szCs w:val="24"/>
                <w:vertAlign w:val="superscript"/>
              </w:rPr>
              <w:t>#</w:t>
            </w:r>
          </w:p>
        </w:tc>
      </w:tr>
      <w:tr w:rsidR="006B343B" w:rsidRPr="006B343B" w:rsidTr="00A02D70">
        <w:trPr>
          <w:trHeight w:val="259"/>
        </w:trPr>
        <w:tc>
          <w:tcPr>
            <w:tcW w:w="279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MCH (pg)</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28.23</w:t>
            </w:r>
            <w:r w:rsidRPr="006B343B">
              <w:rPr>
                <w:rFonts w:ascii="Times New Roman" w:eastAsia="Calibri" w:hAnsi="Times New Roman" w:cs="Times New Roman"/>
                <w:color w:val="131413"/>
                <w:sz w:val="24"/>
                <w:szCs w:val="24"/>
              </w:rPr>
              <w:t>±0.19</w:t>
            </w:r>
          </w:p>
        </w:tc>
        <w:tc>
          <w:tcPr>
            <w:tcW w:w="144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31.08</w:t>
            </w:r>
            <w:r w:rsidRPr="006B343B">
              <w:rPr>
                <w:rFonts w:ascii="Times New Roman" w:eastAsia="Calibri" w:hAnsi="Times New Roman" w:cs="Times New Roman"/>
                <w:color w:val="131413"/>
                <w:sz w:val="24"/>
                <w:szCs w:val="24"/>
              </w:rPr>
              <w:t>±0.03</w:t>
            </w:r>
            <w:r w:rsidRPr="006B343B">
              <w:rPr>
                <w:rFonts w:ascii="Times New Roman" w:eastAsia="Calibri" w:hAnsi="Times New Roman" w:cs="Times New Roman"/>
                <w:color w:val="131413"/>
                <w:sz w:val="24"/>
                <w:szCs w:val="24"/>
                <w:vertAlign w:val="superscript"/>
              </w:rPr>
              <w:t>*</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29.10</w:t>
            </w:r>
            <w:r w:rsidRPr="006B343B">
              <w:rPr>
                <w:rFonts w:ascii="Times New Roman" w:eastAsia="Calibri" w:hAnsi="Times New Roman" w:cs="Times New Roman"/>
                <w:color w:val="131413"/>
                <w:sz w:val="24"/>
                <w:szCs w:val="24"/>
              </w:rPr>
              <w:t>±0.03</w:t>
            </w:r>
            <w:r w:rsidRPr="006B343B">
              <w:rPr>
                <w:rFonts w:ascii="Times New Roman" w:eastAsia="Calibri" w:hAnsi="Times New Roman" w:cs="Times New Roman"/>
                <w:color w:val="131413"/>
                <w:sz w:val="24"/>
                <w:szCs w:val="24"/>
                <w:vertAlign w:val="superscript"/>
              </w:rPr>
              <w:t>#</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27.16</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w:t>
            </w:r>
          </w:p>
        </w:tc>
        <w:tc>
          <w:tcPr>
            <w:tcW w:w="171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27.78</w:t>
            </w:r>
            <w:r w:rsidRPr="006B343B">
              <w:rPr>
                <w:rFonts w:ascii="Times New Roman" w:eastAsia="Calibri" w:hAnsi="Times New Roman" w:cs="Times New Roman"/>
                <w:color w:val="131413"/>
                <w:sz w:val="24"/>
                <w:szCs w:val="24"/>
              </w:rPr>
              <w:t>±0.26</w:t>
            </w:r>
            <w:r w:rsidRPr="006B343B">
              <w:rPr>
                <w:rFonts w:ascii="Times New Roman" w:eastAsia="Calibri" w:hAnsi="Times New Roman" w:cs="Times New Roman"/>
                <w:color w:val="131413"/>
                <w:sz w:val="24"/>
                <w:szCs w:val="24"/>
                <w:vertAlign w:val="superscript"/>
              </w:rPr>
              <w:t>#</w:t>
            </w:r>
          </w:p>
        </w:tc>
      </w:tr>
      <w:tr w:rsidR="006B343B" w:rsidRPr="006B343B" w:rsidTr="00A02D70">
        <w:trPr>
          <w:trHeight w:val="243"/>
        </w:trPr>
        <w:tc>
          <w:tcPr>
            <w:tcW w:w="279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MCHC (%)</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33.20</w:t>
            </w:r>
            <w:r w:rsidRPr="006B343B">
              <w:rPr>
                <w:rFonts w:ascii="Times New Roman" w:eastAsia="Calibri" w:hAnsi="Times New Roman" w:cs="Times New Roman"/>
                <w:color w:val="131413"/>
                <w:sz w:val="24"/>
                <w:szCs w:val="24"/>
              </w:rPr>
              <w:t>±0.044</w:t>
            </w:r>
          </w:p>
        </w:tc>
        <w:tc>
          <w:tcPr>
            <w:tcW w:w="144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30.64</w:t>
            </w:r>
            <w:r w:rsidRPr="006B343B">
              <w:rPr>
                <w:rFonts w:ascii="Times New Roman" w:eastAsia="Calibri" w:hAnsi="Times New Roman" w:cs="Times New Roman"/>
                <w:color w:val="131413"/>
                <w:sz w:val="24"/>
                <w:szCs w:val="24"/>
              </w:rPr>
              <w:t>±0.05</w:t>
            </w:r>
            <w:r w:rsidRPr="006B343B">
              <w:rPr>
                <w:rFonts w:ascii="Times New Roman" w:eastAsia="Calibri" w:hAnsi="Times New Roman" w:cs="Times New Roman"/>
                <w:color w:val="131413"/>
                <w:sz w:val="24"/>
                <w:szCs w:val="24"/>
                <w:vertAlign w:val="superscript"/>
              </w:rPr>
              <w:t>*</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30.68</w:t>
            </w:r>
            <w:r w:rsidRPr="006B343B">
              <w:rPr>
                <w:rFonts w:ascii="Times New Roman" w:eastAsia="Calibri" w:hAnsi="Times New Roman" w:cs="Times New Roman"/>
                <w:color w:val="131413"/>
                <w:sz w:val="24"/>
                <w:szCs w:val="24"/>
              </w:rPr>
              <w:t>±0.05</w:t>
            </w:r>
            <w:r w:rsidRPr="006B343B">
              <w:rPr>
                <w:rFonts w:ascii="Times New Roman" w:eastAsia="Calibri" w:hAnsi="Times New Roman" w:cs="Times New Roman"/>
                <w:color w:val="131413"/>
                <w:sz w:val="24"/>
                <w:szCs w:val="24"/>
                <w:vertAlign w:val="superscript"/>
              </w:rPr>
              <w:t>*</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31.24</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w:t>
            </w:r>
          </w:p>
        </w:tc>
        <w:tc>
          <w:tcPr>
            <w:tcW w:w="171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31.65</w:t>
            </w:r>
            <w:r w:rsidRPr="006B343B">
              <w:rPr>
                <w:rFonts w:ascii="Times New Roman" w:eastAsia="Calibri" w:hAnsi="Times New Roman" w:cs="Times New Roman"/>
                <w:color w:val="131413"/>
                <w:sz w:val="24"/>
                <w:szCs w:val="24"/>
              </w:rPr>
              <w:t>±0.03</w:t>
            </w:r>
            <w:r w:rsidRPr="006B343B">
              <w:rPr>
                <w:rFonts w:ascii="Times New Roman" w:eastAsia="Calibri" w:hAnsi="Times New Roman" w:cs="Times New Roman"/>
                <w:color w:val="131413"/>
                <w:sz w:val="24"/>
                <w:szCs w:val="24"/>
                <w:vertAlign w:val="superscript"/>
              </w:rPr>
              <w:t>*</w:t>
            </w:r>
          </w:p>
        </w:tc>
      </w:tr>
      <w:tr w:rsidR="006B343B" w:rsidRPr="006B343B" w:rsidTr="00A02D70">
        <w:trPr>
          <w:trHeight w:val="243"/>
        </w:trPr>
        <w:tc>
          <w:tcPr>
            <w:tcW w:w="279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Neutrophil (%)</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27.60</w:t>
            </w:r>
            <w:r w:rsidRPr="006B343B">
              <w:rPr>
                <w:rFonts w:ascii="Times New Roman" w:eastAsia="Calibri" w:hAnsi="Times New Roman" w:cs="Times New Roman"/>
                <w:color w:val="131413"/>
                <w:sz w:val="24"/>
                <w:szCs w:val="24"/>
              </w:rPr>
              <w:t>±0.24</w:t>
            </w:r>
          </w:p>
        </w:tc>
        <w:tc>
          <w:tcPr>
            <w:tcW w:w="144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31.24</w:t>
            </w:r>
            <w:r w:rsidRPr="006B343B">
              <w:rPr>
                <w:rFonts w:ascii="Times New Roman" w:eastAsia="Calibri" w:hAnsi="Times New Roman" w:cs="Times New Roman"/>
                <w:color w:val="131413"/>
                <w:sz w:val="24"/>
                <w:szCs w:val="24"/>
              </w:rPr>
              <w:t>±0.05</w:t>
            </w:r>
            <w:r w:rsidRPr="006B343B">
              <w:rPr>
                <w:rFonts w:ascii="Times New Roman" w:eastAsia="Calibri" w:hAnsi="Times New Roman" w:cs="Times New Roman"/>
                <w:color w:val="131413"/>
                <w:sz w:val="24"/>
                <w:szCs w:val="24"/>
                <w:vertAlign w:val="superscript"/>
              </w:rPr>
              <w:t>*</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25.80</w:t>
            </w:r>
            <w:r w:rsidRPr="006B343B">
              <w:rPr>
                <w:rFonts w:ascii="Times New Roman" w:eastAsia="Calibri" w:hAnsi="Times New Roman" w:cs="Times New Roman"/>
                <w:color w:val="131413"/>
                <w:sz w:val="24"/>
                <w:szCs w:val="24"/>
              </w:rPr>
              <w:t>±0.20</w:t>
            </w:r>
            <w:r w:rsidRPr="006B343B">
              <w:rPr>
                <w:rFonts w:ascii="Times New Roman" w:eastAsia="Calibri" w:hAnsi="Times New Roman" w:cs="Times New Roman"/>
                <w:color w:val="131413"/>
                <w:sz w:val="24"/>
                <w:szCs w:val="24"/>
                <w:vertAlign w:val="superscript"/>
              </w:rPr>
              <w:t>*#</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26.83</w:t>
            </w:r>
            <w:r w:rsidRPr="006B343B">
              <w:rPr>
                <w:rFonts w:ascii="Times New Roman" w:eastAsia="Calibri" w:hAnsi="Times New Roman" w:cs="Times New Roman"/>
                <w:color w:val="131413"/>
                <w:sz w:val="24"/>
                <w:szCs w:val="24"/>
              </w:rPr>
              <w:t>±0.20</w:t>
            </w:r>
            <w:r w:rsidRPr="006B343B">
              <w:rPr>
                <w:rFonts w:ascii="Times New Roman" w:eastAsia="Calibri" w:hAnsi="Times New Roman" w:cs="Times New Roman"/>
                <w:color w:val="131413"/>
                <w:sz w:val="24"/>
                <w:szCs w:val="24"/>
                <w:vertAlign w:val="superscript"/>
              </w:rPr>
              <w:t>*#</w:t>
            </w:r>
          </w:p>
        </w:tc>
        <w:tc>
          <w:tcPr>
            <w:tcW w:w="171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24.03</w:t>
            </w:r>
            <w:r w:rsidRPr="006B343B">
              <w:rPr>
                <w:rFonts w:ascii="Times New Roman" w:eastAsia="Calibri" w:hAnsi="Times New Roman" w:cs="Times New Roman"/>
                <w:color w:val="131413"/>
                <w:sz w:val="24"/>
                <w:szCs w:val="24"/>
              </w:rPr>
              <w:t>±0.31</w:t>
            </w:r>
            <w:r w:rsidRPr="006B343B">
              <w:rPr>
                <w:rFonts w:ascii="Times New Roman" w:eastAsia="Calibri" w:hAnsi="Times New Roman" w:cs="Times New Roman"/>
                <w:color w:val="131413"/>
                <w:sz w:val="24"/>
                <w:szCs w:val="24"/>
                <w:vertAlign w:val="superscript"/>
              </w:rPr>
              <w:t>*#α</w:t>
            </w:r>
          </w:p>
        </w:tc>
      </w:tr>
      <w:tr w:rsidR="006B343B" w:rsidRPr="006B343B" w:rsidTr="00A02D70">
        <w:trPr>
          <w:trHeight w:val="243"/>
        </w:trPr>
        <w:tc>
          <w:tcPr>
            <w:tcW w:w="279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Eosinophil (%)</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2.16</w:t>
            </w:r>
            <w:r w:rsidRPr="006B343B">
              <w:rPr>
                <w:rFonts w:ascii="Times New Roman" w:eastAsia="Calibri" w:hAnsi="Times New Roman" w:cs="Times New Roman"/>
                <w:color w:val="131413"/>
                <w:sz w:val="24"/>
                <w:szCs w:val="24"/>
              </w:rPr>
              <w:t>±0.09</w:t>
            </w:r>
          </w:p>
        </w:tc>
        <w:tc>
          <w:tcPr>
            <w:tcW w:w="144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1.23</w:t>
            </w:r>
            <w:r w:rsidRPr="006B343B">
              <w:rPr>
                <w:rFonts w:ascii="Times New Roman" w:eastAsia="Calibri" w:hAnsi="Times New Roman" w:cs="Times New Roman"/>
                <w:color w:val="131413"/>
                <w:sz w:val="24"/>
                <w:szCs w:val="24"/>
              </w:rPr>
              <w:t>±0.12</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6.06</w:t>
            </w:r>
            <w:r w:rsidRPr="006B343B">
              <w:rPr>
                <w:rFonts w:ascii="Times New Roman" w:eastAsia="Calibri" w:hAnsi="Times New Roman" w:cs="Times New Roman"/>
                <w:color w:val="131413"/>
                <w:sz w:val="24"/>
                <w:szCs w:val="24"/>
              </w:rPr>
              <w:t>±0.04</w:t>
            </w:r>
            <w:r w:rsidRPr="006B343B">
              <w:rPr>
                <w:rFonts w:ascii="Times New Roman" w:eastAsia="Calibri" w:hAnsi="Times New Roman" w:cs="Times New Roman"/>
                <w:color w:val="131413"/>
                <w:sz w:val="24"/>
                <w:szCs w:val="24"/>
                <w:vertAlign w:val="superscript"/>
              </w:rPr>
              <w:t>*#</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5.05</w:t>
            </w:r>
            <w:r w:rsidRPr="006B343B">
              <w:rPr>
                <w:rFonts w:ascii="Times New Roman" w:eastAsia="Calibri" w:hAnsi="Times New Roman" w:cs="Times New Roman"/>
                <w:color w:val="131413"/>
                <w:sz w:val="24"/>
                <w:szCs w:val="24"/>
              </w:rPr>
              <w:t>±0.04</w:t>
            </w:r>
            <w:r w:rsidRPr="006B343B">
              <w:rPr>
                <w:rFonts w:ascii="Times New Roman" w:eastAsia="Calibri" w:hAnsi="Times New Roman" w:cs="Times New Roman"/>
                <w:color w:val="131413"/>
                <w:sz w:val="24"/>
                <w:szCs w:val="24"/>
                <w:vertAlign w:val="superscript"/>
              </w:rPr>
              <w:t>*#</w:t>
            </w:r>
          </w:p>
        </w:tc>
        <w:tc>
          <w:tcPr>
            <w:tcW w:w="171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1.01</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*$α</w:t>
            </w:r>
          </w:p>
        </w:tc>
      </w:tr>
      <w:tr w:rsidR="006B343B" w:rsidRPr="006B343B" w:rsidTr="00A02D70">
        <w:trPr>
          <w:trHeight w:val="259"/>
        </w:trPr>
        <w:tc>
          <w:tcPr>
            <w:tcW w:w="279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Monocytes (%)</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1.02</w:t>
            </w:r>
            <w:r w:rsidRPr="006B343B">
              <w:rPr>
                <w:rFonts w:ascii="Times New Roman" w:eastAsia="Calibri" w:hAnsi="Times New Roman" w:cs="Times New Roman"/>
                <w:color w:val="131413"/>
                <w:sz w:val="24"/>
                <w:szCs w:val="24"/>
              </w:rPr>
              <w:t>±0.02</w:t>
            </w:r>
          </w:p>
        </w:tc>
        <w:tc>
          <w:tcPr>
            <w:tcW w:w="144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2.33</w:t>
            </w:r>
            <w:r w:rsidRPr="006B343B">
              <w:rPr>
                <w:rFonts w:ascii="Times New Roman" w:eastAsia="Calibri" w:hAnsi="Times New Roman" w:cs="Times New Roman"/>
                <w:color w:val="131413"/>
                <w:sz w:val="24"/>
                <w:szCs w:val="24"/>
              </w:rPr>
              <w:t>±0.09</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1.02</w:t>
            </w:r>
            <w:r w:rsidRPr="006B343B">
              <w:rPr>
                <w:rFonts w:ascii="Times New Roman" w:eastAsia="Calibri" w:hAnsi="Times New Roman" w:cs="Times New Roman"/>
                <w:color w:val="131413"/>
                <w:sz w:val="24"/>
                <w:szCs w:val="24"/>
              </w:rPr>
              <w:t>±0.04</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1.06</w:t>
            </w:r>
            <w:r w:rsidRPr="006B343B">
              <w:rPr>
                <w:rFonts w:ascii="Times New Roman" w:eastAsia="Calibri" w:hAnsi="Times New Roman" w:cs="Times New Roman"/>
                <w:color w:val="131413"/>
                <w:sz w:val="24"/>
                <w:szCs w:val="24"/>
              </w:rPr>
              <w:t>±0.06</w:t>
            </w:r>
          </w:p>
        </w:tc>
        <w:tc>
          <w:tcPr>
            <w:tcW w:w="171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2.03</w:t>
            </w:r>
            <w:r w:rsidRPr="006B343B">
              <w:rPr>
                <w:rFonts w:ascii="Times New Roman" w:eastAsia="Calibri" w:hAnsi="Times New Roman" w:cs="Times New Roman"/>
                <w:color w:val="131413"/>
                <w:sz w:val="24"/>
                <w:szCs w:val="24"/>
              </w:rPr>
              <w:t>±0.01</w:t>
            </w:r>
          </w:p>
        </w:tc>
      </w:tr>
      <w:tr w:rsidR="006B343B" w:rsidRPr="006B343B" w:rsidTr="00A02D70">
        <w:trPr>
          <w:trHeight w:val="227"/>
        </w:trPr>
        <w:tc>
          <w:tcPr>
            <w:tcW w:w="2790"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Basophil (%)</w:t>
            </w:r>
          </w:p>
        </w:tc>
        <w:tc>
          <w:tcPr>
            <w:tcW w:w="1530"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0.0</w:t>
            </w:r>
            <w:r w:rsidRPr="006B343B">
              <w:rPr>
                <w:rFonts w:ascii="Times New Roman" w:eastAsia="Calibri" w:hAnsi="Times New Roman" w:cs="Times New Roman"/>
                <w:color w:val="131413"/>
                <w:sz w:val="24"/>
                <w:szCs w:val="24"/>
              </w:rPr>
              <w:t>±0.0</w:t>
            </w:r>
          </w:p>
        </w:tc>
        <w:tc>
          <w:tcPr>
            <w:tcW w:w="1440"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0.0</w:t>
            </w:r>
            <w:r w:rsidRPr="006B343B">
              <w:rPr>
                <w:rFonts w:ascii="Times New Roman" w:eastAsia="Calibri" w:hAnsi="Times New Roman" w:cs="Times New Roman"/>
                <w:color w:val="131413"/>
                <w:sz w:val="24"/>
                <w:szCs w:val="24"/>
              </w:rPr>
              <w:t>±0.0</w:t>
            </w:r>
          </w:p>
        </w:tc>
        <w:tc>
          <w:tcPr>
            <w:tcW w:w="1530"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0.0</w:t>
            </w:r>
            <w:r w:rsidRPr="006B343B">
              <w:rPr>
                <w:rFonts w:ascii="Times New Roman" w:eastAsia="Calibri" w:hAnsi="Times New Roman" w:cs="Times New Roman"/>
                <w:color w:val="131413"/>
                <w:sz w:val="24"/>
                <w:szCs w:val="24"/>
              </w:rPr>
              <w:t>±0.0</w:t>
            </w:r>
          </w:p>
        </w:tc>
        <w:tc>
          <w:tcPr>
            <w:tcW w:w="1530"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0.0</w:t>
            </w:r>
            <w:r w:rsidRPr="006B343B">
              <w:rPr>
                <w:rFonts w:ascii="Times New Roman" w:eastAsia="Calibri" w:hAnsi="Times New Roman" w:cs="Times New Roman"/>
                <w:color w:val="131413"/>
                <w:sz w:val="24"/>
                <w:szCs w:val="24"/>
              </w:rPr>
              <w:t>±0.0</w:t>
            </w:r>
          </w:p>
        </w:tc>
        <w:tc>
          <w:tcPr>
            <w:tcW w:w="1710"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0.0</w:t>
            </w:r>
            <w:r w:rsidRPr="006B343B">
              <w:rPr>
                <w:rFonts w:ascii="Times New Roman" w:eastAsia="Calibri" w:hAnsi="Times New Roman" w:cs="Times New Roman"/>
                <w:color w:val="131413"/>
                <w:sz w:val="24"/>
                <w:szCs w:val="24"/>
              </w:rPr>
              <w:t>±0.0</w:t>
            </w:r>
          </w:p>
        </w:tc>
      </w:tr>
    </w:tbl>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p>
    <w:p w:rsidR="006B343B" w:rsidRPr="006B343B" w:rsidRDefault="006B343B" w:rsidP="006B343B">
      <w:pPr>
        <w:spacing w:after="100" w:afterAutospacing="1"/>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Standard error of mean= standard deviation (SD)/√ Total subject. Result are analyzed by one-way ANOVA and confirmed by Tukey’s multiple comparison test.</w:t>
      </w:r>
    </w:p>
    <w:p w:rsidR="006B343B" w:rsidRPr="006B343B" w:rsidRDefault="006B343B" w:rsidP="006B343B">
      <w:pPr>
        <w:spacing w:after="100" w:afterAutospacing="1"/>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MCV: mean corpuscular volume; MCH: mean corpuscular haemoglobin; MCHC: mean corpuscular haemoglobin concentration; RBC: red blood cell; WBC: white blood cell.</w:t>
      </w:r>
    </w:p>
    <w:p w:rsidR="006B343B" w:rsidRPr="006B343B" w:rsidRDefault="006B343B" w:rsidP="006B343B">
      <w:pPr>
        <w:spacing w:after="100" w:afterAutospacing="1"/>
        <w:jc w:val="both"/>
        <w:rPr>
          <w:rFonts w:ascii="Times New Roman" w:eastAsia="Calibri" w:hAnsi="Times New Roman" w:cs="Times New Roman"/>
          <w:sz w:val="24"/>
          <w:szCs w:val="24"/>
        </w:rPr>
      </w:pPr>
      <w:r w:rsidRPr="006B343B">
        <w:rPr>
          <w:rFonts w:ascii="Times New Roman" w:eastAsia="Calibri" w:hAnsi="Times New Roman" w:cs="Times New Roman"/>
          <w:sz w:val="24"/>
          <w:szCs w:val="24"/>
          <w:vertAlign w:val="superscript"/>
        </w:rPr>
        <w:t>*</w:t>
      </w:r>
      <w:r w:rsidRPr="006B343B">
        <w:rPr>
          <w:rFonts w:ascii="Times New Roman" w:eastAsia="Calibri" w:hAnsi="Times New Roman" w:cs="Times New Roman"/>
          <w:sz w:val="24"/>
          <w:szCs w:val="24"/>
        </w:rPr>
        <w:t xml:space="preserve"> Significant difference at p&lt;0.05, when compared with control group.</w:t>
      </w:r>
    </w:p>
    <w:p w:rsidR="006B343B" w:rsidRPr="006B343B" w:rsidRDefault="006B343B" w:rsidP="006B343B">
      <w:pPr>
        <w:spacing w:after="100" w:afterAutospacing="1"/>
        <w:jc w:val="both"/>
        <w:rPr>
          <w:rFonts w:ascii="Times New Roman" w:eastAsia="Calibri" w:hAnsi="Times New Roman" w:cs="Times New Roman"/>
          <w:sz w:val="24"/>
          <w:szCs w:val="24"/>
        </w:rPr>
      </w:pPr>
      <w:r w:rsidRPr="006B343B">
        <w:rPr>
          <w:rFonts w:ascii="Times New Roman" w:eastAsia="Calibri" w:hAnsi="Times New Roman" w:cs="Times New Roman"/>
          <w:sz w:val="24"/>
          <w:szCs w:val="24"/>
          <w:vertAlign w:val="superscript"/>
        </w:rPr>
        <w:t xml:space="preserve"># </w:t>
      </w:r>
      <w:r w:rsidRPr="006B343B">
        <w:rPr>
          <w:rFonts w:ascii="Times New Roman" w:eastAsia="Calibri" w:hAnsi="Times New Roman" w:cs="Times New Roman"/>
          <w:sz w:val="24"/>
          <w:szCs w:val="24"/>
        </w:rPr>
        <w:t>Significant difference at p&lt;0.05, when compared with 400 mg/kg group.</w:t>
      </w:r>
    </w:p>
    <w:p w:rsidR="006B343B" w:rsidRPr="006B343B" w:rsidRDefault="006B343B" w:rsidP="006B343B">
      <w:pPr>
        <w:spacing w:after="100" w:afterAutospacing="1"/>
        <w:jc w:val="both"/>
        <w:rPr>
          <w:rFonts w:ascii="Times New Roman" w:eastAsia="Calibri" w:hAnsi="Times New Roman" w:cs="Times New Roman"/>
          <w:sz w:val="24"/>
          <w:szCs w:val="24"/>
        </w:rPr>
      </w:pPr>
      <w:r w:rsidRPr="006B343B">
        <w:rPr>
          <w:rFonts w:ascii="Times New Roman" w:eastAsia="Calibri" w:hAnsi="Times New Roman" w:cs="Times New Roman"/>
          <w:sz w:val="24"/>
          <w:szCs w:val="24"/>
          <w:vertAlign w:val="superscript"/>
        </w:rPr>
        <w:t>$</w:t>
      </w:r>
      <w:r w:rsidRPr="006B343B">
        <w:rPr>
          <w:rFonts w:ascii="Times New Roman" w:eastAsia="Calibri" w:hAnsi="Times New Roman" w:cs="Times New Roman"/>
          <w:sz w:val="24"/>
          <w:szCs w:val="24"/>
        </w:rPr>
        <w:t xml:space="preserve"> Significant difference at p&lt;0.05, when compared with 200 mg/kg group.</w:t>
      </w:r>
    </w:p>
    <w:p w:rsidR="006B343B" w:rsidRPr="006B343B" w:rsidRDefault="006B343B" w:rsidP="006B343B">
      <w:pPr>
        <w:spacing w:after="100" w:afterAutospacing="1"/>
        <w:jc w:val="both"/>
        <w:rPr>
          <w:rFonts w:ascii="Times New Roman" w:eastAsia="Calibri" w:hAnsi="Times New Roman" w:cs="Times New Roman"/>
          <w:b/>
          <w:sz w:val="24"/>
          <w:szCs w:val="24"/>
        </w:rPr>
      </w:pPr>
      <w:r w:rsidRPr="006B343B">
        <w:rPr>
          <w:rFonts w:ascii="Times New Roman" w:eastAsia="Calibri" w:hAnsi="Times New Roman" w:cs="Times New Roman"/>
          <w:sz w:val="24"/>
          <w:szCs w:val="24"/>
          <w:vertAlign w:val="superscript"/>
        </w:rPr>
        <w:t>α</w:t>
      </w:r>
      <w:r w:rsidRPr="006B343B">
        <w:rPr>
          <w:rFonts w:ascii="Times New Roman" w:eastAsia="Calibri" w:hAnsi="Times New Roman" w:cs="Times New Roman"/>
          <w:sz w:val="24"/>
          <w:szCs w:val="24"/>
        </w:rPr>
        <w:t xml:space="preserve"> Significant difference at p&lt;0.05, when compared with 100 mg/kg group.</w:t>
      </w:r>
    </w:p>
    <w:p w:rsidR="006B343B" w:rsidRPr="00BE2AC4" w:rsidRDefault="006B343B" w:rsidP="006B343B">
      <w:pPr>
        <w:spacing w:after="100" w:afterAutospacing="1" w:line="360" w:lineRule="auto"/>
        <w:jc w:val="center"/>
        <w:rPr>
          <w:rFonts w:ascii="Times New Roman" w:eastAsia="Calibri" w:hAnsi="Times New Roman" w:cs="Times New Roman"/>
          <w:sz w:val="24"/>
          <w:szCs w:val="24"/>
        </w:rPr>
      </w:pPr>
      <w:r w:rsidRPr="006B343B">
        <w:rPr>
          <w:rFonts w:ascii="Times New Roman" w:eastAsia="Calibri" w:hAnsi="Times New Roman" w:cs="Times New Roman"/>
          <w:b/>
          <w:sz w:val="24"/>
          <w:szCs w:val="24"/>
        </w:rPr>
        <w:lastRenderedPageBreak/>
        <w:t xml:space="preserve">Table </w:t>
      </w:r>
      <w:r>
        <w:rPr>
          <w:rFonts w:ascii="Times New Roman" w:eastAsia="Calibri" w:hAnsi="Times New Roman" w:cs="Times New Roman"/>
          <w:b/>
          <w:sz w:val="24"/>
          <w:szCs w:val="24"/>
        </w:rPr>
        <w:t>S3</w:t>
      </w:r>
      <w:r w:rsidRPr="006B343B">
        <w:rPr>
          <w:rFonts w:ascii="Times New Roman" w:eastAsia="Calibri" w:hAnsi="Times New Roman" w:cs="Times New Roman"/>
          <w:b/>
          <w:sz w:val="24"/>
          <w:szCs w:val="24"/>
        </w:rPr>
        <w:t xml:space="preserve"> </w:t>
      </w:r>
      <w:r w:rsidRPr="00BE2AC4">
        <w:rPr>
          <w:rFonts w:ascii="Times New Roman" w:eastAsia="Calibri" w:hAnsi="Times New Roman" w:cs="Times New Roman"/>
          <w:sz w:val="24"/>
          <w:szCs w:val="24"/>
        </w:rPr>
        <w:t>Serum biochemistry findings in male Swiss albino mice treated with taxifolin ruthenium-p-cymene complex for 28 days repeated-dose oral sub-acute toxicity study</w:t>
      </w:r>
    </w:p>
    <w:tbl>
      <w:tblPr>
        <w:tblW w:w="10188" w:type="dxa"/>
        <w:tblInd w:w="-612" w:type="dxa"/>
        <w:tblLook w:val="04A0"/>
      </w:tblPr>
      <w:tblGrid>
        <w:gridCol w:w="2662"/>
        <w:gridCol w:w="1308"/>
        <w:gridCol w:w="1390"/>
        <w:gridCol w:w="1648"/>
        <w:gridCol w:w="1548"/>
        <w:gridCol w:w="1632"/>
      </w:tblGrid>
      <w:tr w:rsidR="006B343B" w:rsidRPr="006B343B" w:rsidTr="00A02D70">
        <w:trPr>
          <w:trHeight w:val="1290"/>
        </w:trPr>
        <w:tc>
          <w:tcPr>
            <w:tcW w:w="2662"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Parameters (</w:t>
            </w:r>
            <w:r w:rsidRPr="006B343B">
              <w:rPr>
                <w:rFonts w:ascii="Times New Roman" w:eastAsia="Calibri" w:hAnsi="Times New Roman" w:cs="Times New Roman"/>
                <w:b/>
                <w:color w:val="131413"/>
                <w:sz w:val="24"/>
                <w:szCs w:val="24"/>
              </w:rPr>
              <w:t>± SEM)</w:t>
            </w:r>
          </w:p>
        </w:tc>
        <w:tc>
          <w:tcPr>
            <w:tcW w:w="1308"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Control</w:t>
            </w:r>
          </w:p>
        </w:tc>
        <w:tc>
          <w:tcPr>
            <w:tcW w:w="1390"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taxifolin ruthenium-p-cymene (400 mg/kg)</w:t>
            </w:r>
          </w:p>
        </w:tc>
        <w:tc>
          <w:tcPr>
            <w:tcW w:w="1648"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taxifolin ruthenium-p-cymene (200 mg/kg)</w:t>
            </w:r>
          </w:p>
        </w:tc>
        <w:tc>
          <w:tcPr>
            <w:tcW w:w="1548"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taxifolin ruthenium-p-cymene (100 mg/kg)</w:t>
            </w:r>
          </w:p>
        </w:tc>
        <w:tc>
          <w:tcPr>
            <w:tcW w:w="1632"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taxifolin ruthenium-p-cymene (50 mg/kg)</w:t>
            </w:r>
          </w:p>
        </w:tc>
      </w:tr>
      <w:tr w:rsidR="006B343B" w:rsidRPr="006B343B" w:rsidTr="00A02D70">
        <w:trPr>
          <w:trHeight w:val="382"/>
        </w:trPr>
        <w:tc>
          <w:tcPr>
            <w:tcW w:w="2662"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Aspartate aminotransferase (AST)</w:t>
            </w:r>
          </w:p>
        </w:tc>
        <w:tc>
          <w:tcPr>
            <w:tcW w:w="1308"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39.18</w:t>
            </w:r>
            <w:r w:rsidRPr="006B343B">
              <w:rPr>
                <w:rFonts w:ascii="Times New Roman" w:eastAsia="Calibri" w:hAnsi="Times New Roman" w:cs="Times New Roman"/>
                <w:color w:val="131413"/>
                <w:sz w:val="24"/>
                <w:szCs w:val="24"/>
              </w:rPr>
              <w:t>±0.12</w:t>
            </w:r>
          </w:p>
        </w:tc>
        <w:tc>
          <w:tcPr>
            <w:tcW w:w="1390"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vertAlign w:val="superscript"/>
              </w:rPr>
            </w:pPr>
            <w:r w:rsidRPr="006B343B">
              <w:rPr>
                <w:rFonts w:ascii="Times New Roman" w:eastAsia="Calibri" w:hAnsi="Times New Roman" w:cs="Times New Roman"/>
                <w:sz w:val="24"/>
                <w:szCs w:val="24"/>
              </w:rPr>
              <w:t>50.02</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w:t>
            </w:r>
          </w:p>
        </w:tc>
        <w:tc>
          <w:tcPr>
            <w:tcW w:w="1648"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41.05</w:t>
            </w:r>
            <w:r w:rsidRPr="006B343B">
              <w:rPr>
                <w:rFonts w:ascii="Times New Roman" w:eastAsia="Calibri" w:hAnsi="Times New Roman" w:cs="Times New Roman"/>
                <w:color w:val="131413"/>
                <w:sz w:val="24"/>
                <w:szCs w:val="24"/>
              </w:rPr>
              <w:t>±0.01</w:t>
            </w:r>
            <w:r w:rsidRPr="006B343B">
              <w:rPr>
                <w:rFonts w:ascii="Times New Roman" w:eastAsia="Calibri" w:hAnsi="Times New Roman" w:cs="Times New Roman"/>
                <w:color w:val="131413"/>
                <w:sz w:val="24"/>
                <w:szCs w:val="24"/>
                <w:vertAlign w:val="superscript"/>
              </w:rPr>
              <w:t>*#</w:t>
            </w:r>
          </w:p>
        </w:tc>
        <w:tc>
          <w:tcPr>
            <w:tcW w:w="1548"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35.37</w:t>
            </w:r>
            <w:r w:rsidRPr="006B343B">
              <w:rPr>
                <w:rFonts w:ascii="Times New Roman" w:eastAsia="Calibri" w:hAnsi="Times New Roman" w:cs="Times New Roman"/>
                <w:color w:val="131413"/>
                <w:sz w:val="24"/>
                <w:szCs w:val="24"/>
              </w:rPr>
              <w:t>±0.07</w:t>
            </w:r>
            <w:r w:rsidRPr="006B343B">
              <w:rPr>
                <w:rFonts w:ascii="Times New Roman" w:eastAsia="Calibri" w:hAnsi="Times New Roman" w:cs="Times New Roman"/>
                <w:color w:val="131413"/>
                <w:sz w:val="24"/>
                <w:szCs w:val="24"/>
                <w:vertAlign w:val="superscript"/>
              </w:rPr>
              <w:t>*#$</w:t>
            </w:r>
          </w:p>
        </w:tc>
        <w:tc>
          <w:tcPr>
            <w:tcW w:w="1632"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32.16</w:t>
            </w:r>
            <w:r w:rsidRPr="006B343B">
              <w:rPr>
                <w:rFonts w:ascii="Times New Roman" w:eastAsia="Calibri" w:hAnsi="Times New Roman" w:cs="Times New Roman"/>
                <w:color w:val="131413"/>
                <w:sz w:val="24"/>
                <w:szCs w:val="24"/>
              </w:rPr>
              <w:t>±0.04</w:t>
            </w:r>
            <w:r w:rsidRPr="006B343B">
              <w:rPr>
                <w:rFonts w:ascii="Times New Roman" w:eastAsia="Calibri" w:hAnsi="Times New Roman" w:cs="Times New Roman"/>
                <w:color w:val="131413"/>
                <w:sz w:val="24"/>
                <w:szCs w:val="24"/>
                <w:vertAlign w:val="superscript"/>
              </w:rPr>
              <w:t>*#$α</w:t>
            </w:r>
          </w:p>
        </w:tc>
      </w:tr>
      <w:tr w:rsidR="006B343B" w:rsidRPr="006B343B" w:rsidTr="00A02D70">
        <w:trPr>
          <w:trHeight w:val="312"/>
        </w:trPr>
        <w:tc>
          <w:tcPr>
            <w:tcW w:w="266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Alanine aminotransferase (ALT)</w:t>
            </w:r>
          </w:p>
        </w:tc>
        <w:tc>
          <w:tcPr>
            <w:tcW w:w="130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31.27</w:t>
            </w:r>
            <w:r w:rsidRPr="006B343B">
              <w:rPr>
                <w:rFonts w:ascii="Times New Roman" w:eastAsia="Calibri" w:hAnsi="Times New Roman" w:cs="Times New Roman"/>
                <w:color w:val="131413"/>
                <w:sz w:val="24"/>
                <w:szCs w:val="24"/>
              </w:rPr>
              <w:t>±0.03</w:t>
            </w:r>
          </w:p>
        </w:tc>
        <w:tc>
          <w:tcPr>
            <w:tcW w:w="139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vertAlign w:val="superscript"/>
              </w:rPr>
            </w:pPr>
            <w:r w:rsidRPr="006B343B">
              <w:rPr>
                <w:rFonts w:ascii="Times New Roman" w:eastAsia="Calibri" w:hAnsi="Times New Roman" w:cs="Times New Roman"/>
                <w:sz w:val="24"/>
                <w:szCs w:val="24"/>
              </w:rPr>
              <w:t>52.01</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w:t>
            </w:r>
          </w:p>
        </w:tc>
        <w:tc>
          <w:tcPr>
            <w:tcW w:w="164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44.57</w:t>
            </w:r>
            <w:r w:rsidRPr="006B343B">
              <w:rPr>
                <w:rFonts w:ascii="Times New Roman" w:eastAsia="Calibri" w:hAnsi="Times New Roman" w:cs="Times New Roman"/>
                <w:color w:val="131413"/>
                <w:sz w:val="24"/>
                <w:szCs w:val="24"/>
              </w:rPr>
              <w:t>±0.01</w:t>
            </w:r>
            <w:r w:rsidRPr="006B343B">
              <w:rPr>
                <w:rFonts w:ascii="Times New Roman" w:eastAsia="Calibri" w:hAnsi="Times New Roman" w:cs="Times New Roman"/>
                <w:color w:val="131413"/>
                <w:sz w:val="24"/>
                <w:szCs w:val="24"/>
                <w:vertAlign w:val="superscript"/>
              </w:rPr>
              <w:t>*#</w:t>
            </w:r>
          </w:p>
        </w:tc>
        <w:tc>
          <w:tcPr>
            <w:tcW w:w="154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37.44</w:t>
            </w:r>
            <w:r w:rsidRPr="006B343B">
              <w:rPr>
                <w:rFonts w:ascii="Times New Roman" w:eastAsia="Calibri" w:hAnsi="Times New Roman" w:cs="Times New Roman"/>
                <w:color w:val="131413"/>
                <w:sz w:val="24"/>
                <w:szCs w:val="24"/>
              </w:rPr>
              <w:t>±0.07</w:t>
            </w:r>
            <w:r w:rsidRPr="006B343B">
              <w:rPr>
                <w:rFonts w:ascii="Times New Roman" w:eastAsia="Calibri" w:hAnsi="Times New Roman" w:cs="Times New Roman"/>
                <w:color w:val="131413"/>
                <w:sz w:val="24"/>
                <w:szCs w:val="24"/>
                <w:vertAlign w:val="superscript"/>
              </w:rPr>
              <w:t>*#$</w:t>
            </w:r>
          </w:p>
        </w:tc>
        <w:tc>
          <w:tcPr>
            <w:tcW w:w="163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34.13</w:t>
            </w:r>
            <w:r w:rsidRPr="006B343B">
              <w:rPr>
                <w:rFonts w:ascii="Times New Roman" w:eastAsia="Calibri" w:hAnsi="Times New Roman" w:cs="Times New Roman"/>
                <w:color w:val="131413"/>
                <w:sz w:val="24"/>
                <w:szCs w:val="24"/>
              </w:rPr>
              <w:t>±0.03</w:t>
            </w:r>
            <w:r w:rsidRPr="006B343B">
              <w:rPr>
                <w:rFonts w:ascii="Times New Roman" w:eastAsia="Calibri" w:hAnsi="Times New Roman" w:cs="Times New Roman"/>
                <w:color w:val="131413"/>
                <w:sz w:val="24"/>
                <w:szCs w:val="24"/>
                <w:vertAlign w:val="superscript"/>
              </w:rPr>
              <w:t>*#$α</w:t>
            </w:r>
          </w:p>
        </w:tc>
      </w:tr>
      <w:tr w:rsidR="006B343B" w:rsidRPr="006B343B" w:rsidTr="00A02D70">
        <w:trPr>
          <w:trHeight w:val="312"/>
        </w:trPr>
        <w:tc>
          <w:tcPr>
            <w:tcW w:w="266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Alkaline phosphatase (ALP)</w:t>
            </w:r>
          </w:p>
        </w:tc>
        <w:tc>
          <w:tcPr>
            <w:tcW w:w="130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355.4</w:t>
            </w:r>
            <w:r w:rsidRPr="006B343B">
              <w:rPr>
                <w:rFonts w:ascii="Times New Roman" w:eastAsia="Calibri" w:hAnsi="Times New Roman" w:cs="Times New Roman"/>
                <w:color w:val="131413"/>
                <w:sz w:val="24"/>
                <w:szCs w:val="24"/>
              </w:rPr>
              <w:t>±0.13</w:t>
            </w:r>
          </w:p>
        </w:tc>
        <w:tc>
          <w:tcPr>
            <w:tcW w:w="139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vertAlign w:val="superscript"/>
              </w:rPr>
            </w:pPr>
            <w:r w:rsidRPr="006B343B">
              <w:rPr>
                <w:rFonts w:ascii="Times New Roman" w:eastAsia="Calibri" w:hAnsi="Times New Roman" w:cs="Times New Roman"/>
                <w:sz w:val="24"/>
                <w:szCs w:val="24"/>
              </w:rPr>
              <w:t>496</w:t>
            </w:r>
            <w:r w:rsidRPr="006B343B">
              <w:rPr>
                <w:rFonts w:ascii="Times New Roman" w:eastAsia="Calibri" w:hAnsi="Times New Roman" w:cs="Times New Roman"/>
                <w:color w:val="131413"/>
                <w:sz w:val="24"/>
                <w:szCs w:val="24"/>
              </w:rPr>
              <w:t>±0.06</w:t>
            </w:r>
            <w:r w:rsidRPr="006B343B">
              <w:rPr>
                <w:rFonts w:ascii="Times New Roman" w:eastAsia="Calibri" w:hAnsi="Times New Roman" w:cs="Times New Roman"/>
                <w:color w:val="131413"/>
                <w:sz w:val="24"/>
                <w:szCs w:val="24"/>
                <w:vertAlign w:val="superscript"/>
              </w:rPr>
              <w:t>*</w:t>
            </w:r>
          </w:p>
        </w:tc>
        <w:tc>
          <w:tcPr>
            <w:tcW w:w="164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355.5</w:t>
            </w:r>
            <w:r w:rsidRPr="006B343B">
              <w:rPr>
                <w:rFonts w:ascii="Times New Roman" w:eastAsia="Calibri" w:hAnsi="Times New Roman" w:cs="Times New Roman"/>
                <w:color w:val="131413"/>
                <w:sz w:val="24"/>
                <w:szCs w:val="24"/>
              </w:rPr>
              <w:t>±0.07</w:t>
            </w:r>
            <w:r w:rsidRPr="006B343B">
              <w:rPr>
                <w:rFonts w:ascii="Times New Roman" w:eastAsia="Calibri" w:hAnsi="Times New Roman" w:cs="Times New Roman"/>
                <w:color w:val="131413"/>
                <w:sz w:val="24"/>
                <w:szCs w:val="24"/>
                <w:vertAlign w:val="superscript"/>
              </w:rPr>
              <w:t>#</w:t>
            </w:r>
          </w:p>
        </w:tc>
        <w:tc>
          <w:tcPr>
            <w:tcW w:w="154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366.4</w:t>
            </w:r>
            <w:r w:rsidRPr="006B343B">
              <w:rPr>
                <w:rFonts w:ascii="Times New Roman" w:eastAsia="Calibri" w:hAnsi="Times New Roman" w:cs="Times New Roman"/>
                <w:color w:val="131413"/>
                <w:sz w:val="24"/>
                <w:szCs w:val="24"/>
              </w:rPr>
              <w:t>±0.26</w:t>
            </w:r>
            <w:r w:rsidRPr="006B343B">
              <w:rPr>
                <w:rFonts w:ascii="Times New Roman" w:eastAsia="Calibri" w:hAnsi="Times New Roman" w:cs="Times New Roman"/>
                <w:color w:val="131413"/>
                <w:sz w:val="24"/>
                <w:szCs w:val="24"/>
                <w:vertAlign w:val="superscript"/>
              </w:rPr>
              <w:t>*#$</w:t>
            </w:r>
          </w:p>
        </w:tc>
        <w:tc>
          <w:tcPr>
            <w:tcW w:w="163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223.3</w:t>
            </w:r>
            <w:r w:rsidRPr="006B343B">
              <w:rPr>
                <w:rFonts w:ascii="Times New Roman" w:eastAsia="Calibri" w:hAnsi="Times New Roman" w:cs="Times New Roman"/>
                <w:color w:val="131413"/>
                <w:sz w:val="24"/>
                <w:szCs w:val="24"/>
              </w:rPr>
              <w:t>±0.06</w:t>
            </w:r>
            <w:r w:rsidRPr="006B343B">
              <w:rPr>
                <w:rFonts w:ascii="Times New Roman" w:eastAsia="Calibri" w:hAnsi="Times New Roman" w:cs="Times New Roman"/>
                <w:color w:val="131413"/>
                <w:sz w:val="24"/>
                <w:szCs w:val="24"/>
                <w:vertAlign w:val="superscript"/>
              </w:rPr>
              <w:t>*#$α</w:t>
            </w:r>
          </w:p>
        </w:tc>
      </w:tr>
      <w:tr w:rsidR="006B343B" w:rsidRPr="006B343B" w:rsidTr="00A02D70">
        <w:trPr>
          <w:trHeight w:val="312"/>
        </w:trPr>
        <w:tc>
          <w:tcPr>
            <w:tcW w:w="266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Blood urea nitrogen (mg/dl)</w:t>
            </w:r>
          </w:p>
        </w:tc>
        <w:tc>
          <w:tcPr>
            <w:tcW w:w="130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17.11</w:t>
            </w:r>
            <w:r w:rsidRPr="006B343B">
              <w:rPr>
                <w:rFonts w:ascii="Times New Roman" w:eastAsia="Calibri" w:hAnsi="Times New Roman" w:cs="Times New Roman"/>
                <w:color w:val="131413"/>
                <w:sz w:val="24"/>
                <w:szCs w:val="24"/>
              </w:rPr>
              <w:t>±0.02</w:t>
            </w:r>
          </w:p>
        </w:tc>
        <w:tc>
          <w:tcPr>
            <w:tcW w:w="139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vertAlign w:val="superscript"/>
              </w:rPr>
            </w:pPr>
            <w:r w:rsidRPr="006B343B">
              <w:rPr>
                <w:rFonts w:ascii="Times New Roman" w:eastAsia="Calibri" w:hAnsi="Times New Roman" w:cs="Times New Roman"/>
                <w:sz w:val="24"/>
                <w:szCs w:val="24"/>
              </w:rPr>
              <w:t>30.22</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w:t>
            </w:r>
          </w:p>
        </w:tc>
        <w:tc>
          <w:tcPr>
            <w:tcW w:w="164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28.46</w:t>
            </w:r>
            <w:r w:rsidRPr="006B343B">
              <w:rPr>
                <w:rFonts w:ascii="Times New Roman" w:eastAsia="Calibri" w:hAnsi="Times New Roman" w:cs="Times New Roman"/>
                <w:color w:val="131413"/>
                <w:sz w:val="24"/>
                <w:szCs w:val="24"/>
              </w:rPr>
              <w:t>±0.09</w:t>
            </w:r>
            <w:r w:rsidRPr="006B343B">
              <w:rPr>
                <w:rFonts w:ascii="Times New Roman" w:eastAsia="Calibri" w:hAnsi="Times New Roman" w:cs="Times New Roman"/>
                <w:color w:val="131413"/>
                <w:sz w:val="24"/>
                <w:szCs w:val="24"/>
                <w:vertAlign w:val="superscript"/>
              </w:rPr>
              <w:t>*#</w:t>
            </w:r>
          </w:p>
        </w:tc>
        <w:tc>
          <w:tcPr>
            <w:tcW w:w="154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18.46</w:t>
            </w:r>
            <w:r w:rsidRPr="006B343B">
              <w:rPr>
                <w:rFonts w:ascii="Times New Roman" w:eastAsia="Calibri" w:hAnsi="Times New Roman" w:cs="Times New Roman"/>
                <w:color w:val="131413"/>
                <w:sz w:val="24"/>
                <w:szCs w:val="24"/>
              </w:rPr>
              <w:t>±0.01</w:t>
            </w:r>
            <w:r w:rsidRPr="006B343B">
              <w:rPr>
                <w:rFonts w:ascii="Times New Roman" w:eastAsia="Calibri" w:hAnsi="Times New Roman" w:cs="Times New Roman"/>
                <w:color w:val="131413"/>
                <w:sz w:val="24"/>
                <w:szCs w:val="24"/>
                <w:vertAlign w:val="superscript"/>
              </w:rPr>
              <w:t>#$</w:t>
            </w:r>
          </w:p>
        </w:tc>
        <w:tc>
          <w:tcPr>
            <w:tcW w:w="163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17.10</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w:t>
            </w:r>
          </w:p>
        </w:tc>
      </w:tr>
      <w:tr w:rsidR="006B343B" w:rsidRPr="006B343B" w:rsidTr="00A02D70">
        <w:trPr>
          <w:trHeight w:val="332"/>
        </w:trPr>
        <w:tc>
          <w:tcPr>
            <w:tcW w:w="266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Creatinine (mg/dl)</w:t>
            </w:r>
          </w:p>
        </w:tc>
        <w:tc>
          <w:tcPr>
            <w:tcW w:w="130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0.63</w:t>
            </w:r>
            <w:r w:rsidRPr="006B343B">
              <w:rPr>
                <w:rFonts w:ascii="Times New Roman" w:eastAsia="Calibri" w:hAnsi="Times New Roman" w:cs="Times New Roman"/>
                <w:color w:val="131413"/>
                <w:sz w:val="24"/>
                <w:szCs w:val="24"/>
              </w:rPr>
              <w:t>±0.0</w:t>
            </w:r>
          </w:p>
        </w:tc>
        <w:tc>
          <w:tcPr>
            <w:tcW w:w="139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0.64</w:t>
            </w:r>
            <w:r w:rsidRPr="006B343B">
              <w:rPr>
                <w:rFonts w:ascii="Times New Roman" w:eastAsia="Calibri" w:hAnsi="Times New Roman" w:cs="Times New Roman"/>
                <w:color w:val="131413"/>
                <w:sz w:val="24"/>
                <w:szCs w:val="24"/>
              </w:rPr>
              <w:t>±0.002</w:t>
            </w:r>
          </w:p>
        </w:tc>
        <w:tc>
          <w:tcPr>
            <w:tcW w:w="164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0.63</w:t>
            </w:r>
            <w:r w:rsidRPr="006B343B">
              <w:rPr>
                <w:rFonts w:ascii="Times New Roman" w:eastAsia="Calibri" w:hAnsi="Times New Roman" w:cs="Times New Roman"/>
                <w:color w:val="131413"/>
                <w:sz w:val="24"/>
                <w:szCs w:val="24"/>
              </w:rPr>
              <w:t>±0.002</w:t>
            </w:r>
          </w:p>
        </w:tc>
        <w:tc>
          <w:tcPr>
            <w:tcW w:w="154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0.54</w:t>
            </w:r>
            <w:r w:rsidRPr="006B343B">
              <w:rPr>
                <w:rFonts w:ascii="Times New Roman" w:eastAsia="Calibri" w:hAnsi="Times New Roman" w:cs="Times New Roman"/>
                <w:color w:val="131413"/>
                <w:sz w:val="24"/>
                <w:szCs w:val="24"/>
              </w:rPr>
              <w:t>±0.0</w:t>
            </w:r>
          </w:p>
        </w:tc>
        <w:tc>
          <w:tcPr>
            <w:tcW w:w="163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0.56</w:t>
            </w:r>
            <w:r w:rsidRPr="006B343B">
              <w:rPr>
                <w:rFonts w:ascii="Times New Roman" w:eastAsia="Calibri" w:hAnsi="Times New Roman" w:cs="Times New Roman"/>
                <w:color w:val="131413"/>
                <w:sz w:val="24"/>
                <w:szCs w:val="24"/>
              </w:rPr>
              <w:t>±0.002</w:t>
            </w:r>
          </w:p>
        </w:tc>
      </w:tr>
      <w:tr w:rsidR="006B343B" w:rsidRPr="006B343B" w:rsidTr="00A02D70">
        <w:trPr>
          <w:trHeight w:val="312"/>
        </w:trPr>
        <w:tc>
          <w:tcPr>
            <w:tcW w:w="266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Glucose (mg/dl)</w:t>
            </w:r>
          </w:p>
        </w:tc>
        <w:tc>
          <w:tcPr>
            <w:tcW w:w="130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114.9</w:t>
            </w:r>
            <w:r w:rsidRPr="006B343B">
              <w:rPr>
                <w:rFonts w:ascii="Times New Roman" w:eastAsia="Calibri" w:hAnsi="Times New Roman" w:cs="Times New Roman"/>
                <w:color w:val="131413"/>
                <w:sz w:val="24"/>
                <w:szCs w:val="24"/>
              </w:rPr>
              <w:t>±0.13</w:t>
            </w:r>
          </w:p>
        </w:tc>
        <w:tc>
          <w:tcPr>
            <w:tcW w:w="139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vertAlign w:val="superscript"/>
              </w:rPr>
            </w:pPr>
            <w:r w:rsidRPr="006B343B">
              <w:rPr>
                <w:rFonts w:ascii="Times New Roman" w:eastAsia="Calibri" w:hAnsi="Times New Roman" w:cs="Times New Roman"/>
                <w:sz w:val="24"/>
                <w:szCs w:val="24"/>
              </w:rPr>
              <w:t>130.9</w:t>
            </w:r>
            <w:r w:rsidRPr="006B343B">
              <w:rPr>
                <w:rFonts w:ascii="Times New Roman" w:eastAsia="Calibri" w:hAnsi="Times New Roman" w:cs="Times New Roman"/>
                <w:color w:val="131413"/>
                <w:sz w:val="24"/>
                <w:szCs w:val="24"/>
              </w:rPr>
              <w:t>±0.10</w:t>
            </w:r>
            <w:r w:rsidRPr="006B343B">
              <w:rPr>
                <w:rFonts w:ascii="Times New Roman" w:eastAsia="Calibri" w:hAnsi="Times New Roman" w:cs="Times New Roman"/>
                <w:color w:val="131413"/>
                <w:sz w:val="24"/>
                <w:szCs w:val="24"/>
                <w:vertAlign w:val="superscript"/>
              </w:rPr>
              <w:t>*</w:t>
            </w:r>
          </w:p>
        </w:tc>
        <w:tc>
          <w:tcPr>
            <w:tcW w:w="164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116.7.7</w:t>
            </w:r>
            <w:r w:rsidRPr="006B343B">
              <w:rPr>
                <w:rFonts w:ascii="Times New Roman" w:eastAsia="Calibri" w:hAnsi="Times New Roman" w:cs="Times New Roman"/>
                <w:color w:val="131413"/>
                <w:sz w:val="24"/>
                <w:szCs w:val="24"/>
              </w:rPr>
              <w:t>±0.23</w:t>
            </w:r>
            <w:r w:rsidRPr="006B343B">
              <w:rPr>
                <w:rFonts w:ascii="Times New Roman" w:eastAsia="Calibri" w:hAnsi="Times New Roman" w:cs="Times New Roman"/>
                <w:color w:val="131413"/>
                <w:sz w:val="24"/>
                <w:szCs w:val="24"/>
                <w:vertAlign w:val="superscript"/>
              </w:rPr>
              <w:t>*#</w:t>
            </w:r>
          </w:p>
        </w:tc>
        <w:tc>
          <w:tcPr>
            <w:tcW w:w="1548"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111.7</w:t>
            </w:r>
            <w:r w:rsidRPr="006B343B">
              <w:rPr>
                <w:rFonts w:ascii="Times New Roman" w:eastAsia="Calibri" w:hAnsi="Times New Roman" w:cs="Times New Roman"/>
                <w:color w:val="131413"/>
                <w:sz w:val="24"/>
                <w:szCs w:val="24"/>
              </w:rPr>
              <w:t>±0.23</w:t>
            </w:r>
            <w:r w:rsidRPr="006B343B">
              <w:rPr>
                <w:rFonts w:ascii="Times New Roman" w:eastAsia="Calibri" w:hAnsi="Times New Roman" w:cs="Times New Roman"/>
                <w:color w:val="131413"/>
                <w:sz w:val="24"/>
                <w:szCs w:val="24"/>
                <w:vertAlign w:val="superscript"/>
              </w:rPr>
              <w:t>*#$</w:t>
            </w:r>
          </w:p>
        </w:tc>
        <w:tc>
          <w:tcPr>
            <w:tcW w:w="1632"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104.2</w:t>
            </w:r>
            <w:r w:rsidRPr="006B343B">
              <w:rPr>
                <w:rFonts w:ascii="Times New Roman" w:eastAsia="Calibri" w:hAnsi="Times New Roman" w:cs="Times New Roman"/>
                <w:color w:val="131413"/>
                <w:sz w:val="24"/>
                <w:szCs w:val="24"/>
              </w:rPr>
              <w:t>±0.06</w:t>
            </w:r>
            <w:r w:rsidRPr="006B343B">
              <w:rPr>
                <w:rFonts w:ascii="Times New Roman" w:eastAsia="Calibri" w:hAnsi="Times New Roman" w:cs="Times New Roman"/>
                <w:color w:val="131413"/>
                <w:sz w:val="24"/>
                <w:szCs w:val="24"/>
                <w:vertAlign w:val="superscript"/>
              </w:rPr>
              <w:t>*#$α</w:t>
            </w:r>
          </w:p>
        </w:tc>
      </w:tr>
      <w:tr w:rsidR="006B343B" w:rsidRPr="006B343B" w:rsidTr="00A02D70">
        <w:trPr>
          <w:trHeight w:val="312"/>
        </w:trPr>
        <w:tc>
          <w:tcPr>
            <w:tcW w:w="2662"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Cholesterol(mg/dl)</w:t>
            </w:r>
          </w:p>
        </w:tc>
        <w:tc>
          <w:tcPr>
            <w:tcW w:w="1308"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47.15</w:t>
            </w:r>
            <w:r w:rsidRPr="006B343B">
              <w:rPr>
                <w:rFonts w:ascii="Times New Roman" w:eastAsia="Calibri" w:hAnsi="Times New Roman" w:cs="Times New Roman"/>
                <w:color w:val="131413"/>
                <w:sz w:val="24"/>
                <w:szCs w:val="24"/>
              </w:rPr>
              <w:t>±0.02</w:t>
            </w:r>
          </w:p>
        </w:tc>
        <w:tc>
          <w:tcPr>
            <w:tcW w:w="1390"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52.08</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w:t>
            </w:r>
          </w:p>
        </w:tc>
        <w:tc>
          <w:tcPr>
            <w:tcW w:w="1648"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47.1</w:t>
            </w:r>
            <w:bookmarkStart w:id="1" w:name="OLE_LINK1"/>
            <w:r w:rsidRPr="006B343B">
              <w:rPr>
                <w:rFonts w:ascii="Times New Roman" w:eastAsia="Calibri" w:hAnsi="Times New Roman" w:cs="Times New Roman"/>
                <w:sz w:val="24"/>
                <w:szCs w:val="24"/>
              </w:rPr>
              <w:t>6</w:t>
            </w:r>
            <w:r w:rsidRPr="006B343B">
              <w:rPr>
                <w:rFonts w:ascii="Times New Roman" w:eastAsia="Calibri" w:hAnsi="Times New Roman" w:cs="Times New Roman"/>
                <w:color w:val="131413"/>
                <w:sz w:val="24"/>
                <w:szCs w:val="24"/>
              </w:rPr>
              <w:t>±</w:t>
            </w:r>
            <w:bookmarkEnd w:id="1"/>
            <w:r w:rsidRPr="006B343B">
              <w:rPr>
                <w:rFonts w:ascii="Times New Roman" w:eastAsia="Calibri" w:hAnsi="Times New Roman" w:cs="Times New Roman"/>
                <w:color w:val="131413"/>
                <w:sz w:val="24"/>
                <w:szCs w:val="24"/>
              </w:rPr>
              <w:t>0.03</w:t>
            </w:r>
            <w:r w:rsidRPr="006B343B">
              <w:rPr>
                <w:rFonts w:ascii="Times New Roman" w:eastAsia="Calibri" w:hAnsi="Times New Roman" w:cs="Times New Roman"/>
                <w:color w:val="131413"/>
                <w:sz w:val="24"/>
                <w:szCs w:val="24"/>
                <w:vertAlign w:val="superscript"/>
              </w:rPr>
              <w:t>#</w:t>
            </w:r>
          </w:p>
        </w:tc>
        <w:tc>
          <w:tcPr>
            <w:tcW w:w="1548"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45.14</w:t>
            </w:r>
            <w:r w:rsidRPr="006B343B">
              <w:rPr>
                <w:rFonts w:ascii="Times New Roman" w:eastAsia="Calibri" w:hAnsi="Times New Roman" w:cs="Times New Roman"/>
                <w:color w:val="131413"/>
                <w:sz w:val="24"/>
                <w:szCs w:val="24"/>
              </w:rPr>
              <w:t>±0.03</w:t>
            </w:r>
            <w:r w:rsidRPr="006B343B">
              <w:rPr>
                <w:rFonts w:ascii="Times New Roman" w:eastAsia="Calibri" w:hAnsi="Times New Roman" w:cs="Times New Roman"/>
                <w:color w:val="131413"/>
                <w:sz w:val="24"/>
                <w:szCs w:val="24"/>
                <w:vertAlign w:val="superscript"/>
              </w:rPr>
              <w:t>*#$</w:t>
            </w:r>
          </w:p>
        </w:tc>
        <w:tc>
          <w:tcPr>
            <w:tcW w:w="1632"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43.15</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*#$α</w:t>
            </w:r>
          </w:p>
        </w:tc>
      </w:tr>
    </w:tbl>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p>
    <w:p w:rsidR="006B343B" w:rsidRPr="006B343B" w:rsidRDefault="006B343B" w:rsidP="006B343B">
      <w:pPr>
        <w:spacing w:after="100" w:afterAutospacing="1"/>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Standard error of mean= standard deviation (SD)/√ Total subject. Result are analyzed by one-way ANOVA and confirmed by Tukey’s multiple comparison test.</w:t>
      </w:r>
    </w:p>
    <w:p w:rsidR="006B343B" w:rsidRPr="006B343B" w:rsidRDefault="006B343B" w:rsidP="006B343B">
      <w:pPr>
        <w:spacing w:after="100" w:afterAutospacing="1"/>
        <w:jc w:val="both"/>
        <w:rPr>
          <w:rFonts w:ascii="Times New Roman" w:eastAsia="Calibri" w:hAnsi="Times New Roman" w:cs="Times New Roman"/>
          <w:sz w:val="24"/>
          <w:szCs w:val="24"/>
        </w:rPr>
      </w:pPr>
      <w:r w:rsidRPr="006B343B">
        <w:rPr>
          <w:rFonts w:ascii="Times New Roman" w:eastAsia="Calibri" w:hAnsi="Times New Roman" w:cs="Times New Roman"/>
          <w:sz w:val="24"/>
          <w:szCs w:val="24"/>
          <w:vertAlign w:val="superscript"/>
        </w:rPr>
        <w:t>*</w:t>
      </w:r>
      <w:r w:rsidRPr="006B343B">
        <w:rPr>
          <w:rFonts w:ascii="Times New Roman" w:eastAsia="Calibri" w:hAnsi="Times New Roman" w:cs="Times New Roman"/>
          <w:sz w:val="24"/>
          <w:szCs w:val="24"/>
        </w:rPr>
        <w:t xml:space="preserve"> Significant difference at p&lt;0.05, when compared with control group.</w:t>
      </w:r>
    </w:p>
    <w:p w:rsidR="006B343B" w:rsidRPr="006B343B" w:rsidRDefault="006B343B" w:rsidP="006B343B">
      <w:pPr>
        <w:spacing w:after="100" w:afterAutospacing="1"/>
        <w:jc w:val="both"/>
        <w:rPr>
          <w:rFonts w:ascii="Times New Roman" w:eastAsia="Calibri" w:hAnsi="Times New Roman" w:cs="Times New Roman"/>
          <w:sz w:val="24"/>
          <w:szCs w:val="24"/>
        </w:rPr>
      </w:pPr>
      <w:r w:rsidRPr="006B343B">
        <w:rPr>
          <w:rFonts w:ascii="Times New Roman" w:eastAsia="Calibri" w:hAnsi="Times New Roman" w:cs="Times New Roman"/>
          <w:sz w:val="24"/>
          <w:szCs w:val="24"/>
          <w:vertAlign w:val="superscript"/>
        </w:rPr>
        <w:t xml:space="preserve"># </w:t>
      </w:r>
      <w:r w:rsidRPr="006B343B">
        <w:rPr>
          <w:rFonts w:ascii="Times New Roman" w:eastAsia="Calibri" w:hAnsi="Times New Roman" w:cs="Times New Roman"/>
          <w:sz w:val="24"/>
          <w:szCs w:val="24"/>
        </w:rPr>
        <w:t>Significant difference at p&lt;0.05, when compared with 400 mg/kg group.</w:t>
      </w:r>
    </w:p>
    <w:p w:rsidR="006B343B" w:rsidRPr="006B343B" w:rsidRDefault="006B343B" w:rsidP="006B343B">
      <w:pPr>
        <w:spacing w:after="100" w:afterAutospacing="1"/>
        <w:jc w:val="both"/>
        <w:rPr>
          <w:rFonts w:ascii="Times New Roman" w:eastAsia="Calibri" w:hAnsi="Times New Roman" w:cs="Times New Roman"/>
          <w:sz w:val="24"/>
          <w:szCs w:val="24"/>
        </w:rPr>
      </w:pPr>
      <w:r w:rsidRPr="006B343B">
        <w:rPr>
          <w:rFonts w:ascii="Times New Roman" w:eastAsia="Calibri" w:hAnsi="Times New Roman" w:cs="Times New Roman"/>
          <w:sz w:val="24"/>
          <w:szCs w:val="24"/>
          <w:vertAlign w:val="superscript"/>
        </w:rPr>
        <w:t>$</w:t>
      </w:r>
      <w:r w:rsidRPr="006B343B">
        <w:rPr>
          <w:rFonts w:ascii="Times New Roman" w:eastAsia="Calibri" w:hAnsi="Times New Roman" w:cs="Times New Roman"/>
          <w:sz w:val="24"/>
          <w:szCs w:val="24"/>
        </w:rPr>
        <w:t xml:space="preserve"> Significant difference at p&lt;0.05, when compared with 200 mg/kg group.</w:t>
      </w:r>
    </w:p>
    <w:p w:rsidR="006B343B" w:rsidRPr="006B343B" w:rsidRDefault="006B343B" w:rsidP="006B343B">
      <w:pPr>
        <w:spacing w:after="100" w:afterAutospacing="1"/>
        <w:jc w:val="both"/>
        <w:rPr>
          <w:rFonts w:ascii="Times New Roman" w:eastAsia="Calibri" w:hAnsi="Times New Roman" w:cs="Times New Roman"/>
          <w:b/>
          <w:sz w:val="24"/>
          <w:szCs w:val="24"/>
        </w:rPr>
      </w:pPr>
      <w:r w:rsidRPr="006B343B">
        <w:rPr>
          <w:rFonts w:ascii="Times New Roman" w:eastAsia="Calibri" w:hAnsi="Times New Roman" w:cs="Times New Roman"/>
          <w:sz w:val="24"/>
          <w:szCs w:val="24"/>
          <w:vertAlign w:val="superscript"/>
        </w:rPr>
        <w:t>α</w:t>
      </w:r>
      <w:r w:rsidRPr="006B343B">
        <w:rPr>
          <w:rFonts w:ascii="Times New Roman" w:eastAsia="Calibri" w:hAnsi="Times New Roman" w:cs="Times New Roman"/>
          <w:sz w:val="24"/>
          <w:szCs w:val="24"/>
        </w:rPr>
        <w:t xml:space="preserve"> Significant difference at p&lt;0.05, when compared with 100 mg/kg group.</w:t>
      </w:r>
    </w:p>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p>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p>
    <w:p w:rsidR="006B343B" w:rsidRPr="00BE2AC4" w:rsidRDefault="006B343B" w:rsidP="006B343B">
      <w:pPr>
        <w:spacing w:after="100" w:afterAutospacing="1" w:line="360" w:lineRule="auto"/>
        <w:jc w:val="center"/>
        <w:rPr>
          <w:rFonts w:ascii="Times New Roman" w:eastAsia="Calibri" w:hAnsi="Times New Roman" w:cs="Times New Roman"/>
          <w:sz w:val="24"/>
          <w:szCs w:val="24"/>
        </w:rPr>
      </w:pPr>
      <w:r w:rsidRPr="006B343B">
        <w:rPr>
          <w:rFonts w:ascii="Times New Roman" w:eastAsia="Calibri" w:hAnsi="Times New Roman" w:cs="Times New Roman"/>
          <w:b/>
          <w:sz w:val="24"/>
          <w:szCs w:val="24"/>
        </w:rPr>
        <w:lastRenderedPageBreak/>
        <w:t xml:space="preserve">Table </w:t>
      </w:r>
      <w:r>
        <w:rPr>
          <w:rFonts w:ascii="Times New Roman" w:eastAsia="Calibri" w:hAnsi="Times New Roman" w:cs="Times New Roman"/>
          <w:b/>
          <w:sz w:val="24"/>
          <w:szCs w:val="24"/>
        </w:rPr>
        <w:t>S4</w:t>
      </w:r>
      <w:r w:rsidRPr="006B343B">
        <w:rPr>
          <w:rFonts w:ascii="Times New Roman" w:eastAsia="Calibri" w:hAnsi="Times New Roman" w:cs="Times New Roman"/>
          <w:b/>
          <w:sz w:val="24"/>
          <w:szCs w:val="24"/>
        </w:rPr>
        <w:t xml:space="preserve"> </w:t>
      </w:r>
      <w:r w:rsidRPr="00BE2AC4">
        <w:rPr>
          <w:rFonts w:ascii="Times New Roman" w:eastAsia="Calibri" w:hAnsi="Times New Roman" w:cs="Times New Roman"/>
          <w:sz w:val="24"/>
          <w:szCs w:val="24"/>
        </w:rPr>
        <w:t>Serum biochemistry findings in female Swiss albino mice treated with taxifolin ruthenium-p-cymene complex for 28 days repeated-dose oral sub-acute toxicity study</w:t>
      </w:r>
    </w:p>
    <w:tbl>
      <w:tblPr>
        <w:tblW w:w="11160" w:type="dxa"/>
        <w:tblInd w:w="-882" w:type="dxa"/>
        <w:tblLayout w:type="fixed"/>
        <w:tblLook w:val="04A0"/>
      </w:tblPr>
      <w:tblGrid>
        <w:gridCol w:w="3420"/>
        <w:gridCol w:w="1440"/>
        <w:gridCol w:w="1440"/>
        <w:gridCol w:w="1530"/>
        <w:gridCol w:w="1620"/>
        <w:gridCol w:w="1710"/>
      </w:tblGrid>
      <w:tr w:rsidR="006B343B" w:rsidRPr="006B343B" w:rsidTr="00A02D70">
        <w:trPr>
          <w:trHeight w:val="1236"/>
        </w:trPr>
        <w:tc>
          <w:tcPr>
            <w:tcW w:w="3420"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Parameters (</w:t>
            </w:r>
            <w:r w:rsidRPr="006B343B">
              <w:rPr>
                <w:rFonts w:ascii="Times New Roman" w:eastAsia="Calibri" w:hAnsi="Times New Roman" w:cs="Times New Roman"/>
                <w:b/>
                <w:color w:val="131413"/>
                <w:sz w:val="24"/>
                <w:szCs w:val="24"/>
              </w:rPr>
              <w:t>± SEM)</w:t>
            </w:r>
          </w:p>
        </w:tc>
        <w:tc>
          <w:tcPr>
            <w:tcW w:w="1440"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Control</w:t>
            </w:r>
          </w:p>
        </w:tc>
        <w:tc>
          <w:tcPr>
            <w:tcW w:w="1440"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taxifolin ruthenium-p-cymene (400 mg/kg)</w:t>
            </w:r>
          </w:p>
        </w:tc>
        <w:tc>
          <w:tcPr>
            <w:tcW w:w="1530"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taxifolin ruthenium-p-cymene (200 mg/kg)</w:t>
            </w:r>
          </w:p>
        </w:tc>
        <w:tc>
          <w:tcPr>
            <w:tcW w:w="1620"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taxifolin ruthenium-p-cymene (100 mg/kg)</w:t>
            </w:r>
          </w:p>
        </w:tc>
        <w:tc>
          <w:tcPr>
            <w:tcW w:w="1710" w:type="dxa"/>
            <w:tcBorders>
              <w:top w:val="single" w:sz="4" w:space="0" w:color="auto"/>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b/>
                <w:sz w:val="24"/>
                <w:szCs w:val="24"/>
              </w:rPr>
            </w:pPr>
            <w:r w:rsidRPr="006B343B">
              <w:rPr>
                <w:rFonts w:ascii="Times New Roman" w:eastAsia="Calibri" w:hAnsi="Times New Roman" w:cs="Times New Roman"/>
                <w:b/>
                <w:sz w:val="24"/>
                <w:szCs w:val="24"/>
              </w:rPr>
              <w:t>taxifolin ruthenium-p-cymene (50 mg/kg)</w:t>
            </w:r>
          </w:p>
        </w:tc>
      </w:tr>
      <w:tr w:rsidR="006B343B" w:rsidRPr="006B343B" w:rsidTr="00A02D70">
        <w:trPr>
          <w:trHeight w:val="366"/>
        </w:trPr>
        <w:tc>
          <w:tcPr>
            <w:tcW w:w="3420"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Aspartate aminotransferase (AST)</w:t>
            </w:r>
          </w:p>
        </w:tc>
        <w:tc>
          <w:tcPr>
            <w:tcW w:w="1440"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31.25</w:t>
            </w:r>
            <w:r w:rsidRPr="006B343B">
              <w:rPr>
                <w:rFonts w:ascii="Times New Roman" w:eastAsia="Calibri" w:hAnsi="Times New Roman" w:cs="Times New Roman"/>
                <w:color w:val="131413"/>
                <w:sz w:val="24"/>
                <w:szCs w:val="24"/>
              </w:rPr>
              <w:t>±0.12</w:t>
            </w:r>
          </w:p>
        </w:tc>
        <w:tc>
          <w:tcPr>
            <w:tcW w:w="1440"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vertAlign w:val="superscript"/>
              </w:rPr>
            </w:pPr>
            <w:r w:rsidRPr="006B343B">
              <w:rPr>
                <w:rFonts w:ascii="Times New Roman" w:eastAsia="Calibri" w:hAnsi="Times New Roman" w:cs="Times New Roman"/>
                <w:sz w:val="24"/>
                <w:szCs w:val="24"/>
              </w:rPr>
              <w:t>50.03</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w:t>
            </w:r>
          </w:p>
        </w:tc>
        <w:tc>
          <w:tcPr>
            <w:tcW w:w="1530"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40.06</w:t>
            </w:r>
            <w:r w:rsidRPr="006B343B">
              <w:rPr>
                <w:rFonts w:ascii="Times New Roman" w:eastAsia="Calibri" w:hAnsi="Times New Roman" w:cs="Times New Roman"/>
                <w:color w:val="131413"/>
                <w:sz w:val="24"/>
                <w:szCs w:val="24"/>
              </w:rPr>
              <w:t>±0.01</w:t>
            </w:r>
            <w:r w:rsidRPr="006B343B">
              <w:rPr>
                <w:rFonts w:ascii="Times New Roman" w:eastAsia="Calibri" w:hAnsi="Times New Roman" w:cs="Times New Roman"/>
                <w:color w:val="131413"/>
                <w:sz w:val="24"/>
                <w:szCs w:val="24"/>
                <w:vertAlign w:val="superscript"/>
              </w:rPr>
              <w:t>*#</w:t>
            </w:r>
          </w:p>
        </w:tc>
        <w:tc>
          <w:tcPr>
            <w:tcW w:w="1620"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34.39</w:t>
            </w:r>
            <w:r w:rsidRPr="006B343B">
              <w:rPr>
                <w:rFonts w:ascii="Times New Roman" w:eastAsia="Calibri" w:hAnsi="Times New Roman" w:cs="Times New Roman"/>
                <w:color w:val="131413"/>
                <w:sz w:val="24"/>
                <w:szCs w:val="24"/>
              </w:rPr>
              <w:t>±0.07</w:t>
            </w:r>
            <w:r w:rsidRPr="006B343B">
              <w:rPr>
                <w:rFonts w:ascii="Times New Roman" w:eastAsia="Calibri" w:hAnsi="Times New Roman" w:cs="Times New Roman"/>
                <w:color w:val="131413"/>
                <w:sz w:val="24"/>
                <w:szCs w:val="24"/>
                <w:vertAlign w:val="superscript"/>
              </w:rPr>
              <w:t>*#$</w:t>
            </w:r>
          </w:p>
        </w:tc>
        <w:tc>
          <w:tcPr>
            <w:tcW w:w="1710" w:type="dxa"/>
            <w:tcBorders>
              <w:top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32.14</w:t>
            </w:r>
            <w:r w:rsidRPr="006B343B">
              <w:rPr>
                <w:rFonts w:ascii="Times New Roman" w:eastAsia="Calibri" w:hAnsi="Times New Roman" w:cs="Times New Roman"/>
                <w:color w:val="131413"/>
                <w:sz w:val="24"/>
                <w:szCs w:val="24"/>
              </w:rPr>
              <w:t>±0.04</w:t>
            </w:r>
            <w:r w:rsidRPr="006B343B">
              <w:rPr>
                <w:rFonts w:ascii="Times New Roman" w:eastAsia="Calibri" w:hAnsi="Times New Roman" w:cs="Times New Roman"/>
                <w:color w:val="131413"/>
                <w:sz w:val="24"/>
                <w:szCs w:val="24"/>
                <w:vertAlign w:val="superscript"/>
              </w:rPr>
              <w:t>#$α</w:t>
            </w:r>
          </w:p>
        </w:tc>
      </w:tr>
      <w:tr w:rsidR="006B343B" w:rsidRPr="006B343B" w:rsidTr="00A02D70">
        <w:trPr>
          <w:trHeight w:val="299"/>
        </w:trPr>
        <w:tc>
          <w:tcPr>
            <w:tcW w:w="342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Alanine aminotransferase (ALT)</w:t>
            </w:r>
          </w:p>
        </w:tc>
        <w:tc>
          <w:tcPr>
            <w:tcW w:w="144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31.29</w:t>
            </w:r>
            <w:r w:rsidRPr="006B343B">
              <w:rPr>
                <w:rFonts w:ascii="Times New Roman" w:eastAsia="Calibri" w:hAnsi="Times New Roman" w:cs="Times New Roman"/>
                <w:color w:val="131413"/>
                <w:sz w:val="24"/>
                <w:szCs w:val="24"/>
              </w:rPr>
              <w:t>±0.08</w:t>
            </w:r>
          </w:p>
        </w:tc>
        <w:tc>
          <w:tcPr>
            <w:tcW w:w="144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vertAlign w:val="superscript"/>
              </w:rPr>
            </w:pPr>
            <w:r w:rsidRPr="006B343B">
              <w:rPr>
                <w:rFonts w:ascii="Times New Roman" w:eastAsia="Calibri" w:hAnsi="Times New Roman" w:cs="Times New Roman"/>
                <w:sz w:val="24"/>
                <w:szCs w:val="24"/>
              </w:rPr>
              <w:t>50.04</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37.56</w:t>
            </w:r>
            <w:r w:rsidRPr="006B343B">
              <w:rPr>
                <w:rFonts w:ascii="Times New Roman" w:eastAsia="Calibri" w:hAnsi="Times New Roman" w:cs="Times New Roman"/>
                <w:color w:val="131413"/>
                <w:sz w:val="24"/>
                <w:szCs w:val="24"/>
              </w:rPr>
              <w:t>±0.04</w:t>
            </w:r>
            <w:r w:rsidRPr="006B343B">
              <w:rPr>
                <w:rFonts w:ascii="Times New Roman" w:eastAsia="Calibri" w:hAnsi="Times New Roman" w:cs="Times New Roman"/>
                <w:color w:val="131413"/>
                <w:sz w:val="24"/>
                <w:szCs w:val="24"/>
                <w:vertAlign w:val="superscript"/>
              </w:rPr>
              <w:t>*#</w:t>
            </w:r>
          </w:p>
        </w:tc>
        <w:tc>
          <w:tcPr>
            <w:tcW w:w="162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46.48</w:t>
            </w:r>
            <w:r w:rsidRPr="006B343B">
              <w:rPr>
                <w:rFonts w:ascii="Times New Roman" w:eastAsia="Calibri" w:hAnsi="Times New Roman" w:cs="Times New Roman"/>
                <w:color w:val="131413"/>
                <w:sz w:val="24"/>
                <w:szCs w:val="24"/>
              </w:rPr>
              <w:t>±0.07</w:t>
            </w:r>
            <w:r w:rsidRPr="006B343B">
              <w:rPr>
                <w:rFonts w:ascii="Times New Roman" w:eastAsia="Calibri" w:hAnsi="Times New Roman" w:cs="Times New Roman"/>
                <w:color w:val="131413"/>
                <w:sz w:val="24"/>
                <w:szCs w:val="24"/>
                <w:vertAlign w:val="superscript"/>
              </w:rPr>
              <w:t>*#$</w:t>
            </w:r>
          </w:p>
        </w:tc>
        <w:tc>
          <w:tcPr>
            <w:tcW w:w="171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35.08</w:t>
            </w:r>
            <w:r w:rsidRPr="006B343B">
              <w:rPr>
                <w:rFonts w:ascii="Times New Roman" w:eastAsia="Calibri" w:hAnsi="Times New Roman" w:cs="Times New Roman"/>
                <w:color w:val="131413"/>
                <w:sz w:val="24"/>
                <w:szCs w:val="24"/>
              </w:rPr>
              <w:t>±0.04</w:t>
            </w:r>
            <w:r w:rsidRPr="006B343B">
              <w:rPr>
                <w:rFonts w:ascii="Times New Roman" w:eastAsia="Calibri" w:hAnsi="Times New Roman" w:cs="Times New Roman"/>
                <w:color w:val="131413"/>
                <w:sz w:val="24"/>
                <w:szCs w:val="24"/>
                <w:vertAlign w:val="superscript"/>
              </w:rPr>
              <w:t>*#$α</w:t>
            </w:r>
          </w:p>
        </w:tc>
      </w:tr>
      <w:tr w:rsidR="006B343B" w:rsidRPr="006B343B" w:rsidTr="00A02D70">
        <w:trPr>
          <w:trHeight w:val="299"/>
        </w:trPr>
        <w:tc>
          <w:tcPr>
            <w:tcW w:w="342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Alkaline phosphatase (ALP)</w:t>
            </w:r>
          </w:p>
        </w:tc>
        <w:tc>
          <w:tcPr>
            <w:tcW w:w="144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352.4</w:t>
            </w:r>
            <w:r w:rsidRPr="006B343B">
              <w:rPr>
                <w:rFonts w:ascii="Times New Roman" w:eastAsia="Calibri" w:hAnsi="Times New Roman" w:cs="Times New Roman"/>
                <w:color w:val="131413"/>
                <w:sz w:val="24"/>
                <w:szCs w:val="24"/>
              </w:rPr>
              <w:t>±0.10</w:t>
            </w:r>
          </w:p>
        </w:tc>
        <w:tc>
          <w:tcPr>
            <w:tcW w:w="144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vertAlign w:val="superscript"/>
              </w:rPr>
            </w:pPr>
            <w:r w:rsidRPr="006B343B">
              <w:rPr>
                <w:rFonts w:ascii="Times New Roman" w:eastAsia="Calibri" w:hAnsi="Times New Roman" w:cs="Times New Roman"/>
                <w:sz w:val="24"/>
                <w:szCs w:val="24"/>
              </w:rPr>
              <w:t>401.7</w:t>
            </w:r>
            <w:r w:rsidRPr="006B343B">
              <w:rPr>
                <w:rFonts w:ascii="Times New Roman" w:eastAsia="Calibri" w:hAnsi="Times New Roman" w:cs="Times New Roman"/>
                <w:color w:val="131413"/>
                <w:sz w:val="24"/>
                <w:szCs w:val="24"/>
              </w:rPr>
              <w:t>±0.36</w:t>
            </w:r>
            <w:r w:rsidRPr="006B343B">
              <w:rPr>
                <w:rFonts w:ascii="Times New Roman" w:eastAsia="Calibri" w:hAnsi="Times New Roman" w:cs="Times New Roman"/>
                <w:color w:val="131413"/>
                <w:sz w:val="24"/>
                <w:szCs w:val="24"/>
                <w:vertAlign w:val="superscript"/>
              </w:rPr>
              <w:t>*</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383.8</w:t>
            </w:r>
            <w:r w:rsidRPr="006B343B">
              <w:rPr>
                <w:rFonts w:ascii="Times New Roman" w:eastAsia="Calibri" w:hAnsi="Times New Roman" w:cs="Times New Roman"/>
                <w:color w:val="131413"/>
                <w:sz w:val="24"/>
                <w:szCs w:val="24"/>
              </w:rPr>
              <w:t>±0.27</w:t>
            </w:r>
            <w:r w:rsidRPr="006B343B">
              <w:rPr>
                <w:rFonts w:ascii="Times New Roman" w:eastAsia="Calibri" w:hAnsi="Times New Roman" w:cs="Times New Roman"/>
                <w:color w:val="131413"/>
                <w:sz w:val="24"/>
                <w:szCs w:val="24"/>
                <w:vertAlign w:val="superscript"/>
              </w:rPr>
              <w:t>*#</w:t>
            </w:r>
          </w:p>
        </w:tc>
        <w:tc>
          <w:tcPr>
            <w:tcW w:w="162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312.3</w:t>
            </w:r>
            <w:r w:rsidRPr="006B343B">
              <w:rPr>
                <w:rFonts w:ascii="Times New Roman" w:eastAsia="Calibri" w:hAnsi="Times New Roman" w:cs="Times New Roman"/>
                <w:color w:val="131413"/>
                <w:sz w:val="24"/>
                <w:szCs w:val="24"/>
              </w:rPr>
              <w:t>±0.80</w:t>
            </w:r>
            <w:r w:rsidRPr="006B343B">
              <w:rPr>
                <w:rFonts w:ascii="Times New Roman" w:eastAsia="Calibri" w:hAnsi="Times New Roman" w:cs="Times New Roman"/>
                <w:color w:val="131413"/>
                <w:sz w:val="24"/>
                <w:szCs w:val="24"/>
                <w:vertAlign w:val="superscript"/>
              </w:rPr>
              <w:t>*#$</w:t>
            </w:r>
          </w:p>
        </w:tc>
        <w:tc>
          <w:tcPr>
            <w:tcW w:w="171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220.5</w:t>
            </w:r>
            <w:r w:rsidRPr="006B343B">
              <w:rPr>
                <w:rFonts w:ascii="Times New Roman" w:eastAsia="Calibri" w:hAnsi="Times New Roman" w:cs="Times New Roman"/>
                <w:color w:val="131413"/>
                <w:sz w:val="24"/>
                <w:szCs w:val="24"/>
              </w:rPr>
              <w:t>±0.21</w:t>
            </w:r>
            <w:r w:rsidRPr="006B343B">
              <w:rPr>
                <w:rFonts w:ascii="Times New Roman" w:eastAsia="Calibri" w:hAnsi="Times New Roman" w:cs="Times New Roman"/>
                <w:color w:val="131413"/>
                <w:sz w:val="24"/>
                <w:szCs w:val="24"/>
                <w:vertAlign w:val="superscript"/>
              </w:rPr>
              <w:t>*#$α</w:t>
            </w:r>
          </w:p>
        </w:tc>
      </w:tr>
      <w:tr w:rsidR="006B343B" w:rsidRPr="006B343B" w:rsidTr="00A02D70">
        <w:trPr>
          <w:trHeight w:val="299"/>
        </w:trPr>
        <w:tc>
          <w:tcPr>
            <w:tcW w:w="342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Blood urea nitrogen (mg/dl)</w:t>
            </w:r>
          </w:p>
        </w:tc>
        <w:tc>
          <w:tcPr>
            <w:tcW w:w="144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18.13</w:t>
            </w:r>
            <w:r w:rsidRPr="006B343B">
              <w:rPr>
                <w:rFonts w:ascii="Times New Roman" w:eastAsia="Calibri" w:hAnsi="Times New Roman" w:cs="Times New Roman"/>
                <w:color w:val="131413"/>
                <w:sz w:val="24"/>
                <w:szCs w:val="24"/>
              </w:rPr>
              <w:t>±0.03</w:t>
            </w:r>
          </w:p>
        </w:tc>
        <w:tc>
          <w:tcPr>
            <w:tcW w:w="144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vertAlign w:val="superscript"/>
              </w:rPr>
            </w:pPr>
            <w:r w:rsidRPr="006B343B">
              <w:rPr>
                <w:rFonts w:ascii="Times New Roman" w:eastAsia="Calibri" w:hAnsi="Times New Roman" w:cs="Times New Roman"/>
                <w:sz w:val="24"/>
                <w:szCs w:val="24"/>
              </w:rPr>
              <w:t>30.15</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27.56</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w:t>
            </w:r>
          </w:p>
        </w:tc>
        <w:tc>
          <w:tcPr>
            <w:tcW w:w="162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28.47</w:t>
            </w:r>
            <w:r w:rsidRPr="006B343B">
              <w:rPr>
                <w:rFonts w:ascii="Times New Roman" w:eastAsia="Calibri" w:hAnsi="Times New Roman" w:cs="Times New Roman"/>
                <w:color w:val="131413"/>
                <w:sz w:val="24"/>
                <w:szCs w:val="24"/>
              </w:rPr>
              <w:t>±0.04</w:t>
            </w:r>
            <w:r w:rsidRPr="006B343B">
              <w:rPr>
                <w:rFonts w:ascii="Times New Roman" w:eastAsia="Calibri" w:hAnsi="Times New Roman" w:cs="Times New Roman"/>
                <w:color w:val="131413"/>
                <w:sz w:val="24"/>
                <w:szCs w:val="24"/>
                <w:vertAlign w:val="superscript"/>
              </w:rPr>
              <w:t>*#</w:t>
            </w:r>
          </w:p>
        </w:tc>
        <w:tc>
          <w:tcPr>
            <w:tcW w:w="171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19.05</w:t>
            </w:r>
            <w:r w:rsidRPr="006B343B">
              <w:rPr>
                <w:rFonts w:ascii="Times New Roman" w:eastAsia="Calibri" w:hAnsi="Times New Roman" w:cs="Times New Roman"/>
                <w:color w:val="131413"/>
                <w:sz w:val="24"/>
                <w:szCs w:val="24"/>
              </w:rPr>
              <w:t>±0.02</w:t>
            </w:r>
            <w:r w:rsidRPr="006B343B">
              <w:rPr>
                <w:rFonts w:ascii="Times New Roman" w:eastAsia="Calibri" w:hAnsi="Times New Roman" w:cs="Times New Roman"/>
                <w:color w:val="131413"/>
                <w:sz w:val="24"/>
                <w:szCs w:val="24"/>
                <w:vertAlign w:val="superscript"/>
              </w:rPr>
              <w:t>*#$α</w:t>
            </w:r>
          </w:p>
        </w:tc>
      </w:tr>
      <w:tr w:rsidR="006B343B" w:rsidRPr="006B343B" w:rsidTr="00A02D70">
        <w:trPr>
          <w:trHeight w:val="318"/>
        </w:trPr>
        <w:tc>
          <w:tcPr>
            <w:tcW w:w="342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Creatinine (mg/dl)</w:t>
            </w:r>
          </w:p>
        </w:tc>
        <w:tc>
          <w:tcPr>
            <w:tcW w:w="144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0.61</w:t>
            </w:r>
            <w:r w:rsidRPr="006B343B">
              <w:rPr>
                <w:rFonts w:ascii="Times New Roman" w:eastAsia="Calibri" w:hAnsi="Times New Roman" w:cs="Times New Roman"/>
                <w:color w:val="131413"/>
                <w:sz w:val="24"/>
                <w:szCs w:val="24"/>
              </w:rPr>
              <w:t>±0.002</w:t>
            </w:r>
          </w:p>
        </w:tc>
        <w:tc>
          <w:tcPr>
            <w:tcW w:w="144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0.62</w:t>
            </w:r>
            <w:r w:rsidRPr="006B343B">
              <w:rPr>
                <w:rFonts w:ascii="Times New Roman" w:eastAsia="Calibri" w:hAnsi="Times New Roman" w:cs="Times New Roman"/>
                <w:color w:val="131413"/>
                <w:sz w:val="24"/>
                <w:szCs w:val="24"/>
              </w:rPr>
              <w:t>±0.002</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0.62</w:t>
            </w:r>
            <w:r w:rsidRPr="006B343B">
              <w:rPr>
                <w:rFonts w:ascii="Times New Roman" w:eastAsia="Calibri" w:hAnsi="Times New Roman" w:cs="Times New Roman"/>
                <w:color w:val="131413"/>
                <w:sz w:val="24"/>
                <w:szCs w:val="24"/>
              </w:rPr>
              <w:t>±0.002</w:t>
            </w:r>
          </w:p>
        </w:tc>
        <w:tc>
          <w:tcPr>
            <w:tcW w:w="162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0.56</w:t>
            </w:r>
            <w:r w:rsidRPr="006B343B">
              <w:rPr>
                <w:rFonts w:ascii="Times New Roman" w:eastAsia="Calibri" w:hAnsi="Times New Roman" w:cs="Times New Roman"/>
                <w:color w:val="131413"/>
                <w:sz w:val="24"/>
                <w:szCs w:val="24"/>
              </w:rPr>
              <w:t>±0.002</w:t>
            </w:r>
          </w:p>
        </w:tc>
        <w:tc>
          <w:tcPr>
            <w:tcW w:w="171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0.53</w:t>
            </w:r>
            <w:r w:rsidRPr="006B343B">
              <w:rPr>
                <w:rFonts w:ascii="Times New Roman" w:eastAsia="Calibri" w:hAnsi="Times New Roman" w:cs="Times New Roman"/>
                <w:color w:val="131413"/>
                <w:sz w:val="24"/>
                <w:szCs w:val="24"/>
              </w:rPr>
              <w:t>±0.004</w:t>
            </w:r>
          </w:p>
        </w:tc>
      </w:tr>
      <w:tr w:rsidR="006B343B" w:rsidRPr="006B343B" w:rsidTr="00A02D70">
        <w:trPr>
          <w:trHeight w:val="299"/>
        </w:trPr>
        <w:tc>
          <w:tcPr>
            <w:tcW w:w="342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Glucose (mg/dl)</w:t>
            </w:r>
          </w:p>
        </w:tc>
        <w:tc>
          <w:tcPr>
            <w:tcW w:w="144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116.2</w:t>
            </w:r>
            <w:r w:rsidRPr="006B343B">
              <w:rPr>
                <w:rFonts w:ascii="Times New Roman" w:eastAsia="Calibri" w:hAnsi="Times New Roman" w:cs="Times New Roman"/>
                <w:color w:val="131413"/>
                <w:sz w:val="24"/>
                <w:szCs w:val="24"/>
              </w:rPr>
              <w:t>±0.37</w:t>
            </w:r>
          </w:p>
        </w:tc>
        <w:tc>
          <w:tcPr>
            <w:tcW w:w="144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vertAlign w:val="superscript"/>
              </w:rPr>
            </w:pPr>
            <w:r w:rsidRPr="006B343B">
              <w:rPr>
                <w:rFonts w:ascii="Times New Roman" w:eastAsia="Calibri" w:hAnsi="Times New Roman" w:cs="Times New Roman"/>
                <w:sz w:val="24"/>
                <w:szCs w:val="24"/>
              </w:rPr>
              <w:t>128.4</w:t>
            </w:r>
            <w:r w:rsidRPr="006B343B">
              <w:rPr>
                <w:rFonts w:ascii="Times New Roman" w:eastAsia="Calibri" w:hAnsi="Times New Roman" w:cs="Times New Roman"/>
                <w:color w:val="131413"/>
                <w:sz w:val="24"/>
                <w:szCs w:val="24"/>
              </w:rPr>
              <w:t>±0.40</w:t>
            </w:r>
            <w:r w:rsidRPr="006B343B">
              <w:rPr>
                <w:rFonts w:ascii="Times New Roman" w:eastAsia="Calibri" w:hAnsi="Times New Roman" w:cs="Times New Roman"/>
                <w:color w:val="131413"/>
                <w:sz w:val="24"/>
                <w:szCs w:val="24"/>
                <w:vertAlign w:val="superscript"/>
              </w:rPr>
              <w:t>*</w:t>
            </w:r>
          </w:p>
        </w:tc>
        <w:tc>
          <w:tcPr>
            <w:tcW w:w="153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114.2</w:t>
            </w:r>
            <w:r w:rsidRPr="006B343B">
              <w:rPr>
                <w:rFonts w:ascii="Times New Roman" w:eastAsia="Calibri" w:hAnsi="Times New Roman" w:cs="Times New Roman"/>
                <w:color w:val="131413"/>
                <w:sz w:val="24"/>
                <w:szCs w:val="24"/>
              </w:rPr>
              <w:t>±0.37</w:t>
            </w:r>
            <w:r w:rsidRPr="006B343B">
              <w:rPr>
                <w:rFonts w:ascii="Times New Roman" w:eastAsia="Calibri" w:hAnsi="Times New Roman" w:cs="Times New Roman"/>
                <w:color w:val="131413"/>
                <w:sz w:val="24"/>
                <w:szCs w:val="24"/>
                <w:vertAlign w:val="superscript"/>
              </w:rPr>
              <w:t>*#</w:t>
            </w:r>
          </w:p>
        </w:tc>
        <w:tc>
          <w:tcPr>
            <w:tcW w:w="162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114.7</w:t>
            </w:r>
            <w:r w:rsidRPr="006B343B">
              <w:rPr>
                <w:rFonts w:ascii="Times New Roman" w:eastAsia="Calibri" w:hAnsi="Times New Roman" w:cs="Times New Roman"/>
                <w:color w:val="131413"/>
                <w:sz w:val="24"/>
                <w:szCs w:val="24"/>
              </w:rPr>
              <w:t>±0.23</w:t>
            </w:r>
            <w:r w:rsidRPr="006B343B">
              <w:rPr>
                <w:rFonts w:ascii="Times New Roman" w:eastAsia="Calibri" w:hAnsi="Times New Roman" w:cs="Times New Roman"/>
                <w:color w:val="131413"/>
                <w:sz w:val="24"/>
                <w:szCs w:val="24"/>
                <w:vertAlign w:val="superscript"/>
              </w:rPr>
              <w:t>*#</w:t>
            </w:r>
          </w:p>
        </w:tc>
        <w:tc>
          <w:tcPr>
            <w:tcW w:w="1710" w:type="dxa"/>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127.4</w:t>
            </w:r>
            <w:r w:rsidRPr="006B343B">
              <w:rPr>
                <w:rFonts w:ascii="Times New Roman" w:eastAsia="Calibri" w:hAnsi="Times New Roman" w:cs="Times New Roman"/>
                <w:color w:val="131413"/>
                <w:sz w:val="24"/>
                <w:szCs w:val="24"/>
              </w:rPr>
              <w:t>±0.40</w:t>
            </w:r>
            <w:r w:rsidRPr="006B343B">
              <w:rPr>
                <w:rFonts w:ascii="Times New Roman" w:eastAsia="Calibri" w:hAnsi="Times New Roman" w:cs="Times New Roman"/>
                <w:color w:val="131413"/>
                <w:sz w:val="24"/>
                <w:szCs w:val="24"/>
                <w:vertAlign w:val="superscript"/>
              </w:rPr>
              <w:t>*#$α</w:t>
            </w:r>
          </w:p>
        </w:tc>
      </w:tr>
      <w:tr w:rsidR="006B343B" w:rsidRPr="006B343B" w:rsidTr="00A02D70">
        <w:trPr>
          <w:trHeight w:val="299"/>
        </w:trPr>
        <w:tc>
          <w:tcPr>
            <w:tcW w:w="3420"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Cholesterol(mg/dl)</w:t>
            </w:r>
          </w:p>
        </w:tc>
        <w:tc>
          <w:tcPr>
            <w:tcW w:w="1440"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47.12</w:t>
            </w:r>
            <w:r w:rsidRPr="006B343B">
              <w:rPr>
                <w:rFonts w:ascii="Times New Roman" w:eastAsia="Calibri" w:hAnsi="Times New Roman" w:cs="Times New Roman"/>
                <w:color w:val="131413"/>
                <w:sz w:val="24"/>
                <w:szCs w:val="24"/>
              </w:rPr>
              <w:t>±0.044</w:t>
            </w:r>
          </w:p>
        </w:tc>
        <w:tc>
          <w:tcPr>
            <w:tcW w:w="1440"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51.12</w:t>
            </w:r>
            <w:r w:rsidRPr="006B343B">
              <w:rPr>
                <w:rFonts w:ascii="Times New Roman" w:eastAsia="Calibri" w:hAnsi="Times New Roman" w:cs="Times New Roman"/>
                <w:color w:val="131413"/>
                <w:sz w:val="24"/>
                <w:szCs w:val="24"/>
              </w:rPr>
              <w:t>±0.05</w:t>
            </w:r>
            <w:r w:rsidRPr="006B343B">
              <w:rPr>
                <w:rFonts w:ascii="Times New Roman" w:eastAsia="Calibri" w:hAnsi="Times New Roman" w:cs="Times New Roman"/>
                <w:color w:val="131413"/>
                <w:sz w:val="24"/>
                <w:szCs w:val="24"/>
                <w:vertAlign w:val="superscript"/>
              </w:rPr>
              <w:t>*</w:t>
            </w:r>
          </w:p>
        </w:tc>
        <w:tc>
          <w:tcPr>
            <w:tcW w:w="1530"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47.07</w:t>
            </w:r>
            <w:r w:rsidRPr="006B343B">
              <w:rPr>
                <w:rFonts w:ascii="Times New Roman" w:eastAsia="Calibri" w:hAnsi="Times New Roman" w:cs="Times New Roman"/>
                <w:color w:val="131413"/>
                <w:sz w:val="24"/>
                <w:szCs w:val="24"/>
              </w:rPr>
              <w:t>±0.03</w:t>
            </w:r>
            <w:r w:rsidRPr="006B343B">
              <w:rPr>
                <w:rFonts w:ascii="Times New Roman" w:eastAsia="Calibri" w:hAnsi="Times New Roman" w:cs="Times New Roman"/>
                <w:color w:val="131413"/>
                <w:sz w:val="24"/>
                <w:szCs w:val="24"/>
                <w:vertAlign w:val="superscript"/>
              </w:rPr>
              <w:t>*#</w:t>
            </w:r>
          </w:p>
        </w:tc>
        <w:tc>
          <w:tcPr>
            <w:tcW w:w="1620"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45.07</w:t>
            </w:r>
            <w:r w:rsidRPr="006B343B">
              <w:rPr>
                <w:rFonts w:ascii="Times New Roman" w:eastAsia="Calibri" w:hAnsi="Times New Roman" w:cs="Times New Roman"/>
                <w:color w:val="131413"/>
                <w:sz w:val="24"/>
                <w:szCs w:val="24"/>
              </w:rPr>
              <w:t>±0.04</w:t>
            </w:r>
            <w:r w:rsidRPr="006B343B">
              <w:rPr>
                <w:rFonts w:ascii="Times New Roman" w:eastAsia="Calibri" w:hAnsi="Times New Roman" w:cs="Times New Roman"/>
                <w:color w:val="131413"/>
                <w:sz w:val="24"/>
                <w:szCs w:val="24"/>
                <w:vertAlign w:val="superscript"/>
              </w:rPr>
              <w:t>*#$</w:t>
            </w:r>
          </w:p>
        </w:tc>
        <w:tc>
          <w:tcPr>
            <w:tcW w:w="1710" w:type="dxa"/>
            <w:tcBorders>
              <w:bottom w:val="single" w:sz="4" w:space="0" w:color="auto"/>
            </w:tcBorders>
          </w:tcPr>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43.05</w:t>
            </w:r>
            <w:r w:rsidRPr="006B343B">
              <w:rPr>
                <w:rFonts w:ascii="Times New Roman" w:eastAsia="Calibri" w:hAnsi="Times New Roman" w:cs="Times New Roman"/>
                <w:color w:val="131413"/>
                <w:sz w:val="24"/>
                <w:szCs w:val="24"/>
              </w:rPr>
              <w:t>±0.04</w:t>
            </w:r>
            <w:r w:rsidRPr="006B343B">
              <w:rPr>
                <w:rFonts w:ascii="Times New Roman" w:eastAsia="Calibri" w:hAnsi="Times New Roman" w:cs="Times New Roman"/>
                <w:color w:val="131413"/>
                <w:sz w:val="24"/>
                <w:szCs w:val="24"/>
                <w:vertAlign w:val="superscript"/>
              </w:rPr>
              <w:t>*#$α</w:t>
            </w:r>
          </w:p>
        </w:tc>
      </w:tr>
    </w:tbl>
    <w:p w:rsidR="006B343B" w:rsidRPr="006B343B" w:rsidRDefault="006B343B" w:rsidP="006B343B">
      <w:pPr>
        <w:spacing w:after="100" w:afterAutospacing="1" w:line="360" w:lineRule="auto"/>
        <w:jc w:val="both"/>
        <w:rPr>
          <w:rFonts w:ascii="Times New Roman" w:eastAsia="Calibri" w:hAnsi="Times New Roman" w:cs="Times New Roman"/>
          <w:sz w:val="24"/>
          <w:szCs w:val="24"/>
        </w:rPr>
      </w:pPr>
    </w:p>
    <w:p w:rsidR="006B343B" w:rsidRPr="006B343B" w:rsidRDefault="006B343B" w:rsidP="006B343B">
      <w:pPr>
        <w:spacing w:after="100" w:afterAutospacing="1"/>
        <w:jc w:val="both"/>
        <w:rPr>
          <w:rFonts w:ascii="Times New Roman" w:eastAsia="Calibri" w:hAnsi="Times New Roman" w:cs="Times New Roman"/>
          <w:sz w:val="24"/>
          <w:szCs w:val="24"/>
        </w:rPr>
      </w:pPr>
      <w:r w:rsidRPr="006B343B">
        <w:rPr>
          <w:rFonts w:ascii="Times New Roman" w:eastAsia="Calibri" w:hAnsi="Times New Roman" w:cs="Times New Roman"/>
          <w:sz w:val="24"/>
          <w:szCs w:val="24"/>
        </w:rPr>
        <w:t>Standard error of mean= standard deviation (SD)/√ Total subject. Result are analyzed by one-way ANOVA and confirmed by Tukey’s multiple comparison test.</w:t>
      </w:r>
    </w:p>
    <w:p w:rsidR="006B343B" w:rsidRPr="006B343B" w:rsidRDefault="006B343B" w:rsidP="006B343B">
      <w:pPr>
        <w:spacing w:after="100" w:afterAutospacing="1"/>
        <w:jc w:val="both"/>
        <w:rPr>
          <w:rFonts w:ascii="Times New Roman" w:eastAsia="Calibri" w:hAnsi="Times New Roman" w:cs="Times New Roman"/>
          <w:sz w:val="24"/>
          <w:szCs w:val="24"/>
        </w:rPr>
      </w:pPr>
      <w:r w:rsidRPr="006B343B">
        <w:rPr>
          <w:rFonts w:ascii="Times New Roman" w:eastAsia="Calibri" w:hAnsi="Times New Roman" w:cs="Times New Roman"/>
          <w:sz w:val="24"/>
          <w:szCs w:val="24"/>
          <w:vertAlign w:val="superscript"/>
        </w:rPr>
        <w:t>*</w:t>
      </w:r>
      <w:r w:rsidRPr="006B343B">
        <w:rPr>
          <w:rFonts w:ascii="Times New Roman" w:eastAsia="Calibri" w:hAnsi="Times New Roman" w:cs="Times New Roman"/>
          <w:sz w:val="24"/>
          <w:szCs w:val="24"/>
        </w:rPr>
        <w:t xml:space="preserve"> Significant difference at p&lt;0.05, when compared with control group.</w:t>
      </w:r>
    </w:p>
    <w:p w:rsidR="006B343B" w:rsidRPr="006B343B" w:rsidRDefault="006B343B" w:rsidP="006B343B">
      <w:pPr>
        <w:spacing w:after="100" w:afterAutospacing="1"/>
        <w:jc w:val="both"/>
        <w:rPr>
          <w:rFonts w:ascii="Times New Roman" w:eastAsia="Calibri" w:hAnsi="Times New Roman" w:cs="Times New Roman"/>
          <w:sz w:val="24"/>
          <w:szCs w:val="24"/>
        </w:rPr>
      </w:pPr>
      <w:r w:rsidRPr="006B343B">
        <w:rPr>
          <w:rFonts w:ascii="Times New Roman" w:eastAsia="Calibri" w:hAnsi="Times New Roman" w:cs="Times New Roman"/>
          <w:sz w:val="24"/>
          <w:szCs w:val="24"/>
          <w:vertAlign w:val="superscript"/>
        </w:rPr>
        <w:t xml:space="preserve"># </w:t>
      </w:r>
      <w:r w:rsidRPr="006B343B">
        <w:rPr>
          <w:rFonts w:ascii="Times New Roman" w:eastAsia="Calibri" w:hAnsi="Times New Roman" w:cs="Times New Roman"/>
          <w:sz w:val="24"/>
          <w:szCs w:val="24"/>
        </w:rPr>
        <w:t>Significant difference at p&lt;0.05, when compared with 400 mg/kg group.</w:t>
      </w:r>
    </w:p>
    <w:p w:rsidR="006B343B" w:rsidRPr="006B343B" w:rsidRDefault="006B343B" w:rsidP="006B343B">
      <w:pPr>
        <w:spacing w:after="100" w:afterAutospacing="1"/>
        <w:jc w:val="both"/>
        <w:rPr>
          <w:rFonts w:ascii="Times New Roman" w:eastAsia="Calibri" w:hAnsi="Times New Roman" w:cs="Times New Roman"/>
          <w:sz w:val="24"/>
          <w:szCs w:val="24"/>
        </w:rPr>
      </w:pPr>
      <w:r w:rsidRPr="006B343B">
        <w:rPr>
          <w:rFonts w:ascii="Times New Roman" w:eastAsia="Calibri" w:hAnsi="Times New Roman" w:cs="Times New Roman"/>
          <w:sz w:val="24"/>
          <w:szCs w:val="24"/>
          <w:vertAlign w:val="superscript"/>
        </w:rPr>
        <w:t>$</w:t>
      </w:r>
      <w:r w:rsidRPr="006B343B">
        <w:rPr>
          <w:rFonts w:ascii="Times New Roman" w:eastAsia="Calibri" w:hAnsi="Times New Roman" w:cs="Times New Roman"/>
          <w:sz w:val="24"/>
          <w:szCs w:val="24"/>
        </w:rPr>
        <w:t xml:space="preserve"> Significant difference at p&lt;0.05, when compared with 200 mg/kg group.</w:t>
      </w:r>
    </w:p>
    <w:p w:rsidR="006B343B" w:rsidRPr="006B343B" w:rsidRDefault="006B343B" w:rsidP="006B343B">
      <w:pPr>
        <w:spacing w:after="100" w:afterAutospacing="1"/>
        <w:jc w:val="both"/>
        <w:rPr>
          <w:rFonts w:ascii="Times New Roman" w:eastAsia="Calibri" w:hAnsi="Times New Roman" w:cs="Times New Roman"/>
          <w:b/>
          <w:sz w:val="24"/>
          <w:szCs w:val="24"/>
        </w:rPr>
      </w:pPr>
      <w:r w:rsidRPr="006B343B">
        <w:rPr>
          <w:rFonts w:ascii="Times New Roman" w:eastAsia="Calibri" w:hAnsi="Times New Roman" w:cs="Times New Roman"/>
          <w:sz w:val="24"/>
          <w:szCs w:val="24"/>
          <w:vertAlign w:val="superscript"/>
        </w:rPr>
        <w:t>α</w:t>
      </w:r>
      <w:r w:rsidRPr="006B343B">
        <w:rPr>
          <w:rFonts w:ascii="Times New Roman" w:eastAsia="Calibri" w:hAnsi="Times New Roman" w:cs="Times New Roman"/>
          <w:sz w:val="24"/>
          <w:szCs w:val="24"/>
        </w:rPr>
        <w:t xml:space="preserve"> Significant difference at p&lt;0.05, when compared with 100 mg/kg group.</w:t>
      </w:r>
    </w:p>
    <w:p w:rsidR="006B343B" w:rsidRDefault="006B343B">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br w:type="page"/>
      </w:r>
    </w:p>
    <w:p w:rsidR="00E275C1" w:rsidRDefault="00F62186" w:rsidP="00E275C1">
      <w:pPr>
        <w:spacing w:after="100" w:afterAutospacing="1" w:line="360" w:lineRule="auto"/>
        <w:contextualSpacing/>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Figure</w:t>
      </w:r>
      <w:r w:rsidR="00E275C1" w:rsidRPr="00E275C1">
        <w:rPr>
          <w:rFonts w:ascii="Times New Roman" w:eastAsia="Times New Roman" w:hAnsi="Times New Roman" w:cs="Times New Roman"/>
          <w:b/>
          <w:color w:val="000000" w:themeColor="text1"/>
          <w:sz w:val="24"/>
          <w:szCs w:val="24"/>
        </w:rPr>
        <w:t xml:space="preserve"> legends</w:t>
      </w:r>
    </w:p>
    <w:p w:rsidR="00E275C1" w:rsidRDefault="00F62186" w:rsidP="00E275C1">
      <w:pPr>
        <w:spacing w:after="100" w:afterAutospacing="1" w:line="360" w:lineRule="auto"/>
        <w:jc w:val="both"/>
        <w:rPr>
          <w:rFonts w:ascii="Times New Roman" w:hAnsi="Times New Roman" w:cs="Times New Roman"/>
          <w:bCs/>
          <w:sz w:val="24"/>
          <w:szCs w:val="24"/>
        </w:rPr>
      </w:pPr>
      <w:r>
        <w:rPr>
          <w:rFonts w:ascii="Times New Roman" w:eastAsia="Times New Roman" w:hAnsi="Times New Roman" w:cs="Times New Roman"/>
          <w:b/>
          <w:color w:val="000000" w:themeColor="text1"/>
          <w:sz w:val="24"/>
          <w:szCs w:val="24"/>
        </w:rPr>
        <w:t>Fig.</w:t>
      </w:r>
      <w:r w:rsidR="00E275C1">
        <w:rPr>
          <w:rFonts w:ascii="Times New Roman" w:eastAsia="Times New Roman" w:hAnsi="Times New Roman" w:cs="Times New Roman"/>
          <w:b/>
          <w:color w:val="000000" w:themeColor="text1"/>
          <w:sz w:val="24"/>
          <w:szCs w:val="24"/>
        </w:rPr>
        <w:t xml:space="preserve"> S1 </w:t>
      </w:r>
      <w:r w:rsidR="00E275C1" w:rsidRPr="00851DE6">
        <w:rPr>
          <w:rFonts w:ascii="Times New Roman" w:hAnsi="Times New Roman" w:cs="Times New Roman"/>
          <w:bCs/>
          <w:sz w:val="24"/>
          <w:szCs w:val="24"/>
        </w:rPr>
        <w:t>Absorbance spectra of CT-DNA in the presence of taxifolin ruthenium-p-cymene complex</w:t>
      </w:r>
      <w:r w:rsidR="00E275C1">
        <w:rPr>
          <w:rFonts w:ascii="Times New Roman" w:hAnsi="Times New Roman" w:cs="Times New Roman"/>
          <w:bCs/>
          <w:sz w:val="24"/>
          <w:szCs w:val="24"/>
        </w:rPr>
        <w:t xml:space="preserve">. </w:t>
      </w:r>
    </w:p>
    <w:p w:rsidR="00E275C1" w:rsidRDefault="00F62186" w:rsidP="00E275C1">
      <w:pPr>
        <w:spacing w:after="100" w:afterAutospacing="1" w:line="360" w:lineRule="auto"/>
        <w:jc w:val="both"/>
        <w:rPr>
          <w:rFonts w:ascii="Times New Roman" w:hAnsi="Times New Roman" w:cs="Times New Roman"/>
          <w:bCs/>
          <w:sz w:val="24"/>
          <w:szCs w:val="24"/>
          <w:lang w:val="en-IN"/>
        </w:rPr>
      </w:pPr>
      <w:r>
        <w:rPr>
          <w:rFonts w:ascii="Times New Roman" w:hAnsi="Times New Roman" w:cs="Times New Roman"/>
          <w:b/>
          <w:bCs/>
          <w:sz w:val="24"/>
          <w:szCs w:val="24"/>
          <w:lang w:val="en-IN"/>
        </w:rPr>
        <w:t>Fig.</w:t>
      </w:r>
      <w:r w:rsidR="00E275C1" w:rsidRPr="00E275C1">
        <w:rPr>
          <w:rFonts w:ascii="Times New Roman" w:hAnsi="Times New Roman" w:cs="Times New Roman"/>
          <w:b/>
          <w:bCs/>
          <w:sz w:val="24"/>
          <w:szCs w:val="24"/>
          <w:lang w:val="en-IN"/>
        </w:rPr>
        <w:t xml:space="preserve"> </w:t>
      </w:r>
      <w:r w:rsidR="00E275C1">
        <w:rPr>
          <w:rFonts w:ascii="Times New Roman" w:hAnsi="Times New Roman" w:cs="Times New Roman"/>
          <w:b/>
          <w:bCs/>
          <w:sz w:val="24"/>
          <w:szCs w:val="24"/>
          <w:lang w:val="en-IN"/>
        </w:rPr>
        <w:t>S2</w:t>
      </w:r>
      <w:r w:rsidR="00E275C1" w:rsidRPr="00E275C1">
        <w:rPr>
          <w:rFonts w:ascii="Times New Roman" w:hAnsi="Times New Roman" w:cs="Times New Roman"/>
          <w:b/>
          <w:bCs/>
          <w:sz w:val="24"/>
          <w:szCs w:val="24"/>
          <w:lang w:val="en-IN"/>
        </w:rPr>
        <w:t xml:space="preserve"> </w:t>
      </w:r>
      <w:r w:rsidR="00E275C1" w:rsidRPr="00E275C1">
        <w:rPr>
          <w:rFonts w:ascii="Times New Roman" w:hAnsi="Times New Roman" w:cs="Times New Roman"/>
          <w:bCs/>
          <w:sz w:val="24"/>
          <w:szCs w:val="24"/>
        </w:rPr>
        <w:t xml:space="preserve">Histopathological representation of Swiss albino mice </w:t>
      </w:r>
      <w:r w:rsidR="00E275C1" w:rsidRPr="00E275C1">
        <w:rPr>
          <w:rFonts w:ascii="Times New Roman" w:hAnsi="Times New Roman" w:cs="Times New Roman"/>
          <w:bCs/>
          <w:sz w:val="24"/>
          <w:szCs w:val="24"/>
          <w:lang w:val="en-IN"/>
        </w:rPr>
        <w:t>(</w:t>
      </w:r>
      <w:r w:rsidR="00E275C1" w:rsidRPr="00E275C1">
        <w:rPr>
          <w:rFonts w:ascii="Times New Roman" w:hAnsi="Times New Roman" w:cs="Times New Roman"/>
          <w:b/>
          <w:bCs/>
          <w:sz w:val="24"/>
          <w:szCs w:val="24"/>
          <w:lang w:val="en-IN"/>
        </w:rPr>
        <w:t>i</w:t>
      </w:r>
      <w:r w:rsidR="00E275C1" w:rsidRPr="00E275C1">
        <w:rPr>
          <w:rFonts w:ascii="Times New Roman" w:hAnsi="Times New Roman" w:cs="Times New Roman"/>
          <w:bCs/>
          <w:sz w:val="24"/>
          <w:szCs w:val="24"/>
          <w:lang w:val="en-IN"/>
        </w:rPr>
        <w:t xml:space="preserve">) </w:t>
      </w:r>
      <w:r w:rsidR="00E275C1" w:rsidRPr="00E275C1">
        <w:rPr>
          <w:rFonts w:ascii="Times New Roman" w:hAnsi="Times New Roman" w:cs="Times New Roman"/>
          <w:bCs/>
          <w:sz w:val="24"/>
          <w:szCs w:val="24"/>
        </w:rPr>
        <w:t>liver, (</w:t>
      </w:r>
      <w:r w:rsidR="00E275C1" w:rsidRPr="00E275C1">
        <w:rPr>
          <w:rFonts w:ascii="Times New Roman" w:hAnsi="Times New Roman" w:cs="Times New Roman"/>
          <w:b/>
          <w:bCs/>
          <w:sz w:val="24"/>
          <w:szCs w:val="24"/>
        </w:rPr>
        <w:t>ii</w:t>
      </w:r>
      <w:r w:rsidR="00E275C1" w:rsidRPr="00E275C1">
        <w:rPr>
          <w:rFonts w:ascii="Times New Roman" w:hAnsi="Times New Roman" w:cs="Times New Roman"/>
          <w:bCs/>
          <w:sz w:val="24"/>
          <w:szCs w:val="24"/>
        </w:rPr>
        <w:t>) kidney, (</w:t>
      </w:r>
      <w:r w:rsidR="00E275C1" w:rsidRPr="00E275C1">
        <w:rPr>
          <w:rFonts w:ascii="Times New Roman" w:hAnsi="Times New Roman" w:cs="Times New Roman"/>
          <w:b/>
          <w:bCs/>
          <w:sz w:val="24"/>
          <w:szCs w:val="24"/>
        </w:rPr>
        <w:t>iii</w:t>
      </w:r>
      <w:r w:rsidR="00E275C1" w:rsidRPr="00E275C1">
        <w:rPr>
          <w:rFonts w:ascii="Times New Roman" w:hAnsi="Times New Roman" w:cs="Times New Roman"/>
          <w:bCs/>
          <w:sz w:val="24"/>
          <w:szCs w:val="24"/>
        </w:rPr>
        <w:t>) stomach, (</w:t>
      </w:r>
      <w:r w:rsidR="00E275C1" w:rsidRPr="00E275C1">
        <w:rPr>
          <w:rFonts w:ascii="Times New Roman" w:hAnsi="Times New Roman" w:cs="Times New Roman"/>
          <w:b/>
          <w:bCs/>
          <w:sz w:val="24"/>
          <w:szCs w:val="24"/>
        </w:rPr>
        <w:t>iv</w:t>
      </w:r>
      <w:r w:rsidR="00E275C1" w:rsidRPr="00E275C1">
        <w:rPr>
          <w:rFonts w:ascii="Times New Roman" w:hAnsi="Times New Roman" w:cs="Times New Roman"/>
          <w:bCs/>
          <w:sz w:val="24"/>
          <w:szCs w:val="24"/>
        </w:rPr>
        <w:t>) pancreas, and (</w:t>
      </w:r>
      <w:r w:rsidR="00E275C1" w:rsidRPr="00E275C1">
        <w:rPr>
          <w:rFonts w:ascii="Times New Roman" w:hAnsi="Times New Roman" w:cs="Times New Roman"/>
          <w:b/>
          <w:bCs/>
          <w:sz w:val="24"/>
          <w:szCs w:val="24"/>
        </w:rPr>
        <w:t>v</w:t>
      </w:r>
      <w:r w:rsidR="00E275C1" w:rsidRPr="00E275C1">
        <w:rPr>
          <w:rFonts w:ascii="Times New Roman" w:hAnsi="Times New Roman" w:cs="Times New Roman"/>
          <w:bCs/>
          <w:sz w:val="24"/>
          <w:szCs w:val="24"/>
        </w:rPr>
        <w:t>) testis at 10X [inset 40X] where (</w:t>
      </w:r>
      <w:r w:rsidR="00E275C1" w:rsidRPr="00E275C1">
        <w:rPr>
          <w:rFonts w:ascii="Times New Roman" w:hAnsi="Times New Roman" w:cs="Times New Roman"/>
          <w:b/>
          <w:bCs/>
          <w:sz w:val="24"/>
          <w:szCs w:val="24"/>
        </w:rPr>
        <w:t>A</w:t>
      </w:r>
      <w:r w:rsidR="00E275C1" w:rsidRPr="00E275C1">
        <w:rPr>
          <w:rFonts w:ascii="Times New Roman" w:hAnsi="Times New Roman" w:cs="Times New Roman"/>
          <w:bCs/>
          <w:sz w:val="24"/>
          <w:szCs w:val="24"/>
        </w:rPr>
        <w:t>) Normal control (</w:t>
      </w:r>
      <w:r w:rsidR="00E275C1" w:rsidRPr="00E275C1">
        <w:rPr>
          <w:rFonts w:ascii="Times New Roman" w:hAnsi="Times New Roman" w:cs="Times New Roman"/>
          <w:b/>
          <w:bCs/>
          <w:sz w:val="24"/>
          <w:szCs w:val="24"/>
        </w:rPr>
        <w:t>B</w:t>
      </w:r>
      <w:r w:rsidR="00E275C1" w:rsidRPr="00E275C1">
        <w:rPr>
          <w:rFonts w:ascii="Times New Roman" w:hAnsi="Times New Roman" w:cs="Times New Roman"/>
          <w:bCs/>
          <w:sz w:val="24"/>
          <w:szCs w:val="24"/>
        </w:rPr>
        <w:t>) 50 mg/kg complex (</w:t>
      </w:r>
      <w:r w:rsidR="00E275C1" w:rsidRPr="00E275C1">
        <w:rPr>
          <w:rFonts w:ascii="Times New Roman" w:hAnsi="Times New Roman" w:cs="Times New Roman"/>
          <w:b/>
          <w:bCs/>
          <w:sz w:val="24"/>
          <w:szCs w:val="24"/>
        </w:rPr>
        <w:t>C</w:t>
      </w:r>
      <w:r w:rsidR="00E275C1" w:rsidRPr="00E275C1">
        <w:rPr>
          <w:rFonts w:ascii="Times New Roman" w:hAnsi="Times New Roman" w:cs="Times New Roman"/>
          <w:bCs/>
          <w:sz w:val="24"/>
          <w:szCs w:val="24"/>
        </w:rPr>
        <w:t>) 100 mg/kg complex (</w:t>
      </w:r>
      <w:r w:rsidR="00E275C1" w:rsidRPr="00E275C1">
        <w:rPr>
          <w:rFonts w:ascii="Times New Roman" w:hAnsi="Times New Roman" w:cs="Times New Roman"/>
          <w:b/>
          <w:bCs/>
          <w:sz w:val="24"/>
          <w:szCs w:val="24"/>
        </w:rPr>
        <w:t>D</w:t>
      </w:r>
      <w:r w:rsidR="00E275C1" w:rsidRPr="00E275C1">
        <w:rPr>
          <w:rFonts w:ascii="Times New Roman" w:hAnsi="Times New Roman" w:cs="Times New Roman"/>
          <w:bCs/>
          <w:sz w:val="24"/>
          <w:szCs w:val="24"/>
        </w:rPr>
        <w:t>) 200 mg/kg complex (H&amp;E). Normal liver showing the central vein (</w:t>
      </w:r>
      <w:r w:rsidR="00E275C1" w:rsidRPr="00E275C1">
        <w:rPr>
          <w:rFonts w:ascii="Times New Roman" w:hAnsi="Times New Roman" w:cs="Times New Roman"/>
          <w:bCs/>
          <w:i/>
          <w:sz w:val="24"/>
          <w:szCs w:val="24"/>
        </w:rPr>
        <w:t>cv</w:t>
      </w:r>
      <w:r w:rsidR="00E275C1" w:rsidRPr="00E275C1">
        <w:rPr>
          <w:rFonts w:ascii="Times New Roman" w:hAnsi="Times New Roman" w:cs="Times New Roman"/>
          <w:bCs/>
          <w:sz w:val="24"/>
          <w:szCs w:val="24"/>
        </w:rPr>
        <w:t>), portal vein (</w:t>
      </w:r>
      <w:r w:rsidR="00E275C1" w:rsidRPr="00E275C1">
        <w:rPr>
          <w:rFonts w:ascii="Times New Roman" w:hAnsi="Times New Roman" w:cs="Times New Roman"/>
          <w:bCs/>
          <w:i/>
          <w:sz w:val="24"/>
          <w:szCs w:val="24"/>
        </w:rPr>
        <w:t>pv</w:t>
      </w:r>
      <w:r w:rsidR="00E275C1" w:rsidRPr="00E275C1">
        <w:rPr>
          <w:rFonts w:ascii="Times New Roman" w:hAnsi="Times New Roman" w:cs="Times New Roman"/>
          <w:bCs/>
          <w:sz w:val="24"/>
          <w:szCs w:val="24"/>
        </w:rPr>
        <w:t>), bile duct (</w:t>
      </w:r>
      <w:r w:rsidR="00E275C1" w:rsidRPr="00E275C1">
        <w:rPr>
          <w:rFonts w:ascii="Times New Roman" w:hAnsi="Times New Roman" w:cs="Times New Roman"/>
          <w:bCs/>
          <w:i/>
          <w:sz w:val="24"/>
          <w:szCs w:val="24"/>
        </w:rPr>
        <w:t>bd</w:t>
      </w:r>
      <w:r w:rsidR="00E275C1" w:rsidRPr="00E275C1">
        <w:rPr>
          <w:rFonts w:ascii="Times New Roman" w:hAnsi="Times New Roman" w:cs="Times New Roman"/>
          <w:bCs/>
          <w:sz w:val="24"/>
          <w:szCs w:val="24"/>
        </w:rPr>
        <w:t>), hepatic artery (</w:t>
      </w:r>
      <w:r w:rsidR="00E275C1" w:rsidRPr="00E275C1">
        <w:rPr>
          <w:rFonts w:ascii="Times New Roman" w:hAnsi="Times New Roman" w:cs="Times New Roman"/>
          <w:bCs/>
          <w:i/>
          <w:sz w:val="24"/>
          <w:szCs w:val="24"/>
        </w:rPr>
        <w:t>ha</w:t>
      </w:r>
      <w:r w:rsidR="00E275C1" w:rsidRPr="00E275C1">
        <w:rPr>
          <w:rFonts w:ascii="Times New Roman" w:hAnsi="Times New Roman" w:cs="Times New Roman"/>
          <w:bCs/>
          <w:sz w:val="24"/>
          <w:szCs w:val="24"/>
        </w:rPr>
        <w:t>), sinusoids (</w:t>
      </w:r>
      <w:r w:rsidR="00E275C1" w:rsidRPr="00E275C1">
        <w:rPr>
          <w:rFonts w:ascii="Times New Roman" w:hAnsi="Times New Roman" w:cs="Times New Roman"/>
          <w:bCs/>
          <w:i/>
          <w:sz w:val="24"/>
          <w:szCs w:val="24"/>
        </w:rPr>
        <w:t>s</w:t>
      </w:r>
      <w:r w:rsidR="00E275C1" w:rsidRPr="00E275C1">
        <w:rPr>
          <w:rFonts w:ascii="Times New Roman" w:hAnsi="Times New Roman" w:cs="Times New Roman"/>
          <w:bCs/>
          <w:sz w:val="24"/>
          <w:szCs w:val="24"/>
        </w:rPr>
        <w:t>), kupffer cell (</w:t>
      </w:r>
      <w:r w:rsidR="00E275C1" w:rsidRPr="00E275C1">
        <w:rPr>
          <w:rFonts w:ascii="Times New Roman" w:hAnsi="Times New Roman" w:cs="Times New Roman"/>
          <w:bCs/>
          <w:i/>
          <w:sz w:val="24"/>
          <w:szCs w:val="24"/>
        </w:rPr>
        <w:t>kc</w:t>
      </w:r>
      <w:r w:rsidR="00E275C1" w:rsidRPr="00E275C1">
        <w:rPr>
          <w:rFonts w:ascii="Times New Roman" w:hAnsi="Times New Roman" w:cs="Times New Roman"/>
          <w:bCs/>
          <w:sz w:val="24"/>
          <w:szCs w:val="24"/>
        </w:rPr>
        <w:t>), lymph vessel (</w:t>
      </w:r>
      <w:r w:rsidR="00E275C1" w:rsidRPr="00E275C1">
        <w:rPr>
          <w:rFonts w:ascii="Times New Roman" w:hAnsi="Times New Roman" w:cs="Times New Roman"/>
          <w:bCs/>
          <w:i/>
          <w:sz w:val="24"/>
          <w:szCs w:val="24"/>
        </w:rPr>
        <w:t>lv</w:t>
      </w:r>
      <w:r w:rsidR="00E275C1" w:rsidRPr="00E275C1">
        <w:rPr>
          <w:rFonts w:ascii="Times New Roman" w:hAnsi="Times New Roman" w:cs="Times New Roman"/>
          <w:bCs/>
          <w:sz w:val="24"/>
          <w:szCs w:val="24"/>
        </w:rPr>
        <w:t>), hepatocytes (</w:t>
      </w:r>
      <w:r w:rsidR="00E275C1" w:rsidRPr="00E275C1">
        <w:rPr>
          <w:rFonts w:ascii="Times New Roman" w:hAnsi="Times New Roman" w:cs="Times New Roman"/>
          <w:bCs/>
          <w:i/>
          <w:sz w:val="24"/>
          <w:szCs w:val="24"/>
        </w:rPr>
        <w:t>h</w:t>
      </w:r>
      <w:r w:rsidR="00E275C1" w:rsidRPr="00E275C1">
        <w:rPr>
          <w:rFonts w:ascii="Times New Roman" w:hAnsi="Times New Roman" w:cs="Times New Roman"/>
          <w:bCs/>
          <w:sz w:val="24"/>
          <w:szCs w:val="24"/>
        </w:rPr>
        <w:t>) and 200 mg/kg group showing periportal mononuclear infiltrates (</w:t>
      </w:r>
      <w:r w:rsidR="00E275C1" w:rsidRPr="00E275C1">
        <w:rPr>
          <w:rFonts w:ascii="Times New Roman" w:hAnsi="Times New Roman" w:cs="Times New Roman"/>
          <w:bCs/>
          <w:i/>
          <w:sz w:val="24"/>
          <w:szCs w:val="24"/>
        </w:rPr>
        <w:t>pmi</w:t>
      </w:r>
      <w:r w:rsidR="00E275C1" w:rsidRPr="00E275C1">
        <w:rPr>
          <w:rFonts w:ascii="Times New Roman" w:hAnsi="Times New Roman" w:cs="Times New Roman"/>
          <w:bCs/>
          <w:sz w:val="24"/>
          <w:szCs w:val="24"/>
        </w:rPr>
        <w:t>), hepatocytes degeneration (</w:t>
      </w:r>
      <w:r w:rsidR="00E275C1" w:rsidRPr="00E275C1">
        <w:rPr>
          <w:rFonts w:ascii="Times New Roman" w:hAnsi="Times New Roman" w:cs="Times New Roman"/>
          <w:bCs/>
          <w:i/>
          <w:sz w:val="24"/>
          <w:szCs w:val="24"/>
        </w:rPr>
        <w:t>hd</w:t>
      </w:r>
      <w:r w:rsidR="00E275C1" w:rsidRPr="00E275C1">
        <w:rPr>
          <w:rFonts w:ascii="Times New Roman" w:hAnsi="Times New Roman" w:cs="Times New Roman"/>
          <w:bCs/>
          <w:sz w:val="24"/>
          <w:szCs w:val="24"/>
        </w:rPr>
        <w:t>), focal inflammation (</w:t>
      </w:r>
      <w:r w:rsidR="00E275C1" w:rsidRPr="00E275C1">
        <w:rPr>
          <w:rFonts w:ascii="Times New Roman" w:hAnsi="Times New Roman" w:cs="Times New Roman"/>
          <w:bCs/>
          <w:i/>
          <w:sz w:val="24"/>
          <w:szCs w:val="24"/>
        </w:rPr>
        <w:t>fi</w:t>
      </w:r>
      <w:r w:rsidR="00E275C1" w:rsidRPr="00E275C1">
        <w:rPr>
          <w:rFonts w:ascii="Times New Roman" w:hAnsi="Times New Roman" w:cs="Times New Roman"/>
          <w:bCs/>
          <w:sz w:val="24"/>
          <w:szCs w:val="24"/>
        </w:rPr>
        <w:t>). Normal kidney tissue showing glomerulus (</w:t>
      </w:r>
      <w:r w:rsidR="00E275C1" w:rsidRPr="00E275C1">
        <w:rPr>
          <w:rFonts w:ascii="Times New Roman" w:hAnsi="Times New Roman" w:cs="Times New Roman"/>
          <w:bCs/>
          <w:i/>
          <w:sz w:val="24"/>
          <w:szCs w:val="24"/>
        </w:rPr>
        <w:t>g</w:t>
      </w:r>
      <w:r w:rsidR="00E275C1" w:rsidRPr="00E275C1">
        <w:rPr>
          <w:rFonts w:ascii="Times New Roman" w:hAnsi="Times New Roman" w:cs="Times New Roman"/>
          <w:bCs/>
          <w:sz w:val="24"/>
          <w:szCs w:val="24"/>
        </w:rPr>
        <w:t>), bowman’s capsular space (</w:t>
      </w:r>
      <w:r w:rsidR="00E275C1" w:rsidRPr="00E275C1">
        <w:rPr>
          <w:rFonts w:ascii="Times New Roman" w:hAnsi="Times New Roman" w:cs="Times New Roman"/>
          <w:bCs/>
          <w:i/>
          <w:sz w:val="24"/>
          <w:szCs w:val="24"/>
        </w:rPr>
        <w:t>bc</w:t>
      </w:r>
      <w:r w:rsidR="00E275C1" w:rsidRPr="00E275C1">
        <w:rPr>
          <w:rFonts w:ascii="Times New Roman" w:hAnsi="Times New Roman" w:cs="Times New Roman"/>
          <w:bCs/>
          <w:sz w:val="24"/>
          <w:szCs w:val="24"/>
        </w:rPr>
        <w:t>), proximal convoluted tubules (</w:t>
      </w:r>
      <w:r w:rsidR="00E275C1" w:rsidRPr="00E275C1">
        <w:rPr>
          <w:rFonts w:ascii="Times New Roman" w:hAnsi="Times New Roman" w:cs="Times New Roman"/>
          <w:bCs/>
          <w:i/>
          <w:sz w:val="24"/>
          <w:szCs w:val="24"/>
        </w:rPr>
        <w:t>pct</w:t>
      </w:r>
      <w:r w:rsidR="00E275C1" w:rsidRPr="00E275C1">
        <w:rPr>
          <w:rFonts w:ascii="Times New Roman" w:hAnsi="Times New Roman" w:cs="Times New Roman"/>
          <w:bCs/>
          <w:sz w:val="24"/>
          <w:szCs w:val="24"/>
        </w:rPr>
        <w:t>), distal convoluted tubule (</w:t>
      </w:r>
      <w:r w:rsidR="00E275C1" w:rsidRPr="00E275C1">
        <w:rPr>
          <w:rFonts w:ascii="Times New Roman" w:hAnsi="Times New Roman" w:cs="Times New Roman"/>
          <w:bCs/>
          <w:i/>
          <w:sz w:val="24"/>
          <w:szCs w:val="24"/>
        </w:rPr>
        <w:t>dct</w:t>
      </w:r>
      <w:r w:rsidR="00E275C1" w:rsidRPr="00E275C1">
        <w:rPr>
          <w:rFonts w:ascii="Times New Roman" w:hAnsi="Times New Roman" w:cs="Times New Roman"/>
          <w:bCs/>
          <w:sz w:val="24"/>
          <w:szCs w:val="24"/>
        </w:rPr>
        <w:t>), macula densa (</w:t>
      </w:r>
      <w:r w:rsidR="00E275C1" w:rsidRPr="00E275C1">
        <w:rPr>
          <w:rFonts w:ascii="Times New Roman" w:hAnsi="Times New Roman" w:cs="Times New Roman"/>
          <w:bCs/>
          <w:i/>
          <w:sz w:val="24"/>
          <w:szCs w:val="24"/>
        </w:rPr>
        <w:t>md</w:t>
      </w:r>
      <w:r w:rsidR="00E275C1" w:rsidRPr="00E275C1">
        <w:rPr>
          <w:rFonts w:ascii="Times New Roman" w:hAnsi="Times New Roman" w:cs="Times New Roman"/>
          <w:bCs/>
          <w:sz w:val="24"/>
          <w:szCs w:val="24"/>
        </w:rPr>
        <w:t>), jaxtaglomerular cells (</w:t>
      </w:r>
      <w:r w:rsidR="00E275C1" w:rsidRPr="00E275C1">
        <w:rPr>
          <w:rFonts w:ascii="Times New Roman" w:hAnsi="Times New Roman" w:cs="Times New Roman"/>
          <w:bCs/>
          <w:i/>
          <w:sz w:val="24"/>
          <w:szCs w:val="24"/>
        </w:rPr>
        <w:t>jgc</w:t>
      </w:r>
      <w:r w:rsidR="00E275C1" w:rsidRPr="00E275C1">
        <w:rPr>
          <w:rFonts w:ascii="Times New Roman" w:hAnsi="Times New Roman" w:cs="Times New Roman"/>
          <w:bCs/>
          <w:sz w:val="24"/>
          <w:szCs w:val="24"/>
        </w:rPr>
        <w:t>), podocytes (</w:t>
      </w:r>
      <w:r w:rsidR="00E275C1" w:rsidRPr="00E275C1">
        <w:rPr>
          <w:rFonts w:ascii="Times New Roman" w:hAnsi="Times New Roman" w:cs="Times New Roman"/>
          <w:bCs/>
          <w:i/>
          <w:sz w:val="24"/>
          <w:szCs w:val="24"/>
        </w:rPr>
        <w:t>p</w:t>
      </w:r>
      <w:r w:rsidR="00E275C1" w:rsidRPr="00E275C1">
        <w:rPr>
          <w:rFonts w:ascii="Times New Roman" w:hAnsi="Times New Roman" w:cs="Times New Roman"/>
          <w:bCs/>
          <w:sz w:val="24"/>
          <w:szCs w:val="24"/>
        </w:rPr>
        <w:t>), vascular pole (</w:t>
      </w:r>
      <w:r w:rsidR="00E275C1" w:rsidRPr="00E275C1">
        <w:rPr>
          <w:rFonts w:ascii="Times New Roman" w:hAnsi="Times New Roman" w:cs="Times New Roman"/>
          <w:bCs/>
          <w:i/>
          <w:sz w:val="24"/>
          <w:szCs w:val="24"/>
        </w:rPr>
        <w:t>vp</w:t>
      </w:r>
      <w:r w:rsidR="00E275C1" w:rsidRPr="00E275C1">
        <w:rPr>
          <w:rFonts w:ascii="Times New Roman" w:hAnsi="Times New Roman" w:cs="Times New Roman"/>
          <w:bCs/>
          <w:sz w:val="24"/>
          <w:szCs w:val="24"/>
        </w:rPr>
        <w:t>) (black circle), urinary pole (</w:t>
      </w:r>
      <w:r w:rsidR="00E275C1" w:rsidRPr="00E275C1">
        <w:rPr>
          <w:rFonts w:ascii="Times New Roman" w:hAnsi="Times New Roman" w:cs="Times New Roman"/>
          <w:bCs/>
          <w:i/>
          <w:sz w:val="24"/>
          <w:szCs w:val="24"/>
        </w:rPr>
        <w:t>up</w:t>
      </w:r>
      <w:r w:rsidR="00E275C1" w:rsidRPr="00E275C1">
        <w:rPr>
          <w:rFonts w:ascii="Times New Roman" w:hAnsi="Times New Roman" w:cs="Times New Roman"/>
          <w:bCs/>
          <w:sz w:val="24"/>
          <w:szCs w:val="24"/>
        </w:rPr>
        <w:t>) (black circle), mesangium cells (</w:t>
      </w:r>
      <w:r w:rsidR="00E275C1" w:rsidRPr="00E275C1">
        <w:rPr>
          <w:rFonts w:ascii="Times New Roman" w:hAnsi="Times New Roman" w:cs="Times New Roman"/>
          <w:bCs/>
          <w:i/>
          <w:sz w:val="24"/>
          <w:szCs w:val="24"/>
        </w:rPr>
        <w:t>mc</w:t>
      </w:r>
      <w:r w:rsidR="00E275C1" w:rsidRPr="00E275C1">
        <w:rPr>
          <w:rFonts w:ascii="Times New Roman" w:hAnsi="Times New Roman" w:cs="Times New Roman"/>
          <w:bCs/>
          <w:sz w:val="24"/>
          <w:szCs w:val="24"/>
        </w:rPr>
        <w:t>) and 200 mg/kg group showing thickening of capsular membrane (</w:t>
      </w:r>
      <w:r w:rsidR="00E275C1" w:rsidRPr="00E275C1">
        <w:rPr>
          <w:rFonts w:ascii="Times New Roman" w:hAnsi="Times New Roman" w:cs="Times New Roman"/>
          <w:bCs/>
          <w:i/>
          <w:sz w:val="24"/>
          <w:szCs w:val="24"/>
        </w:rPr>
        <w:t>tm</w:t>
      </w:r>
      <w:r w:rsidR="00E275C1" w:rsidRPr="00E275C1">
        <w:rPr>
          <w:rFonts w:ascii="Times New Roman" w:hAnsi="Times New Roman" w:cs="Times New Roman"/>
          <w:bCs/>
          <w:sz w:val="24"/>
          <w:szCs w:val="24"/>
        </w:rPr>
        <w:t>), desquamated epithelial cells (</w:t>
      </w:r>
      <w:r w:rsidR="00E275C1" w:rsidRPr="00E275C1">
        <w:rPr>
          <w:rFonts w:ascii="Times New Roman" w:hAnsi="Times New Roman" w:cs="Times New Roman"/>
          <w:bCs/>
          <w:i/>
          <w:sz w:val="24"/>
          <w:szCs w:val="24"/>
        </w:rPr>
        <w:t>dec</w:t>
      </w:r>
      <w:r w:rsidR="00E275C1" w:rsidRPr="00E275C1">
        <w:rPr>
          <w:rFonts w:ascii="Times New Roman" w:hAnsi="Times New Roman" w:cs="Times New Roman"/>
          <w:bCs/>
          <w:sz w:val="24"/>
          <w:szCs w:val="24"/>
        </w:rPr>
        <w:t>), vascular congestion (</w:t>
      </w:r>
      <w:r w:rsidR="00E275C1" w:rsidRPr="00E275C1">
        <w:rPr>
          <w:rFonts w:ascii="Times New Roman" w:hAnsi="Times New Roman" w:cs="Times New Roman"/>
          <w:bCs/>
          <w:i/>
          <w:sz w:val="24"/>
          <w:szCs w:val="24"/>
        </w:rPr>
        <w:t>vc</w:t>
      </w:r>
      <w:r w:rsidR="00E275C1" w:rsidRPr="00E275C1">
        <w:rPr>
          <w:rFonts w:ascii="Times New Roman" w:hAnsi="Times New Roman" w:cs="Times New Roman"/>
          <w:bCs/>
          <w:sz w:val="24"/>
          <w:szCs w:val="24"/>
        </w:rPr>
        <w:t>), infiltration of inflammatory cells (</w:t>
      </w:r>
      <w:r w:rsidR="00E275C1" w:rsidRPr="00E275C1">
        <w:rPr>
          <w:rFonts w:ascii="Times New Roman" w:hAnsi="Times New Roman" w:cs="Times New Roman"/>
          <w:bCs/>
          <w:i/>
          <w:sz w:val="24"/>
          <w:szCs w:val="24"/>
        </w:rPr>
        <w:t>iic</w:t>
      </w:r>
      <w:r w:rsidR="00E275C1" w:rsidRPr="00E275C1">
        <w:rPr>
          <w:rFonts w:ascii="Times New Roman" w:hAnsi="Times New Roman" w:cs="Times New Roman"/>
          <w:bCs/>
          <w:sz w:val="24"/>
          <w:szCs w:val="24"/>
        </w:rPr>
        <w:t>) and haemorrhages (</w:t>
      </w:r>
      <w:r w:rsidR="00E275C1" w:rsidRPr="00E275C1">
        <w:rPr>
          <w:rFonts w:ascii="Times New Roman" w:hAnsi="Times New Roman" w:cs="Times New Roman"/>
          <w:bCs/>
          <w:i/>
          <w:sz w:val="24"/>
          <w:szCs w:val="24"/>
        </w:rPr>
        <w:t>h</w:t>
      </w:r>
      <w:r w:rsidR="00E275C1" w:rsidRPr="00E275C1">
        <w:rPr>
          <w:rFonts w:ascii="Times New Roman" w:hAnsi="Times New Roman" w:cs="Times New Roman"/>
          <w:bCs/>
          <w:sz w:val="24"/>
          <w:szCs w:val="24"/>
        </w:rPr>
        <w:t xml:space="preserve">). Normal </w:t>
      </w:r>
      <w:r w:rsidR="00E275C1" w:rsidRPr="00E275C1">
        <w:rPr>
          <w:rFonts w:ascii="Times New Roman" w:hAnsi="Times New Roman" w:cs="Times New Roman"/>
          <w:bCs/>
          <w:sz w:val="24"/>
          <w:szCs w:val="24"/>
          <w:lang w:val="en-IN"/>
        </w:rPr>
        <w:t>stomach showing muscularis mucosa (</w:t>
      </w:r>
      <w:r w:rsidR="00E275C1" w:rsidRPr="00E275C1">
        <w:rPr>
          <w:rFonts w:ascii="Times New Roman" w:hAnsi="Times New Roman" w:cs="Times New Roman"/>
          <w:bCs/>
          <w:i/>
          <w:sz w:val="24"/>
          <w:szCs w:val="24"/>
          <w:lang w:val="en-IN"/>
        </w:rPr>
        <w:t>mm</w:t>
      </w:r>
      <w:r w:rsidR="00E275C1" w:rsidRPr="00E275C1">
        <w:rPr>
          <w:rFonts w:ascii="Times New Roman" w:hAnsi="Times New Roman" w:cs="Times New Roman"/>
          <w:bCs/>
          <w:sz w:val="24"/>
          <w:szCs w:val="24"/>
          <w:lang w:val="en-IN"/>
        </w:rPr>
        <w:t>), submucosa (</w:t>
      </w:r>
      <w:r w:rsidR="00E275C1" w:rsidRPr="00E275C1">
        <w:rPr>
          <w:rFonts w:ascii="Times New Roman" w:hAnsi="Times New Roman" w:cs="Times New Roman"/>
          <w:bCs/>
          <w:i/>
          <w:sz w:val="24"/>
          <w:szCs w:val="24"/>
          <w:lang w:val="en-IN"/>
        </w:rPr>
        <w:t>s</w:t>
      </w:r>
      <w:r w:rsidR="00E275C1" w:rsidRPr="00E275C1">
        <w:rPr>
          <w:rFonts w:ascii="Times New Roman" w:hAnsi="Times New Roman" w:cs="Times New Roman"/>
          <w:bCs/>
          <w:sz w:val="24"/>
          <w:szCs w:val="24"/>
          <w:lang w:val="en-IN"/>
        </w:rPr>
        <w:t>), lamina propia (</w:t>
      </w:r>
      <w:r w:rsidR="00E275C1" w:rsidRPr="00E275C1">
        <w:rPr>
          <w:rFonts w:ascii="Times New Roman" w:hAnsi="Times New Roman" w:cs="Times New Roman"/>
          <w:bCs/>
          <w:i/>
          <w:sz w:val="24"/>
          <w:szCs w:val="24"/>
          <w:lang w:val="en-IN"/>
        </w:rPr>
        <w:t>lp</w:t>
      </w:r>
      <w:r w:rsidR="00E275C1" w:rsidRPr="00E275C1">
        <w:rPr>
          <w:rFonts w:ascii="Times New Roman" w:hAnsi="Times New Roman" w:cs="Times New Roman"/>
          <w:bCs/>
          <w:sz w:val="24"/>
          <w:szCs w:val="24"/>
          <w:lang w:val="en-IN"/>
        </w:rPr>
        <w:t>) and gastric pits (</w:t>
      </w:r>
      <w:r w:rsidR="00E275C1" w:rsidRPr="00E275C1">
        <w:rPr>
          <w:rFonts w:ascii="Times New Roman" w:hAnsi="Times New Roman" w:cs="Times New Roman"/>
          <w:bCs/>
          <w:i/>
          <w:sz w:val="24"/>
          <w:szCs w:val="24"/>
          <w:lang w:val="en-IN"/>
        </w:rPr>
        <w:t>gp</w:t>
      </w:r>
      <w:r w:rsidR="00E275C1" w:rsidRPr="00E275C1">
        <w:rPr>
          <w:rFonts w:ascii="Times New Roman" w:hAnsi="Times New Roman" w:cs="Times New Roman"/>
          <w:bCs/>
          <w:sz w:val="24"/>
          <w:szCs w:val="24"/>
          <w:lang w:val="en-IN"/>
        </w:rPr>
        <w:t>), gastric mucosa (</w:t>
      </w:r>
      <w:r w:rsidR="00E275C1" w:rsidRPr="00E275C1">
        <w:rPr>
          <w:rFonts w:ascii="Times New Roman" w:hAnsi="Times New Roman" w:cs="Times New Roman"/>
          <w:bCs/>
          <w:i/>
          <w:sz w:val="24"/>
          <w:szCs w:val="24"/>
          <w:lang w:val="en-IN"/>
        </w:rPr>
        <w:t>gm</w:t>
      </w:r>
      <w:r w:rsidR="00E275C1" w:rsidRPr="00E275C1">
        <w:rPr>
          <w:rFonts w:ascii="Times New Roman" w:hAnsi="Times New Roman" w:cs="Times New Roman"/>
          <w:bCs/>
          <w:sz w:val="24"/>
          <w:szCs w:val="24"/>
          <w:lang w:val="en-IN"/>
        </w:rPr>
        <w:t>), gastric cavity (</w:t>
      </w:r>
      <w:r w:rsidR="00E275C1" w:rsidRPr="00E275C1">
        <w:rPr>
          <w:rFonts w:ascii="Times New Roman" w:hAnsi="Times New Roman" w:cs="Times New Roman"/>
          <w:bCs/>
          <w:i/>
          <w:sz w:val="24"/>
          <w:szCs w:val="24"/>
          <w:lang w:val="en-IN"/>
        </w:rPr>
        <w:t>gc</w:t>
      </w:r>
      <w:r w:rsidR="00E275C1" w:rsidRPr="00E275C1">
        <w:rPr>
          <w:rFonts w:ascii="Times New Roman" w:hAnsi="Times New Roman" w:cs="Times New Roman"/>
          <w:bCs/>
          <w:sz w:val="24"/>
          <w:szCs w:val="24"/>
          <w:lang w:val="en-IN"/>
        </w:rPr>
        <w:t>), gastric epithelium (</w:t>
      </w:r>
      <w:r w:rsidR="00E275C1" w:rsidRPr="00E275C1">
        <w:rPr>
          <w:rFonts w:ascii="Times New Roman" w:hAnsi="Times New Roman" w:cs="Times New Roman"/>
          <w:bCs/>
          <w:i/>
          <w:sz w:val="24"/>
          <w:szCs w:val="24"/>
          <w:lang w:val="en-IN"/>
        </w:rPr>
        <w:t>ge</w:t>
      </w:r>
      <w:r w:rsidR="00E275C1" w:rsidRPr="00E275C1">
        <w:rPr>
          <w:rFonts w:ascii="Times New Roman" w:hAnsi="Times New Roman" w:cs="Times New Roman"/>
          <w:bCs/>
          <w:sz w:val="24"/>
          <w:szCs w:val="24"/>
          <w:lang w:val="en-IN"/>
        </w:rPr>
        <w:t>), muscularis propia (</w:t>
      </w:r>
      <w:r w:rsidR="00E275C1" w:rsidRPr="00E275C1">
        <w:rPr>
          <w:rFonts w:ascii="Times New Roman" w:hAnsi="Times New Roman" w:cs="Times New Roman"/>
          <w:bCs/>
          <w:i/>
          <w:sz w:val="24"/>
          <w:szCs w:val="24"/>
          <w:lang w:val="en-IN"/>
        </w:rPr>
        <w:t>mp</w:t>
      </w:r>
      <w:r w:rsidR="00E275C1" w:rsidRPr="00E275C1">
        <w:rPr>
          <w:rFonts w:ascii="Times New Roman" w:hAnsi="Times New Roman" w:cs="Times New Roman"/>
          <w:bCs/>
          <w:sz w:val="24"/>
          <w:szCs w:val="24"/>
          <w:lang w:val="en-IN"/>
        </w:rPr>
        <w:t>), circular muscle (</w:t>
      </w:r>
      <w:r w:rsidR="00E275C1" w:rsidRPr="00E275C1">
        <w:rPr>
          <w:rFonts w:ascii="Times New Roman" w:hAnsi="Times New Roman" w:cs="Times New Roman"/>
          <w:bCs/>
          <w:i/>
          <w:sz w:val="24"/>
          <w:szCs w:val="24"/>
          <w:lang w:val="en-IN"/>
        </w:rPr>
        <w:t>cm</w:t>
      </w:r>
      <w:r w:rsidR="00E275C1" w:rsidRPr="00E275C1">
        <w:rPr>
          <w:rFonts w:ascii="Times New Roman" w:hAnsi="Times New Roman" w:cs="Times New Roman"/>
          <w:bCs/>
          <w:sz w:val="24"/>
          <w:szCs w:val="24"/>
          <w:lang w:val="en-IN"/>
        </w:rPr>
        <w:t>), longitudinal muscle (</w:t>
      </w:r>
      <w:r w:rsidR="00E275C1" w:rsidRPr="00E275C1">
        <w:rPr>
          <w:rFonts w:ascii="Times New Roman" w:hAnsi="Times New Roman" w:cs="Times New Roman"/>
          <w:bCs/>
          <w:i/>
          <w:sz w:val="24"/>
          <w:szCs w:val="24"/>
          <w:lang w:val="en-IN"/>
        </w:rPr>
        <w:t>lm</w:t>
      </w:r>
      <w:r w:rsidR="00E275C1" w:rsidRPr="00E275C1">
        <w:rPr>
          <w:rFonts w:ascii="Times New Roman" w:hAnsi="Times New Roman" w:cs="Times New Roman"/>
          <w:bCs/>
          <w:sz w:val="24"/>
          <w:szCs w:val="24"/>
          <w:lang w:val="en-IN"/>
        </w:rPr>
        <w:t>), serosa (</w:t>
      </w:r>
      <w:r w:rsidR="00E275C1" w:rsidRPr="00E275C1">
        <w:rPr>
          <w:rFonts w:ascii="Times New Roman" w:hAnsi="Times New Roman" w:cs="Times New Roman"/>
          <w:bCs/>
          <w:i/>
          <w:sz w:val="24"/>
          <w:szCs w:val="24"/>
          <w:lang w:val="en-IN"/>
        </w:rPr>
        <w:t>s</w:t>
      </w:r>
      <w:r w:rsidR="00E275C1" w:rsidRPr="00E275C1">
        <w:rPr>
          <w:rFonts w:ascii="Times New Roman" w:hAnsi="Times New Roman" w:cs="Times New Roman"/>
          <w:bCs/>
          <w:sz w:val="24"/>
          <w:szCs w:val="24"/>
          <w:lang w:val="en-IN"/>
        </w:rPr>
        <w:t>), blood vessels (</w:t>
      </w:r>
      <w:r w:rsidR="00E275C1" w:rsidRPr="00E275C1">
        <w:rPr>
          <w:rFonts w:ascii="Times New Roman" w:hAnsi="Times New Roman" w:cs="Times New Roman"/>
          <w:bCs/>
          <w:i/>
          <w:sz w:val="24"/>
          <w:szCs w:val="24"/>
          <w:lang w:val="en-IN"/>
        </w:rPr>
        <w:t>bv</w:t>
      </w:r>
      <w:r w:rsidR="00E275C1" w:rsidRPr="00E275C1">
        <w:rPr>
          <w:rFonts w:ascii="Times New Roman" w:hAnsi="Times New Roman" w:cs="Times New Roman"/>
          <w:bCs/>
          <w:sz w:val="24"/>
          <w:szCs w:val="24"/>
          <w:lang w:val="en-IN"/>
        </w:rPr>
        <w:t>) and 200 mg/kg group showing vascular congestion (</w:t>
      </w:r>
      <w:r w:rsidR="00E275C1" w:rsidRPr="00E275C1">
        <w:rPr>
          <w:rFonts w:ascii="Times New Roman" w:hAnsi="Times New Roman" w:cs="Times New Roman"/>
          <w:bCs/>
          <w:i/>
          <w:sz w:val="24"/>
          <w:szCs w:val="24"/>
          <w:lang w:val="en-IN"/>
        </w:rPr>
        <w:t>vc</w:t>
      </w:r>
      <w:r w:rsidR="00E275C1" w:rsidRPr="00E275C1">
        <w:rPr>
          <w:rFonts w:ascii="Times New Roman" w:hAnsi="Times New Roman" w:cs="Times New Roman"/>
          <w:bCs/>
          <w:sz w:val="24"/>
          <w:szCs w:val="24"/>
          <w:lang w:val="en-IN"/>
        </w:rPr>
        <w:t>), thickening of submucosal area (</w:t>
      </w:r>
      <w:r w:rsidR="00E275C1" w:rsidRPr="00E275C1">
        <w:rPr>
          <w:rFonts w:ascii="Times New Roman" w:hAnsi="Times New Roman" w:cs="Times New Roman"/>
          <w:bCs/>
          <w:i/>
          <w:sz w:val="24"/>
          <w:szCs w:val="24"/>
          <w:lang w:val="en-IN"/>
        </w:rPr>
        <w:t>tsa</w:t>
      </w:r>
      <w:r w:rsidR="00E275C1" w:rsidRPr="00E275C1">
        <w:rPr>
          <w:rFonts w:ascii="Times New Roman" w:hAnsi="Times New Roman" w:cs="Times New Roman"/>
          <w:bCs/>
          <w:sz w:val="24"/>
          <w:szCs w:val="24"/>
          <w:lang w:val="en-IN"/>
        </w:rPr>
        <w:t>), cellular infiltration (</w:t>
      </w:r>
      <w:r w:rsidR="00E275C1" w:rsidRPr="00E275C1">
        <w:rPr>
          <w:rFonts w:ascii="Times New Roman" w:hAnsi="Times New Roman" w:cs="Times New Roman"/>
          <w:bCs/>
          <w:i/>
          <w:sz w:val="24"/>
          <w:szCs w:val="24"/>
          <w:lang w:val="en-IN"/>
        </w:rPr>
        <w:t>ci</w:t>
      </w:r>
      <w:r w:rsidR="00E275C1" w:rsidRPr="00E275C1">
        <w:rPr>
          <w:rFonts w:ascii="Times New Roman" w:hAnsi="Times New Roman" w:cs="Times New Roman"/>
          <w:bCs/>
          <w:sz w:val="24"/>
          <w:szCs w:val="24"/>
          <w:lang w:val="en-IN"/>
        </w:rPr>
        <w:t>), desquamation of gastric mucosa (</w:t>
      </w:r>
      <w:r w:rsidR="00E275C1" w:rsidRPr="00E275C1">
        <w:rPr>
          <w:rFonts w:ascii="Times New Roman" w:hAnsi="Times New Roman" w:cs="Times New Roman"/>
          <w:bCs/>
          <w:i/>
          <w:sz w:val="24"/>
          <w:szCs w:val="24"/>
          <w:lang w:val="en-IN"/>
        </w:rPr>
        <w:t>d</w:t>
      </w:r>
      <w:r w:rsidR="00E275C1" w:rsidRPr="00E275C1">
        <w:rPr>
          <w:rFonts w:ascii="Times New Roman" w:hAnsi="Times New Roman" w:cs="Times New Roman"/>
          <w:bCs/>
          <w:sz w:val="24"/>
          <w:szCs w:val="24"/>
          <w:lang w:val="en-IN"/>
        </w:rPr>
        <w:t>), vacuolization (</w:t>
      </w:r>
      <w:r w:rsidR="00E275C1" w:rsidRPr="00E275C1">
        <w:rPr>
          <w:rFonts w:ascii="Times New Roman" w:hAnsi="Times New Roman" w:cs="Times New Roman"/>
          <w:bCs/>
          <w:i/>
          <w:sz w:val="24"/>
          <w:szCs w:val="24"/>
          <w:lang w:val="en-IN"/>
        </w:rPr>
        <w:t>v</w:t>
      </w:r>
      <w:r w:rsidR="00E275C1" w:rsidRPr="00E275C1">
        <w:rPr>
          <w:rFonts w:ascii="Times New Roman" w:hAnsi="Times New Roman" w:cs="Times New Roman"/>
          <w:bCs/>
          <w:sz w:val="24"/>
          <w:szCs w:val="24"/>
          <w:lang w:val="en-IN"/>
        </w:rPr>
        <w:t>), glandular widening (</w:t>
      </w:r>
      <w:r w:rsidR="00E275C1" w:rsidRPr="00E275C1">
        <w:rPr>
          <w:rFonts w:ascii="Times New Roman" w:hAnsi="Times New Roman" w:cs="Times New Roman"/>
          <w:bCs/>
          <w:i/>
          <w:sz w:val="24"/>
          <w:szCs w:val="24"/>
          <w:lang w:val="en-IN"/>
        </w:rPr>
        <w:t>gw</w:t>
      </w:r>
      <w:r w:rsidR="00E275C1" w:rsidRPr="00E275C1">
        <w:rPr>
          <w:rFonts w:ascii="Times New Roman" w:hAnsi="Times New Roman" w:cs="Times New Roman"/>
          <w:bCs/>
          <w:sz w:val="24"/>
          <w:szCs w:val="24"/>
          <w:lang w:val="en-IN"/>
        </w:rPr>
        <w:t>). Normal pancreas showing islets of Langerhans (</w:t>
      </w:r>
      <w:r w:rsidR="00E275C1" w:rsidRPr="00E275C1">
        <w:rPr>
          <w:rFonts w:ascii="Times New Roman" w:hAnsi="Times New Roman" w:cs="Times New Roman"/>
          <w:bCs/>
          <w:i/>
          <w:sz w:val="24"/>
          <w:szCs w:val="24"/>
          <w:lang w:val="en-IN"/>
        </w:rPr>
        <w:t>I</w:t>
      </w:r>
      <w:r w:rsidR="00E275C1" w:rsidRPr="00E275C1">
        <w:rPr>
          <w:rFonts w:ascii="Times New Roman" w:hAnsi="Times New Roman" w:cs="Times New Roman"/>
          <w:bCs/>
          <w:sz w:val="24"/>
          <w:szCs w:val="24"/>
          <w:lang w:val="en-IN"/>
        </w:rPr>
        <w:t>), Normal acinar arrangements with basal basophila and apical acidophila (</w:t>
      </w:r>
      <w:r w:rsidR="00E275C1" w:rsidRPr="00E275C1">
        <w:rPr>
          <w:rFonts w:ascii="Times New Roman" w:hAnsi="Times New Roman" w:cs="Times New Roman"/>
          <w:bCs/>
          <w:i/>
          <w:sz w:val="24"/>
          <w:szCs w:val="24"/>
          <w:lang w:val="en-IN"/>
        </w:rPr>
        <w:t>a</w:t>
      </w:r>
      <w:r w:rsidR="00E275C1" w:rsidRPr="00E275C1">
        <w:rPr>
          <w:rFonts w:ascii="Times New Roman" w:hAnsi="Times New Roman" w:cs="Times New Roman"/>
          <w:bCs/>
          <w:sz w:val="24"/>
          <w:szCs w:val="24"/>
          <w:lang w:val="en-IN"/>
        </w:rPr>
        <w:t>), exocrine protion (</w:t>
      </w:r>
      <w:r w:rsidR="00E275C1" w:rsidRPr="00E275C1">
        <w:rPr>
          <w:rFonts w:ascii="Times New Roman" w:hAnsi="Times New Roman" w:cs="Times New Roman"/>
          <w:bCs/>
          <w:i/>
          <w:sz w:val="24"/>
          <w:szCs w:val="24"/>
          <w:lang w:val="en-IN"/>
        </w:rPr>
        <w:t>ep</w:t>
      </w:r>
      <w:r w:rsidR="00E275C1" w:rsidRPr="00E275C1">
        <w:rPr>
          <w:rFonts w:ascii="Times New Roman" w:hAnsi="Times New Roman" w:cs="Times New Roman"/>
          <w:bCs/>
          <w:sz w:val="24"/>
          <w:szCs w:val="24"/>
          <w:lang w:val="en-IN"/>
        </w:rPr>
        <w:t>), collagen (</w:t>
      </w:r>
      <w:r w:rsidR="00E275C1" w:rsidRPr="00E275C1">
        <w:rPr>
          <w:rFonts w:ascii="Times New Roman" w:hAnsi="Times New Roman" w:cs="Times New Roman"/>
          <w:bCs/>
          <w:i/>
          <w:sz w:val="24"/>
          <w:szCs w:val="24"/>
          <w:lang w:val="en-IN"/>
        </w:rPr>
        <w:t>c</w:t>
      </w:r>
      <w:r w:rsidR="00E275C1" w:rsidRPr="00E275C1">
        <w:rPr>
          <w:rFonts w:ascii="Times New Roman" w:hAnsi="Times New Roman" w:cs="Times New Roman"/>
          <w:bCs/>
          <w:sz w:val="24"/>
          <w:szCs w:val="24"/>
          <w:lang w:val="en-IN"/>
        </w:rPr>
        <w:t>), intralobular duct (</w:t>
      </w:r>
      <w:r w:rsidR="00E275C1" w:rsidRPr="00E275C1">
        <w:rPr>
          <w:rFonts w:ascii="Times New Roman" w:hAnsi="Times New Roman" w:cs="Times New Roman"/>
          <w:bCs/>
          <w:i/>
          <w:sz w:val="24"/>
          <w:szCs w:val="24"/>
          <w:lang w:val="en-IN"/>
        </w:rPr>
        <w:t>id</w:t>
      </w:r>
      <w:r w:rsidR="00E275C1" w:rsidRPr="00E275C1">
        <w:rPr>
          <w:rFonts w:ascii="Times New Roman" w:hAnsi="Times New Roman" w:cs="Times New Roman"/>
          <w:bCs/>
          <w:sz w:val="24"/>
          <w:szCs w:val="24"/>
          <w:lang w:val="en-IN"/>
        </w:rPr>
        <w:t>), vascular stroma (</w:t>
      </w:r>
      <w:r w:rsidR="00E275C1" w:rsidRPr="00E275C1">
        <w:rPr>
          <w:rFonts w:ascii="Times New Roman" w:hAnsi="Times New Roman" w:cs="Times New Roman"/>
          <w:bCs/>
          <w:i/>
          <w:sz w:val="24"/>
          <w:szCs w:val="24"/>
          <w:lang w:val="en-IN"/>
        </w:rPr>
        <w:t>vs</w:t>
      </w:r>
      <w:r w:rsidR="00E275C1" w:rsidRPr="00E275C1">
        <w:rPr>
          <w:rFonts w:ascii="Times New Roman" w:hAnsi="Times New Roman" w:cs="Times New Roman"/>
          <w:bCs/>
          <w:sz w:val="24"/>
          <w:szCs w:val="24"/>
          <w:lang w:val="en-IN"/>
        </w:rPr>
        <w:t>) and 200 mg/kg group showing oedema (</w:t>
      </w:r>
      <w:r w:rsidR="00E275C1" w:rsidRPr="00E275C1">
        <w:rPr>
          <w:rFonts w:ascii="Times New Roman" w:hAnsi="Times New Roman" w:cs="Times New Roman"/>
          <w:bCs/>
          <w:i/>
          <w:sz w:val="24"/>
          <w:szCs w:val="24"/>
          <w:lang w:val="en-IN"/>
        </w:rPr>
        <w:t>oe</w:t>
      </w:r>
      <w:r w:rsidR="00E275C1" w:rsidRPr="00E275C1">
        <w:rPr>
          <w:rFonts w:ascii="Times New Roman" w:hAnsi="Times New Roman" w:cs="Times New Roman"/>
          <w:bCs/>
          <w:sz w:val="24"/>
          <w:szCs w:val="24"/>
          <w:lang w:val="en-IN"/>
        </w:rPr>
        <w:t>), degenerated entrapped islet of Langerhans (</w:t>
      </w:r>
      <w:r w:rsidR="00E275C1" w:rsidRPr="00E275C1">
        <w:rPr>
          <w:rFonts w:ascii="Times New Roman" w:hAnsi="Times New Roman" w:cs="Times New Roman"/>
          <w:bCs/>
          <w:i/>
          <w:sz w:val="24"/>
          <w:szCs w:val="24"/>
          <w:lang w:val="en-IN"/>
        </w:rPr>
        <w:t>d</w:t>
      </w:r>
      <w:r w:rsidR="00E275C1" w:rsidRPr="00E275C1">
        <w:rPr>
          <w:rFonts w:ascii="Times New Roman" w:hAnsi="Times New Roman" w:cs="Times New Roman"/>
          <w:bCs/>
          <w:sz w:val="24"/>
          <w:szCs w:val="24"/>
          <w:lang w:val="en-IN"/>
        </w:rPr>
        <w:t>), shrinkage of islet of Langerhans (</w:t>
      </w:r>
      <w:r w:rsidR="00E275C1" w:rsidRPr="00E275C1">
        <w:rPr>
          <w:rFonts w:ascii="Times New Roman" w:hAnsi="Times New Roman" w:cs="Times New Roman"/>
          <w:bCs/>
          <w:i/>
          <w:sz w:val="24"/>
          <w:szCs w:val="24"/>
          <w:lang w:val="en-IN"/>
        </w:rPr>
        <w:t>sil</w:t>
      </w:r>
      <w:r w:rsidR="00E275C1" w:rsidRPr="00E275C1">
        <w:rPr>
          <w:rFonts w:ascii="Times New Roman" w:hAnsi="Times New Roman" w:cs="Times New Roman"/>
          <w:bCs/>
          <w:sz w:val="24"/>
          <w:szCs w:val="24"/>
          <w:lang w:val="en-IN"/>
        </w:rPr>
        <w:t>), vacuolization (</w:t>
      </w:r>
      <w:r w:rsidR="00E275C1" w:rsidRPr="00E275C1">
        <w:rPr>
          <w:rFonts w:ascii="Times New Roman" w:hAnsi="Times New Roman" w:cs="Times New Roman"/>
          <w:bCs/>
          <w:i/>
          <w:sz w:val="24"/>
          <w:szCs w:val="24"/>
          <w:lang w:val="en-IN"/>
        </w:rPr>
        <w:t>v</w:t>
      </w:r>
      <w:r w:rsidR="00E275C1" w:rsidRPr="00E275C1">
        <w:rPr>
          <w:rFonts w:ascii="Times New Roman" w:hAnsi="Times New Roman" w:cs="Times New Roman"/>
          <w:bCs/>
          <w:sz w:val="24"/>
          <w:szCs w:val="24"/>
          <w:lang w:val="en-IN"/>
        </w:rPr>
        <w:t>). Normal testis showing seminiferous tubules (st), sertoli cells (sc), spermatogina (</w:t>
      </w:r>
      <w:r w:rsidR="00E275C1" w:rsidRPr="00E275C1">
        <w:rPr>
          <w:rFonts w:ascii="Times New Roman" w:hAnsi="Times New Roman" w:cs="Times New Roman"/>
          <w:bCs/>
          <w:i/>
          <w:sz w:val="24"/>
          <w:szCs w:val="24"/>
          <w:lang w:val="en-IN"/>
        </w:rPr>
        <w:t>sg</w:t>
      </w:r>
      <w:r w:rsidR="00E275C1" w:rsidRPr="00E275C1">
        <w:rPr>
          <w:rFonts w:ascii="Times New Roman" w:hAnsi="Times New Roman" w:cs="Times New Roman"/>
          <w:bCs/>
          <w:sz w:val="24"/>
          <w:szCs w:val="24"/>
          <w:lang w:val="en-IN"/>
        </w:rPr>
        <w:t>), primary spermatocytre (</w:t>
      </w:r>
      <w:r w:rsidR="00E275C1" w:rsidRPr="00E275C1">
        <w:rPr>
          <w:rFonts w:ascii="Times New Roman" w:hAnsi="Times New Roman" w:cs="Times New Roman"/>
          <w:bCs/>
          <w:i/>
          <w:sz w:val="24"/>
          <w:szCs w:val="24"/>
          <w:lang w:val="en-IN"/>
        </w:rPr>
        <w:t>ps</w:t>
      </w:r>
      <w:r w:rsidR="00E275C1" w:rsidRPr="00E275C1">
        <w:rPr>
          <w:rFonts w:ascii="Times New Roman" w:hAnsi="Times New Roman" w:cs="Times New Roman"/>
          <w:bCs/>
          <w:sz w:val="24"/>
          <w:szCs w:val="24"/>
          <w:lang w:val="en-IN"/>
        </w:rPr>
        <w:t>), spermatozoa (</w:t>
      </w:r>
      <w:r w:rsidR="00E275C1" w:rsidRPr="00E275C1">
        <w:rPr>
          <w:rFonts w:ascii="Times New Roman" w:hAnsi="Times New Roman" w:cs="Times New Roman"/>
          <w:bCs/>
          <w:i/>
          <w:sz w:val="24"/>
          <w:szCs w:val="24"/>
          <w:lang w:val="en-IN"/>
        </w:rPr>
        <w:t>sz</w:t>
      </w:r>
      <w:r w:rsidR="00E275C1" w:rsidRPr="00E275C1">
        <w:rPr>
          <w:rFonts w:ascii="Times New Roman" w:hAnsi="Times New Roman" w:cs="Times New Roman"/>
          <w:bCs/>
          <w:sz w:val="24"/>
          <w:szCs w:val="24"/>
          <w:lang w:val="en-IN"/>
        </w:rPr>
        <w:t>), leydig cells (</w:t>
      </w:r>
      <w:r w:rsidR="00E275C1" w:rsidRPr="00E275C1">
        <w:rPr>
          <w:rFonts w:ascii="Times New Roman" w:hAnsi="Times New Roman" w:cs="Times New Roman"/>
          <w:bCs/>
          <w:i/>
          <w:sz w:val="24"/>
          <w:szCs w:val="24"/>
          <w:lang w:val="en-IN"/>
        </w:rPr>
        <w:t>lc</w:t>
      </w:r>
      <w:r w:rsidR="00E275C1" w:rsidRPr="00E275C1">
        <w:rPr>
          <w:rFonts w:ascii="Times New Roman" w:hAnsi="Times New Roman" w:cs="Times New Roman"/>
          <w:bCs/>
          <w:sz w:val="24"/>
          <w:szCs w:val="24"/>
          <w:lang w:val="en-IN"/>
        </w:rPr>
        <w:t>), lumen (</w:t>
      </w:r>
      <w:r w:rsidR="00E275C1" w:rsidRPr="00E275C1">
        <w:rPr>
          <w:rFonts w:ascii="Times New Roman" w:hAnsi="Times New Roman" w:cs="Times New Roman"/>
          <w:bCs/>
          <w:i/>
          <w:sz w:val="24"/>
          <w:szCs w:val="24"/>
          <w:lang w:val="en-IN"/>
        </w:rPr>
        <w:t>lu</w:t>
      </w:r>
      <w:r w:rsidR="00E275C1" w:rsidRPr="00E275C1">
        <w:rPr>
          <w:rFonts w:ascii="Times New Roman" w:hAnsi="Times New Roman" w:cs="Times New Roman"/>
          <w:bCs/>
          <w:sz w:val="24"/>
          <w:szCs w:val="24"/>
          <w:lang w:val="en-IN"/>
        </w:rPr>
        <w:t>), round spermatids (</w:t>
      </w:r>
      <w:r w:rsidR="00E275C1" w:rsidRPr="00E275C1">
        <w:rPr>
          <w:rFonts w:ascii="Times New Roman" w:hAnsi="Times New Roman" w:cs="Times New Roman"/>
          <w:bCs/>
          <w:i/>
          <w:sz w:val="24"/>
          <w:szCs w:val="24"/>
          <w:lang w:val="en-IN"/>
        </w:rPr>
        <w:t>rs</w:t>
      </w:r>
      <w:r w:rsidR="00E275C1" w:rsidRPr="00E275C1">
        <w:rPr>
          <w:rFonts w:ascii="Times New Roman" w:hAnsi="Times New Roman" w:cs="Times New Roman"/>
          <w:bCs/>
          <w:sz w:val="24"/>
          <w:szCs w:val="24"/>
          <w:lang w:val="en-IN"/>
        </w:rPr>
        <w:t>), elongated spermatid (</w:t>
      </w:r>
      <w:r w:rsidR="00E275C1" w:rsidRPr="00E275C1">
        <w:rPr>
          <w:rFonts w:ascii="Times New Roman" w:hAnsi="Times New Roman" w:cs="Times New Roman"/>
          <w:bCs/>
          <w:i/>
          <w:sz w:val="24"/>
          <w:szCs w:val="24"/>
          <w:lang w:val="en-IN"/>
        </w:rPr>
        <w:t>es</w:t>
      </w:r>
      <w:r w:rsidR="00E275C1" w:rsidRPr="00E275C1">
        <w:rPr>
          <w:rFonts w:ascii="Times New Roman" w:hAnsi="Times New Roman" w:cs="Times New Roman"/>
          <w:bCs/>
          <w:sz w:val="24"/>
          <w:szCs w:val="24"/>
          <w:lang w:val="en-IN"/>
        </w:rPr>
        <w:t>), basement membrane (</w:t>
      </w:r>
      <w:r w:rsidR="00E275C1" w:rsidRPr="00E275C1">
        <w:rPr>
          <w:rFonts w:ascii="Times New Roman" w:hAnsi="Times New Roman" w:cs="Times New Roman"/>
          <w:bCs/>
          <w:i/>
          <w:sz w:val="24"/>
          <w:szCs w:val="24"/>
          <w:lang w:val="en-IN"/>
        </w:rPr>
        <w:t>bm</w:t>
      </w:r>
      <w:r w:rsidR="00E275C1" w:rsidRPr="00E275C1">
        <w:rPr>
          <w:rFonts w:ascii="Times New Roman" w:hAnsi="Times New Roman" w:cs="Times New Roman"/>
          <w:bCs/>
          <w:sz w:val="24"/>
          <w:szCs w:val="24"/>
          <w:lang w:val="en-IN"/>
        </w:rPr>
        <w:t>) and 200 mg/kg group showing degeneration in seminiferous tubules (</w:t>
      </w:r>
      <w:r w:rsidR="00E275C1" w:rsidRPr="00E275C1">
        <w:rPr>
          <w:rFonts w:ascii="Times New Roman" w:hAnsi="Times New Roman" w:cs="Times New Roman"/>
          <w:bCs/>
          <w:i/>
          <w:sz w:val="24"/>
          <w:szCs w:val="24"/>
          <w:lang w:val="en-IN"/>
        </w:rPr>
        <w:t>d</w:t>
      </w:r>
      <w:r w:rsidR="00E275C1" w:rsidRPr="00E275C1">
        <w:rPr>
          <w:rFonts w:ascii="Times New Roman" w:hAnsi="Times New Roman" w:cs="Times New Roman"/>
          <w:bCs/>
          <w:sz w:val="24"/>
          <w:szCs w:val="24"/>
          <w:lang w:val="en-IN"/>
        </w:rPr>
        <w:t>), oedema in interstitial tissues (</w:t>
      </w:r>
      <w:r w:rsidR="00E275C1" w:rsidRPr="00E275C1">
        <w:rPr>
          <w:rFonts w:ascii="Times New Roman" w:hAnsi="Times New Roman" w:cs="Times New Roman"/>
          <w:bCs/>
          <w:i/>
          <w:sz w:val="24"/>
          <w:szCs w:val="24"/>
          <w:lang w:val="en-IN"/>
        </w:rPr>
        <w:t>oe</w:t>
      </w:r>
      <w:r w:rsidR="00E275C1" w:rsidRPr="00E275C1">
        <w:rPr>
          <w:rFonts w:ascii="Times New Roman" w:hAnsi="Times New Roman" w:cs="Times New Roman"/>
          <w:bCs/>
          <w:sz w:val="24"/>
          <w:szCs w:val="24"/>
          <w:lang w:val="en-IN"/>
        </w:rPr>
        <w:t>), vacuolization (</w:t>
      </w:r>
      <w:r w:rsidR="00E275C1" w:rsidRPr="00E275C1">
        <w:rPr>
          <w:rFonts w:ascii="Times New Roman" w:hAnsi="Times New Roman" w:cs="Times New Roman"/>
          <w:bCs/>
          <w:i/>
          <w:sz w:val="24"/>
          <w:szCs w:val="24"/>
          <w:lang w:val="en-IN"/>
        </w:rPr>
        <w:t>v</w:t>
      </w:r>
      <w:r w:rsidR="00E275C1" w:rsidRPr="00E275C1">
        <w:rPr>
          <w:rFonts w:ascii="Times New Roman" w:hAnsi="Times New Roman" w:cs="Times New Roman"/>
          <w:bCs/>
          <w:sz w:val="24"/>
          <w:szCs w:val="24"/>
          <w:lang w:val="en-IN"/>
        </w:rPr>
        <w:t>), exfoliated cells (</w:t>
      </w:r>
      <w:r w:rsidR="00E275C1" w:rsidRPr="00E275C1">
        <w:rPr>
          <w:rFonts w:ascii="Times New Roman" w:hAnsi="Times New Roman" w:cs="Times New Roman"/>
          <w:bCs/>
          <w:i/>
          <w:sz w:val="24"/>
          <w:szCs w:val="24"/>
          <w:lang w:val="en-IN"/>
        </w:rPr>
        <w:t>ec</w:t>
      </w:r>
      <w:r w:rsidR="00E275C1" w:rsidRPr="00E275C1">
        <w:rPr>
          <w:rFonts w:ascii="Times New Roman" w:hAnsi="Times New Roman" w:cs="Times New Roman"/>
          <w:bCs/>
          <w:sz w:val="24"/>
          <w:szCs w:val="24"/>
          <w:lang w:val="en-IN"/>
        </w:rPr>
        <w:t>), empty lumen (</w:t>
      </w:r>
      <w:r w:rsidR="00E275C1" w:rsidRPr="00E275C1">
        <w:rPr>
          <w:rFonts w:ascii="Times New Roman" w:hAnsi="Times New Roman" w:cs="Times New Roman"/>
          <w:bCs/>
          <w:i/>
          <w:sz w:val="24"/>
          <w:szCs w:val="24"/>
          <w:lang w:val="en-IN"/>
        </w:rPr>
        <w:t>el</w:t>
      </w:r>
      <w:r w:rsidR="00E275C1" w:rsidRPr="00E275C1">
        <w:rPr>
          <w:rFonts w:ascii="Times New Roman" w:hAnsi="Times New Roman" w:cs="Times New Roman"/>
          <w:bCs/>
          <w:sz w:val="24"/>
          <w:szCs w:val="24"/>
          <w:lang w:val="en-IN"/>
        </w:rPr>
        <w:t>), atrophy of leydig cells (</w:t>
      </w:r>
      <w:r w:rsidR="00E275C1" w:rsidRPr="00E275C1">
        <w:rPr>
          <w:rFonts w:ascii="Times New Roman" w:hAnsi="Times New Roman" w:cs="Times New Roman"/>
          <w:bCs/>
          <w:i/>
          <w:sz w:val="24"/>
          <w:szCs w:val="24"/>
          <w:lang w:val="en-IN"/>
        </w:rPr>
        <w:t>a</w:t>
      </w:r>
      <w:r w:rsidR="00E275C1" w:rsidRPr="00E275C1">
        <w:rPr>
          <w:rFonts w:ascii="Times New Roman" w:hAnsi="Times New Roman" w:cs="Times New Roman"/>
          <w:bCs/>
          <w:sz w:val="24"/>
          <w:szCs w:val="24"/>
          <w:lang w:val="en-IN"/>
        </w:rPr>
        <w:t>), multinucleated giant cells (</w:t>
      </w:r>
      <w:r w:rsidR="00E275C1" w:rsidRPr="00E275C1">
        <w:rPr>
          <w:rFonts w:ascii="Times New Roman" w:hAnsi="Times New Roman" w:cs="Times New Roman"/>
          <w:bCs/>
          <w:i/>
          <w:sz w:val="24"/>
          <w:szCs w:val="24"/>
          <w:lang w:val="en-IN"/>
        </w:rPr>
        <w:t>mng</w:t>
      </w:r>
      <w:r w:rsidR="00E275C1" w:rsidRPr="00E275C1">
        <w:rPr>
          <w:rFonts w:ascii="Times New Roman" w:hAnsi="Times New Roman" w:cs="Times New Roman"/>
          <w:bCs/>
          <w:sz w:val="24"/>
          <w:szCs w:val="24"/>
          <w:lang w:val="en-IN"/>
        </w:rPr>
        <w:t xml:space="preserve">). </w:t>
      </w:r>
    </w:p>
    <w:p w:rsidR="001511E2" w:rsidRDefault="00F62186" w:rsidP="00E275C1">
      <w:pPr>
        <w:spacing w:after="100" w:afterAutospacing="1"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Fig.</w:t>
      </w:r>
      <w:r w:rsidR="00E275C1" w:rsidRPr="00E275C1">
        <w:rPr>
          <w:rFonts w:ascii="Times New Roman" w:hAnsi="Times New Roman" w:cs="Times New Roman"/>
          <w:b/>
          <w:bCs/>
          <w:iCs/>
          <w:sz w:val="24"/>
          <w:szCs w:val="24"/>
        </w:rPr>
        <w:t xml:space="preserve"> S3</w:t>
      </w:r>
      <w:r w:rsidR="00E275C1" w:rsidRPr="00E275C1">
        <w:rPr>
          <w:rFonts w:ascii="Times New Roman" w:hAnsi="Times New Roman" w:cs="Times New Roman"/>
          <w:bCs/>
          <w:iCs/>
          <w:sz w:val="24"/>
          <w:szCs w:val="24"/>
        </w:rPr>
        <w:t xml:space="preserve"> In vivo antioxidant activity of taxifolin ruthenium-p-cymene complex. * represented p&lt;0.05 as compared to normal control. Similarly, # represented p&lt;0.05 as compared to </w:t>
      </w:r>
      <w:r w:rsidR="00E275C1" w:rsidRPr="00E275C1">
        <w:rPr>
          <w:rFonts w:ascii="Times New Roman" w:hAnsi="Times New Roman" w:cs="Times New Roman"/>
          <w:bCs/>
          <w:iCs/>
          <w:sz w:val="24"/>
          <w:szCs w:val="24"/>
        </w:rPr>
        <w:lastRenderedPageBreak/>
        <w:t>carcinogen control, $ represented p&lt;0.05 as compared to 50 mg/kg complex treated group, α represented p&lt;0.05 as compared to 100 mg/kg complex treated group, β represented p&lt;0.05 as compared to 200 mg/kg complex treated group, γ represented p&lt;0.05 as compared to 50 mg/kg taxifolin treated group. Data represented as means ± SEM from different experiments in triplicate. The results were compared using ANOVA, followed by a Tukey’s multiple comparison post-hoc analysis.</w:t>
      </w:r>
    </w:p>
    <w:p w:rsidR="001511E2" w:rsidRDefault="001511E2">
      <w:pPr>
        <w:rPr>
          <w:rFonts w:ascii="Times New Roman" w:hAnsi="Times New Roman" w:cs="Times New Roman"/>
          <w:bCs/>
          <w:iCs/>
          <w:sz w:val="24"/>
          <w:szCs w:val="24"/>
        </w:rPr>
      </w:pPr>
      <w:r>
        <w:rPr>
          <w:rFonts w:ascii="Times New Roman" w:hAnsi="Times New Roman" w:cs="Times New Roman"/>
          <w:bCs/>
          <w:iCs/>
          <w:sz w:val="24"/>
          <w:szCs w:val="24"/>
        </w:rPr>
        <w:br w:type="page"/>
      </w:r>
    </w:p>
    <w:p w:rsidR="00E275C1" w:rsidRDefault="001511E2" w:rsidP="00E275C1">
      <w:pPr>
        <w:spacing w:after="100" w:afterAutospacing="1" w:line="360" w:lineRule="auto"/>
        <w:jc w:val="both"/>
        <w:rPr>
          <w:rFonts w:ascii="Times New Roman" w:hAnsi="Times New Roman" w:cs="Times New Roman"/>
          <w:bCs/>
          <w:iCs/>
          <w:sz w:val="24"/>
          <w:szCs w:val="24"/>
        </w:rPr>
      </w:pPr>
      <w:r>
        <w:rPr>
          <w:rFonts w:ascii="Times New Roman" w:hAnsi="Times New Roman" w:cs="Times New Roman"/>
          <w:bCs/>
          <w:iCs/>
          <w:noProof/>
          <w:sz w:val="24"/>
          <w:szCs w:val="24"/>
        </w:rPr>
        <w:lastRenderedPageBreak/>
        <w:drawing>
          <wp:inline distT="0" distB="0" distL="0" distR="0">
            <wp:extent cx="5943600" cy="3636645"/>
            <wp:effectExtent l="19050" t="0" r="0" b="0"/>
            <wp:docPr id="1" name="Picture 0" descr="Figure 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jpg"/>
                    <pic:cNvPicPr/>
                  </pic:nvPicPr>
                  <pic:blipFill>
                    <a:blip r:embed="rId11" cstate="print"/>
                    <a:stretch>
                      <a:fillRect/>
                    </a:stretch>
                  </pic:blipFill>
                  <pic:spPr>
                    <a:xfrm>
                      <a:off x="0" y="0"/>
                      <a:ext cx="5943600" cy="3636645"/>
                    </a:xfrm>
                    <a:prstGeom prst="rect">
                      <a:avLst/>
                    </a:prstGeom>
                  </pic:spPr>
                </pic:pic>
              </a:graphicData>
            </a:graphic>
          </wp:inline>
        </w:drawing>
      </w:r>
    </w:p>
    <w:p w:rsidR="001511E2" w:rsidRPr="001511E2" w:rsidRDefault="00F62186" w:rsidP="00E275C1">
      <w:pPr>
        <w:spacing w:after="100" w:afterAutospacing="1"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Fig.</w:t>
      </w:r>
      <w:r w:rsidR="001511E2" w:rsidRPr="001511E2">
        <w:rPr>
          <w:rFonts w:ascii="Times New Roman" w:hAnsi="Times New Roman" w:cs="Times New Roman"/>
          <w:b/>
          <w:bCs/>
          <w:iCs/>
          <w:sz w:val="24"/>
          <w:szCs w:val="24"/>
        </w:rPr>
        <w:t xml:space="preserve"> S1</w:t>
      </w:r>
    </w:p>
    <w:p w:rsidR="001511E2" w:rsidRDefault="001511E2">
      <w:pPr>
        <w:rPr>
          <w:rFonts w:ascii="Times New Roman" w:hAnsi="Times New Roman" w:cs="Times New Roman"/>
          <w:bCs/>
          <w:iCs/>
          <w:sz w:val="24"/>
          <w:szCs w:val="24"/>
        </w:rPr>
      </w:pPr>
      <w:r>
        <w:rPr>
          <w:rFonts w:ascii="Times New Roman" w:hAnsi="Times New Roman" w:cs="Times New Roman"/>
          <w:bCs/>
          <w:iCs/>
          <w:sz w:val="24"/>
          <w:szCs w:val="24"/>
        </w:rPr>
        <w:br w:type="page"/>
      </w:r>
    </w:p>
    <w:p w:rsidR="001511E2" w:rsidRDefault="001511E2" w:rsidP="001511E2">
      <w:pPr>
        <w:spacing w:after="100" w:afterAutospacing="1" w:line="360" w:lineRule="auto"/>
        <w:ind w:left="-270"/>
        <w:jc w:val="both"/>
        <w:rPr>
          <w:rFonts w:ascii="Times New Roman" w:hAnsi="Times New Roman" w:cs="Times New Roman"/>
          <w:bCs/>
          <w:iCs/>
          <w:sz w:val="24"/>
          <w:szCs w:val="24"/>
        </w:rPr>
      </w:pPr>
      <w:r>
        <w:rPr>
          <w:rFonts w:ascii="Times New Roman" w:hAnsi="Times New Roman" w:cs="Times New Roman"/>
          <w:bCs/>
          <w:iCs/>
          <w:noProof/>
          <w:sz w:val="24"/>
          <w:szCs w:val="24"/>
        </w:rPr>
        <w:lastRenderedPageBreak/>
        <w:drawing>
          <wp:inline distT="0" distB="0" distL="0" distR="0">
            <wp:extent cx="6434504" cy="5317402"/>
            <wp:effectExtent l="19050" t="0" r="4396" b="0"/>
            <wp:docPr id="2" name="Picture 1" descr="Figure 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jpg"/>
                    <pic:cNvPicPr/>
                  </pic:nvPicPr>
                  <pic:blipFill>
                    <a:blip r:embed="rId12" cstate="print"/>
                    <a:stretch>
                      <a:fillRect/>
                    </a:stretch>
                  </pic:blipFill>
                  <pic:spPr>
                    <a:xfrm>
                      <a:off x="0" y="0"/>
                      <a:ext cx="6436090" cy="5318713"/>
                    </a:xfrm>
                    <a:prstGeom prst="rect">
                      <a:avLst/>
                    </a:prstGeom>
                  </pic:spPr>
                </pic:pic>
              </a:graphicData>
            </a:graphic>
          </wp:inline>
        </w:drawing>
      </w:r>
    </w:p>
    <w:p w:rsidR="001511E2" w:rsidRPr="001511E2" w:rsidRDefault="00F62186" w:rsidP="00E275C1">
      <w:pPr>
        <w:spacing w:after="100" w:afterAutospacing="1"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Fig.</w:t>
      </w:r>
      <w:r w:rsidR="001511E2" w:rsidRPr="001511E2">
        <w:rPr>
          <w:rFonts w:ascii="Times New Roman" w:hAnsi="Times New Roman" w:cs="Times New Roman"/>
          <w:b/>
          <w:bCs/>
          <w:iCs/>
          <w:sz w:val="24"/>
          <w:szCs w:val="24"/>
        </w:rPr>
        <w:t xml:space="preserve"> S2</w:t>
      </w:r>
    </w:p>
    <w:p w:rsidR="001511E2" w:rsidRDefault="001511E2">
      <w:pPr>
        <w:rPr>
          <w:rFonts w:ascii="Times New Roman" w:hAnsi="Times New Roman" w:cs="Times New Roman"/>
          <w:bCs/>
          <w:iCs/>
          <w:sz w:val="24"/>
          <w:szCs w:val="24"/>
        </w:rPr>
      </w:pPr>
      <w:r>
        <w:rPr>
          <w:rFonts w:ascii="Times New Roman" w:hAnsi="Times New Roman" w:cs="Times New Roman"/>
          <w:bCs/>
          <w:iCs/>
          <w:sz w:val="24"/>
          <w:szCs w:val="24"/>
        </w:rPr>
        <w:br w:type="page"/>
      </w:r>
    </w:p>
    <w:p w:rsidR="001511E2" w:rsidRDefault="001511E2" w:rsidP="001511E2">
      <w:pPr>
        <w:spacing w:after="100" w:afterAutospacing="1" w:line="360" w:lineRule="auto"/>
        <w:ind w:left="-360"/>
        <w:jc w:val="center"/>
        <w:rPr>
          <w:rFonts w:ascii="Times New Roman" w:hAnsi="Times New Roman" w:cs="Times New Roman"/>
          <w:bCs/>
          <w:iCs/>
          <w:sz w:val="24"/>
          <w:szCs w:val="24"/>
        </w:rPr>
      </w:pPr>
      <w:r>
        <w:rPr>
          <w:rFonts w:ascii="Times New Roman" w:hAnsi="Times New Roman" w:cs="Times New Roman"/>
          <w:bCs/>
          <w:iCs/>
          <w:noProof/>
          <w:sz w:val="24"/>
          <w:szCs w:val="24"/>
        </w:rPr>
        <w:lastRenderedPageBreak/>
        <w:drawing>
          <wp:inline distT="0" distB="0" distL="0" distR="0">
            <wp:extent cx="6578674" cy="4158762"/>
            <wp:effectExtent l="19050" t="0" r="0" b="0"/>
            <wp:docPr id="3" name="Picture 2" descr="Figure 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jpg"/>
                    <pic:cNvPicPr/>
                  </pic:nvPicPr>
                  <pic:blipFill>
                    <a:blip r:embed="rId13" cstate="print"/>
                    <a:stretch>
                      <a:fillRect/>
                    </a:stretch>
                  </pic:blipFill>
                  <pic:spPr>
                    <a:xfrm>
                      <a:off x="0" y="0"/>
                      <a:ext cx="6583896" cy="4162063"/>
                    </a:xfrm>
                    <a:prstGeom prst="rect">
                      <a:avLst/>
                    </a:prstGeom>
                  </pic:spPr>
                </pic:pic>
              </a:graphicData>
            </a:graphic>
          </wp:inline>
        </w:drawing>
      </w:r>
    </w:p>
    <w:p w:rsidR="001511E2" w:rsidRPr="001511E2" w:rsidRDefault="00F62186" w:rsidP="00E275C1">
      <w:pPr>
        <w:spacing w:after="100" w:afterAutospacing="1"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Fig.</w:t>
      </w:r>
      <w:r w:rsidR="001511E2" w:rsidRPr="001511E2">
        <w:rPr>
          <w:rFonts w:ascii="Times New Roman" w:hAnsi="Times New Roman" w:cs="Times New Roman"/>
          <w:b/>
          <w:bCs/>
          <w:iCs/>
          <w:sz w:val="24"/>
          <w:szCs w:val="24"/>
        </w:rPr>
        <w:t xml:space="preserve"> S3</w:t>
      </w:r>
    </w:p>
    <w:p w:rsidR="001511E2" w:rsidRPr="00E275C1" w:rsidRDefault="001511E2" w:rsidP="00E275C1">
      <w:pPr>
        <w:spacing w:after="100" w:afterAutospacing="1" w:line="360" w:lineRule="auto"/>
        <w:jc w:val="both"/>
        <w:rPr>
          <w:rFonts w:ascii="Times New Roman" w:hAnsi="Times New Roman" w:cs="Times New Roman"/>
          <w:bCs/>
          <w:iCs/>
          <w:sz w:val="24"/>
          <w:szCs w:val="24"/>
        </w:rPr>
      </w:pPr>
    </w:p>
    <w:p w:rsidR="00E275C1" w:rsidRPr="00E275C1" w:rsidRDefault="00E275C1" w:rsidP="00E275C1">
      <w:pPr>
        <w:spacing w:after="100" w:afterAutospacing="1" w:line="360" w:lineRule="auto"/>
        <w:jc w:val="both"/>
        <w:rPr>
          <w:rFonts w:ascii="Times New Roman" w:hAnsi="Times New Roman" w:cs="Times New Roman"/>
          <w:bCs/>
          <w:sz w:val="24"/>
          <w:szCs w:val="24"/>
          <w:lang w:val="en-IN"/>
        </w:rPr>
      </w:pPr>
    </w:p>
    <w:p w:rsidR="00E275C1" w:rsidRDefault="00E275C1" w:rsidP="00E275C1">
      <w:pPr>
        <w:spacing w:after="100" w:afterAutospacing="1" w:line="360" w:lineRule="auto"/>
        <w:jc w:val="both"/>
        <w:rPr>
          <w:rFonts w:ascii="Times New Roman" w:hAnsi="Times New Roman" w:cs="Times New Roman"/>
          <w:bCs/>
          <w:sz w:val="24"/>
          <w:szCs w:val="24"/>
        </w:rPr>
      </w:pPr>
    </w:p>
    <w:p w:rsidR="00E275C1" w:rsidRDefault="00E275C1" w:rsidP="00E275C1">
      <w:pPr>
        <w:spacing w:after="100" w:afterAutospacing="1" w:line="360" w:lineRule="auto"/>
        <w:jc w:val="both"/>
        <w:rPr>
          <w:rFonts w:ascii="Times New Roman" w:hAnsi="Times New Roman" w:cs="Times New Roman"/>
          <w:bCs/>
          <w:sz w:val="24"/>
          <w:szCs w:val="24"/>
        </w:rPr>
      </w:pPr>
    </w:p>
    <w:p w:rsidR="00E275C1" w:rsidRPr="00E275C1" w:rsidRDefault="00E275C1" w:rsidP="00E275C1">
      <w:pPr>
        <w:spacing w:after="100" w:afterAutospacing="1" w:line="360" w:lineRule="auto"/>
        <w:contextualSpacing/>
        <w:jc w:val="both"/>
        <w:rPr>
          <w:rFonts w:ascii="Times New Roman" w:eastAsia="Times New Roman" w:hAnsi="Times New Roman" w:cs="Times New Roman"/>
          <w:b/>
          <w:color w:val="000000" w:themeColor="text1"/>
          <w:sz w:val="24"/>
          <w:szCs w:val="24"/>
        </w:rPr>
      </w:pPr>
    </w:p>
    <w:p w:rsidR="00E275C1" w:rsidRPr="00E275C1" w:rsidRDefault="00E275C1" w:rsidP="00E275C1">
      <w:pPr>
        <w:spacing w:after="100" w:afterAutospacing="1" w:line="360" w:lineRule="auto"/>
        <w:jc w:val="both"/>
        <w:rPr>
          <w:rFonts w:ascii="Times New Roman" w:hAnsi="Times New Roman" w:cs="Times New Roman"/>
          <w:b/>
          <w:iCs/>
          <w:sz w:val="24"/>
          <w:szCs w:val="24"/>
        </w:rPr>
      </w:pPr>
    </w:p>
    <w:p w:rsidR="00E275C1" w:rsidRPr="003514B6" w:rsidRDefault="00E275C1" w:rsidP="00E275C1">
      <w:pPr>
        <w:spacing w:after="100" w:afterAutospacing="1" w:line="360" w:lineRule="auto"/>
        <w:jc w:val="both"/>
        <w:rPr>
          <w:rFonts w:ascii="Times New Roman" w:hAnsi="Times New Roman" w:cs="Times New Roman"/>
          <w:sz w:val="24"/>
          <w:szCs w:val="24"/>
        </w:rPr>
      </w:pPr>
    </w:p>
    <w:p w:rsidR="000F7083" w:rsidRDefault="000F7083" w:rsidP="00E275C1">
      <w:pPr>
        <w:spacing w:after="100" w:afterAutospacing="1" w:line="360" w:lineRule="auto"/>
        <w:jc w:val="both"/>
      </w:pPr>
    </w:p>
    <w:sectPr w:rsidR="000F7083" w:rsidSect="000F7083">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CB4" w:rsidRDefault="00196CB4" w:rsidP="00E275C1">
      <w:pPr>
        <w:spacing w:after="0" w:line="240" w:lineRule="auto"/>
      </w:pPr>
      <w:r>
        <w:separator/>
      </w:r>
    </w:p>
  </w:endnote>
  <w:endnote w:type="continuationSeparator" w:id="1">
    <w:p w:rsidR="00196CB4" w:rsidRDefault="00196CB4" w:rsidP="00E275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396608"/>
      <w:docPartObj>
        <w:docPartGallery w:val="Page Numbers (Bottom of Page)"/>
        <w:docPartUnique/>
      </w:docPartObj>
    </w:sdtPr>
    <w:sdtContent>
      <w:p w:rsidR="00E275C1" w:rsidRDefault="002311CE">
        <w:pPr>
          <w:pStyle w:val="Footer"/>
          <w:jc w:val="center"/>
        </w:pPr>
        <w:fldSimple w:instr=" PAGE   \* MERGEFORMAT ">
          <w:r w:rsidR="004B3E5D">
            <w:rPr>
              <w:noProof/>
            </w:rPr>
            <w:t>2</w:t>
          </w:r>
        </w:fldSimple>
      </w:p>
    </w:sdtContent>
  </w:sdt>
  <w:p w:rsidR="00E275C1" w:rsidRDefault="00E275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CB4" w:rsidRDefault="00196CB4" w:rsidP="00E275C1">
      <w:pPr>
        <w:spacing w:after="0" w:line="240" w:lineRule="auto"/>
      </w:pPr>
      <w:r>
        <w:separator/>
      </w:r>
    </w:p>
  </w:footnote>
  <w:footnote w:type="continuationSeparator" w:id="1">
    <w:p w:rsidR="00196CB4" w:rsidRDefault="00196CB4" w:rsidP="00E275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4F7337"/>
    <w:multiLevelType w:val="hybridMultilevel"/>
    <w:tmpl w:val="6F44F086"/>
    <w:lvl w:ilvl="0" w:tplc="BA1A0392">
      <w:start w:val="1"/>
      <w:numFmt w:val="decimal"/>
      <w:lvlText w:val="%1."/>
      <w:lvlJc w:val="right"/>
      <w:pPr>
        <w:ind w:left="360"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characterSpacingControl w:val="doNotCompress"/>
  <w:footnotePr>
    <w:footnote w:id="0"/>
    <w:footnote w:id="1"/>
  </w:footnotePr>
  <w:endnotePr>
    <w:endnote w:id="0"/>
    <w:endnote w:id="1"/>
  </w:endnotePr>
  <w:compat/>
  <w:rsids>
    <w:rsidRoot w:val="00E275C1"/>
    <w:rsid w:val="000F7083"/>
    <w:rsid w:val="00137148"/>
    <w:rsid w:val="001511E2"/>
    <w:rsid w:val="00196CB4"/>
    <w:rsid w:val="001D76B7"/>
    <w:rsid w:val="002311CE"/>
    <w:rsid w:val="002857DA"/>
    <w:rsid w:val="002A0ADE"/>
    <w:rsid w:val="004827FD"/>
    <w:rsid w:val="004B3E5D"/>
    <w:rsid w:val="005F66D8"/>
    <w:rsid w:val="006B343B"/>
    <w:rsid w:val="007226F3"/>
    <w:rsid w:val="007A5032"/>
    <w:rsid w:val="007B76A3"/>
    <w:rsid w:val="008F00EB"/>
    <w:rsid w:val="009222EE"/>
    <w:rsid w:val="00A96CBF"/>
    <w:rsid w:val="00B31B8D"/>
    <w:rsid w:val="00BE2AC4"/>
    <w:rsid w:val="00D154E2"/>
    <w:rsid w:val="00D17485"/>
    <w:rsid w:val="00DE2377"/>
    <w:rsid w:val="00E063B5"/>
    <w:rsid w:val="00E275C1"/>
    <w:rsid w:val="00E4188F"/>
    <w:rsid w:val="00E76051"/>
    <w:rsid w:val="00F111B2"/>
    <w:rsid w:val="00F62186"/>
    <w:rsid w:val="00F9443C"/>
    <w:rsid w:val="00FB69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5C1"/>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275C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275C1"/>
  </w:style>
  <w:style w:type="paragraph" w:styleId="Footer">
    <w:name w:val="footer"/>
    <w:basedOn w:val="Normal"/>
    <w:link w:val="FooterChar"/>
    <w:uiPriority w:val="99"/>
    <w:unhideWhenUsed/>
    <w:rsid w:val="00E275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5C1"/>
  </w:style>
  <w:style w:type="paragraph" w:styleId="ListParagraph">
    <w:name w:val="List Paragraph"/>
    <w:basedOn w:val="Normal"/>
    <w:uiPriority w:val="34"/>
    <w:qFormat/>
    <w:rsid w:val="00E275C1"/>
    <w:pPr>
      <w:ind w:left="720"/>
      <w:contextualSpacing/>
    </w:pPr>
  </w:style>
  <w:style w:type="paragraph" w:styleId="BalloonText">
    <w:name w:val="Balloon Text"/>
    <w:basedOn w:val="Normal"/>
    <w:link w:val="BalloonTextChar"/>
    <w:uiPriority w:val="99"/>
    <w:semiHidden/>
    <w:unhideWhenUsed/>
    <w:rsid w:val="00151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1E2"/>
    <w:rPr>
      <w:rFonts w:ascii="Tahoma" w:hAnsi="Tahoma" w:cs="Tahoma"/>
      <w:sz w:val="16"/>
      <w:szCs w:val="16"/>
    </w:rPr>
  </w:style>
  <w:style w:type="character" w:styleId="Hyperlink">
    <w:name w:val="Hyperlink"/>
    <w:uiPriority w:val="99"/>
    <w:unhideWhenUsed/>
    <w:rsid w:val="00A96CB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103/PhysRevC.7.1930"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doi.org/10.1089/dna.2010.1063"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doi.org/10.1126/science.179.4073.588"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14</Pages>
  <Words>3044</Words>
  <Characters>17357</Characters>
  <Application>Microsoft Office Word</Application>
  <DocSecurity>0</DocSecurity>
  <Lines>144</Lines>
  <Paragraphs>40</Paragraphs>
  <ScaleCrop>false</ScaleCrop>
  <Company/>
  <LinksUpToDate>false</LinksUpToDate>
  <CharactersWithSpaces>20361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ABHIJIT</dc:creator>
  <cp:lastModifiedBy>LENOVO</cp:lastModifiedBy>
  <cp:revision>11</cp:revision>
  <dcterms:created xsi:type="dcterms:W3CDTF">2022-09-11T08:14:00Z</dcterms:created>
  <dcterms:modified xsi:type="dcterms:W3CDTF">2022-12-11T05:47:00Z</dcterms:modified>
</cp:coreProperties>
</file>