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2232F">
      <w:pPr>
        <w:spacing w:line="360" w:lineRule="auto"/>
        <w:jc w:val="center"/>
        <w:rPr>
          <w:rFonts w:ascii="Times New Roman" w:hAnsi="Times New Roman" w:hint="eastAsia"/>
          <w:b/>
          <w:bCs/>
          <w:sz w:val="32"/>
          <w:szCs w:val="32"/>
        </w:rPr>
      </w:pPr>
      <w:bookmarkStart w:id="0" w:name="_GoBack"/>
      <w:bookmarkEnd w:id="0"/>
      <w:r>
        <w:rPr>
          <w:rFonts w:ascii="Times New Roman" w:hAnsi="Times New Roman" w:hint="eastAsia"/>
          <w:b/>
          <w:bCs/>
          <w:sz w:val="32"/>
          <w:szCs w:val="32"/>
        </w:rPr>
        <w:t>Synergistic effect of surface reconstruction and rGO for FeS</w:t>
      </w:r>
      <w:r>
        <w:rPr>
          <w:rFonts w:ascii="Times New Roman" w:hAnsi="Times New Roman" w:hint="eastAsia"/>
          <w:b/>
          <w:bCs/>
          <w:sz w:val="32"/>
          <w:szCs w:val="32"/>
          <w:vertAlign w:val="subscript"/>
        </w:rPr>
        <w:t>2</w:t>
      </w:r>
      <w:r>
        <w:rPr>
          <w:rFonts w:ascii="Times New Roman" w:hAnsi="Times New Roman" w:hint="eastAsia"/>
          <w:b/>
          <w:bCs/>
          <w:sz w:val="32"/>
          <w:szCs w:val="32"/>
        </w:rPr>
        <w:t>/rGO electrocatalysis with efficient oxygen evolution reaction for water splitting</w:t>
      </w:r>
    </w:p>
    <w:p w:rsidR="00000000" w:rsidRDefault="0092232F">
      <w:pPr>
        <w:spacing w:line="360" w:lineRule="auto"/>
        <w:rPr>
          <w:rFonts w:ascii="Times New Roman" w:hAnsi="Times New Roman"/>
          <w:b/>
          <w:bCs/>
          <w:szCs w:val="21"/>
        </w:rPr>
      </w:pPr>
      <w:r>
        <w:rPr>
          <w:rFonts w:ascii="Times New Roman" w:hAnsi="Times New Roman" w:hint="eastAsia"/>
          <w:b/>
          <w:bCs/>
          <w:szCs w:val="21"/>
        </w:rPr>
        <w:t>Xiaozhen Ren</w:t>
      </w:r>
      <w:r>
        <w:rPr>
          <w:rFonts w:ascii="Times New Roman" w:hAnsi="Times New Roman" w:hint="eastAsia"/>
          <w:b/>
          <w:bCs/>
          <w:szCs w:val="21"/>
          <w:vertAlign w:val="superscript"/>
        </w:rPr>
        <w:t>a</w:t>
      </w:r>
      <w:r>
        <w:rPr>
          <w:rFonts w:ascii="Times New Roman" w:hAnsi="Times New Roman" w:hint="eastAsia"/>
          <w:vertAlign w:val="superscript"/>
        </w:rPr>
        <w:t>*</w:t>
      </w:r>
      <w:r>
        <w:rPr>
          <w:rFonts w:ascii="Times New Roman" w:hAnsi="Times New Roman" w:hint="eastAsia"/>
          <w:b/>
          <w:bCs/>
          <w:szCs w:val="21"/>
        </w:rPr>
        <w:t>, Shanshan Li</w:t>
      </w:r>
      <w:r>
        <w:rPr>
          <w:rFonts w:ascii="Times New Roman" w:hAnsi="Times New Roman" w:hint="eastAsia"/>
          <w:b/>
          <w:bCs/>
          <w:szCs w:val="21"/>
          <w:vertAlign w:val="superscript"/>
        </w:rPr>
        <w:t>a</w:t>
      </w:r>
      <w:r>
        <w:rPr>
          <w:rFonts w:ascii="Times New Roman" w:hAnsi="Times New Roman" w:hint="eastAsia"/>
          <w:b/>
          <w:bCs/>
          <w:szCs w:val="21"/>
        </w:rPr>
        <w:t>, Junchang Liu</w:t>
      </w:r>
      <w:r>
        <w:rPr>
          <w:rFonts w:ascii="Times New Roman" w:hAnsi="Times New Roman" w:hint="eastAsia"/>
          <w:b/>
          <w:bCs/>
          <w:szCs w:val="21"/>
          <w:vertAlign w:val="superscript"/>
        </w:rPr>
        <w:t>a</w:t>
      </w:r>
      <w:r>
        <w:rPr>
          <w:rFonts w:ascii="Times New Roman" w:hAnsi="Times New Roman" w:hint="eastAsia"/>
          <w:b/>
          <w:bCs/>
          <w:szCs w:val="21"/>
        </w:rPr>
        <w:t>, Yanan Zhou</w:t>
      </w:r>
      <w:r>
        <w:rPr>
          <w:rFonts w:ascii="Times New Roman" w:hAnsi="Times New Roman" w:hint="eastAsia"/>
          <w:b/>
          <w:bCs/>
          <w:szCs w:val="21"/>
          <w:vertAlign w:val="superscript"/>
        </w:rPr>
        <w:t>a</w:t>
      </w:r>
      <w:r>
        <w:rPr>
          <w:rFonts w:ascii="Times New Roman" w:hAnsi="Times New Roman" w:hint="eastAsia"/>
          <w:b/>
          <w:bCs/>
          <w:szCs w:val="21"/>
        </w:rPr>
        <w:t xml:space="preserve">, </w:t>
      </w:r>
      <w:r>
        <w:rPr>
          <w:rFonts w:ascii="Times New Roman" w:hAnsi="Times New Roman" w:hint="eastAsia"/>
          <w:b/>
          <w:bCs/>
          <w:szCs w:val="21"/>
        </w:rPr>
        <w:t>Jie Yin</w:t>
      </w:r>
      <w:r>
        <w:rPr>
          <w:rFonts w:ascii="Times New Roman" w:hAnsi="Times New Roman" w:hint="eastAsia"/>
          <w:b/>
          <w:bCs/>
          <w:szCs w:val="21"/>
          <w:vertAlign w:val="superscript"/>
        </w:rPr>
        <w:t>a</w:t>
      </w:r>
      <w:r>
        <w:rPr>
          <w:rFonts w:ascii="Times New Roman" w:hAnsi="Times New Roman" w:hint="eastAsia"/>
          <w:vertAlign w:val="superscript"/>
        </w:rPr>
        <w:t>*</w:t>
      </w:r>
      <w:r>
        <w:rPr>
          <w:rFonts w:ascii="Times New Roman" w:hAnsi="Times New Roman" w:hint="eastAsia"/>
          <w:b/>
          <w:bCs/>
        </w:rPr>
        <w:t xml:space="preserve">, </w:t>
      </w:r>
      <w:r>
        <w:rPr>
          <w:rFonts w:ascii="Times New Roman" w:hAnsi="Times New Roman" w:hint="eastAsia"/>
          <w:b/>
          <w:bCs/>
          <w:szCs w:val="21"/>
        </w:rPr>
        <w:t>Hua Yang</w:t>
      </w:r>
      <w:r>
        <w:rPr>
          <w:rFonts w:ascii="Times New Roman" w:hAnsi="Times New Roman" w:hint="eastAsia"/>
          <w:b/>
          <w:bCs/>
          <w:szCs w:val="21"/>
          <w:vertAlign w:val="superscript"/>
        </w:rPr>
        <w:t>b</w:t>
      </w:r>
      <w:r>
        <w:rPr>
          <w:rFonts w:ascii="Times New Roman" w:hAnsi="Times New Roman" w:hint="eastAsia"/>
          <w:vertAlign w:val="superscript"/>
        </w:rPr>
        <w:t>*</w:t>
      </w:r>
    </w:p>
    <w:p w:rsidR="00000000" w:rsidRDefault="0092232F">
      <w:pPr>
        <w:spacing w:line="360" w:lineRule="auto"/>
        <w:rPr>
          <w:rFonts w:ascii="Times New Roman" w:hAnsi="Times New Roman"/>
          <w:b/>
          <w:bCs/>
          <w:szCs w:val="21"/>
        </w:rPr>
      </w:pPr>
      <w:r>
        <w:rPr>
          <w:rFonts w:ascii="Times New Roman" w:hAnsi="Times New Roman" w:hint="eastAsia"/>
          <w:b/>
          <w:bCs/>
          <w:szCs w:val="21"/>
          <w:vertAlign w:val="superscript"/>
        </w:rPr>
        <w:t>a</w:t>
      </w:r>
      <w:r>
        <w:rPr>
          <w:rFonts w:ascii="Times New Roman" w:hAnsi="Times New Roman" w:hint="eastAsia"/>
          <w:b/>
          <w:bCs/>
          <w:szCs w:val="21"/>
        </w:rPr>
        <w:t xml:space="preserve">: </w:t>
      </w:r>
      <w:r>
        <w:rPr>
          <w:rFonts w:ascii="Times New Roman" w:hAnsi="Times New Roman"/>
          <w:b/>
          <w:bCs/>
          <w:szCs w:val="21"/>
        </w:rPr>
        <w:t>School of Materials Science a</w:t>
      </w:r>
      <w:r>
        <w:rPr>
          <w:rFonts w:ascii="Times New Roman" w:hAnsi="Times New Roman"/>
          <w:b/>
          <w:bCs/>
          <w:szCs w:val="21"/>
        </w:rPr>
        <w:t>nd Engineering, Liaocheng University, Liaocheng, 252000, China</w:t>
      </w:r>
    </w:p>
    <w:p w:rsidR="00000000" w:rsidRDefault="0092232F">
      <w:pPr>
        <w:widowControl/>
        <w:spacing w:line="360" w:lineRule="auto"/>
        <w:rPr>
          <w:rFonts w:ascii="Times New Roman" w:hAnsi="Times New Roman" w:hint="eastAsia"/>
          <w:b/>
          <w:bCs/>
        </w:rPr>
      </w:pPr>
      <w:r>
        <w:rPr>
          <w:rFonts w:ascii="Times New Roman" w:hAnsi="Times New Roman" w:hint="eastAsia"/>
          <w:b/>
          <w:bCs/>
          <w:szCs w:val="21"/>
          <w:vertAlign w:val="superscript"/>
        </w:rPr>
        <w:t>b</w:t>
      </w:r>
      <w:r>
        <w:rPr>
          <w:rFonts w:ascii="Times New Roman" w:hAnsi="Times New Roman" w:hint="eastAsia"/>
          <w:b/>
          <w:bCs/>
          <w:szCs w:val="21"/>
        </w:rPr>
        <w:t>: School of Chemistry, Jilin University, Changchun, 130012, China</w:t>
      </w:r>
    </w:p>
    <w:p w:rsidR="00000000" w:rsidRDefault="0092232F">
      <w:pPr>
        <w:pStyle w:val="RSCB01ARTAbstract"/>
        <w:spacing w:after="0" w:line="240" w:lineRule="auto"/>
        <w:rPr>
          <w:rFonts w:ascii="Times New Roman" w:hAnsi="Times New Roman"/>
          <w:b/>
          <w:bCs/>
          <w:sz w:val="21"/>
          <w:szCs w:val="21"/>
          <w:lang w:val="en-US" w:eastAsia="zh-CN"/>
        </w:rPr>
      </w:pPr>
      <w:r>
        <w:rPr>
          <w:rFonts w:ascii="Times New Roman" w:hAnsi="Times New Roman"/>
          <w:b/>
          <w:bCs/>
          <w:sz w:val="21"/>
          <w:szCs w:val="21"/>
          <w:lang w:val="en-US" w:eastAsia="zh-CN"/>
        </w:rPr>
        <w:t>e-mail:</w:t>
      </w:r>
      <w:bookmarkStart w:id="1" w:name="OLE_LINK41"/>
      <w:r>
        <w:rPr>
          <w:rStyle w:val="Hyperlink"/>
          <w:rFonts w:ascii="Times New Roman" w:eastAsia="SimSun" w:hAnsi="Times New Roman" w:hint="eastAsia"/>
          <w:b/>
          <w:bCs/>
          <w:color w:val="auto"/>
          <w:sz w:val="21"/>
          <w:szCs w:val="21"/>
          <w:u w:val="none"/>
          <w:lang w:val="en-US" w:eastAsia="zh-CN"/>
        </w:rPr>
        <w:t xml:space="preserve"> renxiaozhen@lcu.edu.cn;</w:t>
      </w:r>
      <w:bookmarkEnd w:id="1"/>
      <w:r>
        <w:rPr>
          <w:rFonts w:ascii="Times New Roman" w:hAnsi="Times New Roman" w:hint="eastAsia"/>
          <w:b/>
          <w:bCs/>
          <w:sz w:val="21"/>
          <w:szCs w:val="21"/>
          <w:lang w:val="en-US" w:eastAsia="zh-CN"/>
        </w:rPr>
        <w:t xml:space="preserve"> yinjie@lcu.edu.cn; </w:t>
      </w:r>
      <w:r>
        <w:rPr>
          <w:rFonts w:ascii="Times New Roman" w:hAnsi="Times New Roman"/>
          <w:b/>
          <w:bCs/>
          <w:sz w:val="21"/>
          <w:szCs w:val="21"/>
          <w:lang w:val="en-US" w:eastAsia="zh-CN"/>
        </w:rPr>
        <w:t>huayang86@sina.com</w:t>
      </w:r>
    </w:p>
    <w:p w:rsidR="00000000" w:rsidRDefault="0092232F">
      <w:pPr>
        <w:jc w:val="center"/>
      </w:pPr>
    </w:p>
    <w:p w:rsidR="00000000" w:rsidRDefault="0092232F">
      <w:pPr>
        <w:jc w:val="center"/>
        <w:rPr>
          <w:rFonts w:ascii="Times New Roman" w:hAnsi="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1" o:spid="_x0000_i1025" type="#_x0000_t75" style="width:222.9pt;height:171.65pt;mso-wrap-style:square;mso-position-horizontal-relative:page;mso-position-vertical-relative:page">
            <v:fill o:detectmouseclick="t"/>
            <v:imagedata r:id="rId4" o:title=""/>
          </v:shape>
        </w:pict>
      </w:r>
    </w:p>
    <w:p w:rsidR="00000000" w:rsidRDefault="0092232F">
      <w:pPr>
        <w:jc w:val="center"/>
        <w:rPr>
          <w:rFonts w:ascii="Times New Roman" w:hAnsi="Times New Roman"/>
        </w:rPr>
      </w:pPr>
      <w:r>
        <w:rPr>
          <w:rFonts w:ascii="Times New Roman" w:hAnsi="Times New Roman"/>
        </w:rPr>
        <w:t>Fig. S1: The XRD patterns of Fe</w:t>
      </w:r>
      <w:r>
        <w:rPr>
          <w:rFonts w:ascii="Times New Roman" w:hAnsi="Times New Roman" w:hint="eastAsia"/>
          <w:vertAlign w:val="subscript"/>
        </w:rPr>
        <w:t>2</w:t>
      </w:r>
      <w:r>
        <w:rPr>
          <w:rFonts w:ascii="Times New Roman" w:hAnsi="Times New Roman" w:hint="eastAsia"/>
        </w:rPr>
        <w:t>O</w:t>
      </w:r>
      <w:r>
        <w:rPr>
          <w:rFonts w:ascii="Times New Roman" w:hAnsi="Times New Roman"/>
          <w:vertAlign w:val="subscript"/>
        </w:rPr>
        <w:t>3</w:t>
      </w:r>
      <w:r>
        <w:rPr>
          <w:rFonts w:ascii="Times New Roman" w:hAnsi="Times New Roman"/>
        </w:rPr>
        <w:t>/rGO</w:t>
      </w:r>
    </w:p>
    <w:p w:rsidR="00000000" w:rsidRDefault="0092232F">
      <w:pPr>
        <w:jc w:val="center"/>
        <w:rPr>
          <w:rFonts w:hint="eastAsia"/>
        </w:rPr>
      </w:pPr>
      <w:r>
        <w:rPr>
          <w:rFonts w:hint="eastAsia"/>
          <w:noProof/>
          <w:lang w:val="en-IN" w:eastAsia="en-IN"/>
        </w:rPr>
        <w:drawing>
          <wp:inline distT="0" distB="0" distL="0" distR="0">
            <wp:extent cx="5062220" cy="2765425"/>
            <wp:effectExtent l="0" t="0" r="0" b="0"/>
            <wp:docPr id="2" name="图片 1" descr="附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附图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62220" cy="2765425"/>
                    </a:xfrm>
                    <a:prstGeom prst="rect">
                      <a:avLst/>
                    </a:prstGeom>
                    <a:noFill/>
                    <a:ln>
                      <a:noFill/>
                    </a:ln>
                    <a:effectLst/>
                  </pic:spPr>
                </pic:pic>
              </a:graphicData>
            </a:graphic>
          </wp:inline>
        </w:drawing>
      </w:r>
    </w:p>
    <w:p w:rsidR="00000000" w:rsidRDefault="0092232F">
      <w:pPr>
        <w:spacing w:line="360" w:lineRule="auto"/>
        <w:jc w:val="center"/>
        <w:rPr>
          <w:rFonts w:ascii="Times New Roman" w:hAnsi="Times New Roman"/>
        </w:rPr>
      </w:pPr>
      <w:r>
        <w:rPr>
          <w:rFonts w:ascii="Times New Roman" w:hAnsi="Times New Roman"/>
        </w:rPr>
        <w:t>Fig. S2: Cyc</w:t>
      </w:r>
      <w:r>
        <w:rPr>
          <w:rFonts w:ascii="Times New Roman" w:hAnsi="Times New Roman"/>
        </w:rPr>
        <w:t>lic voltammetry curves of (a) bare Ni foam, (b) FeS</w:t>
      </w:r>
      <w:r>
        <w:rPr>
          <w:rFonts w:ascii="Times New Roman" w:hAnsi="Times New Roman"/>
          <w:vertAlign w:val="subscript"/>
        </w:rPr>
        <w:t>2</w:t>
      </w:r>
      <w:r>
        <w:rPr>
          <w:rFonts w:ascii="Times New Roman" w:hAnsi="Times New Roman"/>
        </w:rPr>
        <w:t>-400/NF, (c) FeS</w:t>
      </w:r>
      <w:r>
        <w:rPr>
          <w:rFonts w:ascii="Times New Roman" w:hAnsi="Times New Roman"/>
          <w:vertAlign w:val="subscript"/>
        </w:rPr>
        <w:t>2</w:t>
      </w:r>
      <w:r>
        <w:rPr>
          <w:rFonts w:ascii="Times New Roman" w:hAnsi="Times New Roman"/>
        </w:rPr>
        <w:t>-450/NF, (d) FeS</w:t>
      </w:r>
      <w:r>
        <w:rPr>
          <w:rFonts w:ascii="Times New Roman" w:hAnsi="Times New Roman"/>
          <w:vertAlign w:val="subscript"/>
        </w:rPr>
        <w:t>2</w:t>
      </w:r>
      <w:r>
        <w:rPr>
          <w:rFonts w:ascii="Times New Roman" w:hAnsi="Times New Roman"/>
        </w:rPr>
        <w:t>-550/NF, (e) FeS-650/NF and (f) FeS-750/NF in 1.0 M KOH at different scan rates</w:t>
      </w:r>
    </w:p>
    <w:p w:rsidR="00000000" w:rsidRDefault="0092232F">
      <w:pPr>
        <w:spacing w:line="360" w:lineRule="auto"/>
        <w:rPr>
          <w:rFonts w:ascii="Times New Roman" w:hAnsi="Times New Roman"/>
          <w:kern w:val="0"/>
        </w:rPr>
      </w:pPr>
      <w:r>
        <w:rPr>
          <w:rFonts w:ascii="Times New Roman" w:hAnsi="Times New Roman"/>
          <w:kern w:val="0"/>
        </w:rPr>
        <w:lastRenderedPageBreak/>
        <w:t xml:space="preserve">In order to better understand the intrinsic activity, the turnover frequency (TOF) of all </w:t>
      </w:r>
      <w:r>
        <w:rPr>
          <w:rFonts w:ascii="Times New Roman" w:hAnsi="Times New Roman"/>
          <w:kern w:val="0"/>
        </w:rPr>
        <w:t>the samples for OER at the same potential had been provided.</w:t>
      </w:r>
    </w:p>
    <w:p w:rsidR="00000000" w:rsidRDefault="0092232F">
      <w:pPr>
        <w:spacing w:line="360" w:lineRule="auto"/>
        <w:rPr>
          <w:rFonts w:ascii="Times New Roman" w:hAnsi="Times New Roman"/>
          <w:kern w:val="0"/>
        </w:rPr>
      </w:pPr>
      <w:r>
        <w:rPr>
          <w:rFonts w:ascii="Times New Roman" w:hAnsi="Times New Roman"/>
          <w:kern w:val="0"/>
        </w:rPr>
        <w:t>To calculate the per-site turnover frequency (TOF), we used the following formula</w:t>
      </w:r>
      <w:r>
        <w:rPr>
          <w:rFonts w:ascii="Times New Roman" w:hAnsi="Times New Roman"/>
          <w:kern w:val="0"/>
          <w:vertAlign w:val="superscript"/>
        </w:rPr>
        <w:t>1</w:t>
      </w:r>
      <w:r>
        <w:rPr>
          <w:rFonts w:ascii="Times New Roman" w:hAnsi="Times New Roman"/>
          <w:kern w:val="0"/>
        </w:rPr>
        <w:t>:</w:t>
      </w:r>
    </w:p>
    <w:p w:rsidR="00000000" w:rsidRDefault="0092232F">
      <w:pPr>
        <w:spacing w:line="360" w:lineRule="auto"/>
        <w:jc w:val="center"/>
        <w:rPr>
          <w:rFonts w:ascii="Times New Roman" w:hAnsi="Times New Roman"/>
          <w:kern w:val="0"/>
        </w:rPr>
      </w:pPr>
      <w:r>
        <w:rPr>
          <w:rFonts w:ascii="Times New Roman" w:hAnsi="Times New Roman"/>
          <w:kern w:val="0"/>
          <w:position w:val="-28"/>
          <w:szCs w:val="20"/>
        </w:rPr>
        <w:object w:dxaOrig="4720" w:dyaOrig="699">
          <v:shape id="Object 12" o:spid="_x0000_i1027" type="#_x0000_t75" style="width:236.15pt;height:35.15pt;mso-wrap-style:square;mso-position-horizontal-relative:page;mso-position-vertical-relative:page" o:ole="">
            <v:imagedata r:id="rId6" o:title=""/>
            <o:lock v:ext="edit" aspectratio="f"/>
          </v:shape>
          <o:OLEObject Type="Embed" ProgID="Equation.DSMT4" ShapeID="Object 12" DrawAspect="Content" ObjectID="_1748411454" r:id="rId7"/>
        </w:object>
      </w:r>
    </w:p>
    <w:p w:rsidR="00000000" w:rsidRDefault="0092232F">
      <w:pPr>
        <w:spacing w:line="360" w:lineRule="auto"/>
        <w:rPr>
          <w:rFonts w:ascii="Times New Roman" w:hAnsi="Times New Roman"/>
          <w:kern w:val="0"/>
        </w:rPr>
      </w:pPr>
      <w:r>
        <w:rPr>
          <w:rFonts w:ascii="Times New Roman" w:hAnsi="Times New Roman"/>
          <w:kern w:val="0"/>
        </w:rPr>
        <w:t>The total number of oxygen turn overs was calculated from the current density accord</w:t>
      </w:r>
      <w:r>
        <w:rPr>
          <w:rFonts w:ascii="Times New Roman" w:hAnsi="Times New Roman"/>
          <w:kern w:val="0"/>
        </w:rPr>
        <w:t>ing to the following conversion:</w:t>
      </w:r>
    </w:p>
    <w:p w:rsidR="00000000" w:rsidRDefault="0092232F">
      <w:pPr>
        <w:spacing w:line="360" w:lineRule="auto"/>
        <w:jc w:val="center"/>
        <w:rPr>
          <w:rFonts w:ascii="Times New Roman" w:hAnsi="Times New Roman"/>
          <w:kern w:val="0"/>
        </w:rPr>
      </w:pPr>
      <w:r>
        <w:rPr>
          <w:rFonts w:ascii="Times New Roman" w:hAnsi="Times New Roman"/>
          <w:kern w:val="0"/>
          <w:position w:val="-62"/>
          <w:szCs w:val="20"/>
        </w:rPr>
        <w:object w:dxaOrig="7600" w:dyaOrig="1359">
          <v:shape id="Object 13" o:spid="_x0000_i1028" type="#_x0000_t75" style="width:380.15pt;height:67.95pt;mso-wrap-style:square;mso-position-horizontal-relative:page;mso-position-vertical-relative:page" o:ole="">
            <v:imagedata r:id="rId8" o:title=""/>
            <o:lock v:ext="edit" aspectratio="f"/>
          </v:shape>
          <o:OLEObject Type="Embed" ProgID="Equation.DSMT4" ShapeID="Object 13" DrawAspect="Content" ObjectID="_1748411455" r:id="rId9">
            <o:FieldCodes>\* MERGEFORMAT</o:FieldCodes>
          </o:OLEObject>
        </w:object>
      </w:r>
    </w:p>
    <w:p w:rsidR="00000000" w:rsidRDefault="0092232F">
      <w:pPr>
        <w:spacing w:line="360" w:lineRule="auto"/>
        <w:ind w:firstLineChars="100" w:firstLine="210"/>
        <w:rPr>
          <w:rFonts w:ascii="Times New Roman" w:hAnsi="Times New Roman"/>
          <w:kern w:val="0"/>
        </w:rPr>
      </w:pPr>
      <w:r>
        <w:rPr>
          <w:rFonts w:ascii="Times New Roman" w:hAnsi="Times New Roman"/>
          <w:kern w:val="0"/>
        </w:rPr>
        <w:t>Since the exact oxygen binding site is not known, we estimate the number of sites as the number of sample molecular calculated based on the mass of the samples used in the electroch</w:t>
      </w:r>
      <w:r>
        <w:rPr>
          <w:rFonts w:ascii="Times New Roman" w:hAnsi="Times New Roman"/>
          <w:kern w:val="0"/>
        </w:rPr>
        <w:t>emical measurements according to the following conversion:</w:t>
      </w:r>
    </w:p>
    <w:p w:rsidR="00000000" w:rsidRDefault="0092232F">
      <w:pPr>
        <w:spacing w:line="360" w:lineRule="auto"/>
        <w:jc w:val="center"/>
        <w:rPr>
          <w:rFonts w:ascii="Times New Roman" w:hAnsi="Times New Roman"/>
          <w:kern w:val="0"/>
        </w:rPr>
      </w:pPr>
      <w:r>
        <w:rPr>
          <w:rFonts w:ascii="Times New Roman" w:hAnsi="Times New Roman"/>
          <w:kern w:val="0"/>
          <w:position w:val="-74"/>
          <w:szCs w:val="20"/>
        </w:rPr>
        <w:object w:dxaOrig="5800" w:dyaOrig="1600">
          <v:shape id="Object 14" o:spid="_x0000_i1029" type="#_x0000_t75" style="width:289.75pt;height:80.05pt;mso-wrap-style:square;mso-position-horizontal-relative:page;mso-position-vertical-relative:page" o:ole="">
            <v:fill o:detectmouseclick="t"/>
            <v:imagedata r:id="rId10" o:title=""/>
            <o:lock v:ext="edit" aspectratio="f"/>
          </v:shape>
          <o:OLEObject Type="Embed" ProgID="Equation.DSMT4" ShapeID="Object 14" DrawAspect="Content" ObjectID="_1748411456" r:id="rId11"/>
        </w:object>
      </w:r>
    </w:p>
    <w:p w:rsidR="00000000" w:rsidRDefault="0092232F">
      <w:pPr>
        <w:spacing w:line="360" w:lineRule="auto"/>
        <w:jc w:val="center"/>
        <w:rPr>
          <w:rFonts w:ascii="Times New Roman" w:hAnsi="Times New Roman"/>
          <w:kern w:val="0"/>
        </w:rPr>
      </w:pPr>
      <w:r>
        <w:rPr>
          <w:rFonts w:ascii="Times New Roman" w:hAnsi="Times New Roman"/>
          <w:kern w:val="0"/>
          <w:position w:val="-74"/>
          <w:szCs w:val="20"/>
        </w:rPr>
        <w:object w:dxaOrig="5620" w:dyaOrig="1600">
          <v:shape id="Object 16" o:spid="_x0000_i1030" type="#_x0000_t75" style="width:281.1pt;height:80.05pt;mso-wrap-style:square;mso-position-horizontal-relative:page;mso-position-vertical-relative:page" o:ole="">
            <v:fill o:detectmouseclick="t"/>
            <v:imagedata r:id="rId12" o:title=""/>
            <o:lock v:ext="edit" aspectratio="f"/>
          </v:shape>
          <o:OLEObject Type="Embed" ProgID="Equation.DSMT4" ShapeID="Object 16" DrawAspect="Content" ObjectID="_1748411457" r:id="rId13"/>
        </w:object>
      </w:r>
    </w:p>
    <w:p w:rsidR="00000000" w:rsidRDefault="0092232F">
      <w:pPr>
        <w:spacing w:line="360" w:lineRule="auto"/>
        <w:jc w:val="center"/>
        <w:rPr>
          <w:rFonts w:ascii="Times New Roman" w:hAnsi="Times New Roman"/>
          <w:kern w:val="0"/>
        </w:rPr>
      </w:pPr>
      <w:r>
        <w:rPr>
          <w:rFonts w:ascii="Times New Roman" w:hAnsi="Times New Roman"/>
          <w:kern w:val="0"/>
          <w:position w:val="-74"/>
          <w:szCs w:val="20"/>
        </w:rPr>
        <w:object w:dxaOrig="5560" w:dyaOrig="1600">
          <v:shape id="Object 15" o:spid="_x0000_i1031" type="#_x0000_t75" style="width:278.2pt;height:80.05pt;mso-wrap-style:square;mso-position-horizontal-relative:page;mso-position-vertical-relative:page" o:ole="">
            <v:fill o:detectmouseclick="t"/>
            <v:imagedata r:id="rId14" o:title=""/>
            <o:lock v:ext="edit" aspectratio="f"/>
          </v:shape>
          <o:OLEObject Type="Embed" ProgID="Equation.DSMT4" ShapeID="Object 15" DrawAspect="Content" ObjectID="_1748411458" r:id="rId15"/>
        </w:object>
      </w:r>
    </w:p>
    <w:p w:rsidR="00000000" w:rsidRDefault="0092232F">
      <w:pPr>
        <w:spacing w:line="360" w:lineRule="auto"/>
        <w:rPr>
          <w:rFonts w:ascii="Times New Roman" w:hAnsi="Times New Roman"/>
          <w:kern w:val="0"/>
        </w:rPr>
      </w:pPr>
      <w:r>
        <w:rPr>
          <w:rFonts w:ascii="Times New Roman" w:hAnsi="Times New Roman"/>
          <w:kern w:val="0"/>
        </w:rPr>
        <w:t>Based on the current density at the same overpotential (</w:t>
      </w:r>
      <w:r>
        <w:rPr>
          <w:rFonts w:ascii="Times New Roman" w:hAnsi="Times New Roman"/>
          <w:kern w:val="0"/>
        </w:rPr>
        <w:t>369</w:t>
      </w:r>
      <w:r>
        <w:rPr>
          <w:rFonts w:ascii="Times New Roman" w:hAnsi="Times New Roman"/>
          <w:kern w:val="0"/>
        </w:rPr>
        <w:t xml:space="preserve"> mV), the per site TOF is determined as follows:</w:t>
      </w:r>
    </w:p>
    <w:p w:rsidR="00000000" w:rsidRDefault="0092232F">
      <w:pPr>
        <w:spacing w:line="360" w:lineRule="auto"/>
        <w:jc w:val="center"/>
        <w:rPr>
          <w:rFonts w:ascii="Times New Roman" w:hAnsi="Times New Roman"/>
          <w:kern w:val="0"/>
        </w:rPr>
      </w:pPr>
      <w:r>
        <w:rPr>
          <w:rFonts w:ascii="Times New Roman" w:hAnsi="Times New Roman"/>
          <w:kern w:val="0"/>
          <w:position w:val="-76"/>
          <w:szCs w:val="20"/>
        </w:rPr>
        <w:object w:dxaOrig="6520" w:dyaOrig="1640">
          <v:shape id="Object 17" o:spid="_x0000_i1032" type="#_x0000_t75" style="width:326pt;height:81.8pt;mso-wrap-style:square;mso-position-horizontal-relative:page;mso-position-vertical-relative:page" o:ole="">
            <v:fill o:detectmouseclick="t"/>
            <v:imagedata r:id="rId16" o:title=""/>
            <o:lock v:ext="edit" aspectratio="f"/>
          </v:shape>
          <o:OLEObject Type="Embed" ProgID="Equation.DSMT4" ShapeID="Object 17" DrawAspect="Content" ObjectID="_1748411459" r:id="rId17"/>
        </w:object>
      </w:r>
    </w:p>
    <w:p w:rsidR="00000000" w:rsidRDefault="0092232F">
      <w:pPr>
        <w:spacing w:line="360" w:lineRule="auto"/>
        <w:jc w:val="center"/>
        <w:rPr>
          <w:rFonts w:ascii="Times New Roman" w:hAnsi="Times New Roman"/>
          <w:kern w:val="0"/>
        </w:rPr>
      </w:pPr>
      <w:r>
        <w:rPr>
          <w:rFonts w:ascii="Times New Roman" w:hAnsi="Times New Roman"/>
          <w:kern w:val="0"/>
          <w:position w:val="-76"/>
          <w:szCs w:val="20"/>
        </w:rPr>
        <w:object w:dxaOrig="6440" w:dyaOrig="1640">
          <v:shape id="Object 18" o:spid="_x0000_i1033" type="#_x0000_t75" style="width:322pt;height:81.8pt;mso-wrap-style:square;mso-position-horizontal-relative:page;mso-position-vertical-relative:page" o:ole="">
            <v:fill o:detectmouseclick="t"/>
            <v:imagedata r:id="rId18" o:title=""/>
            <o:lock v:ext="edit" aspectratio="f"/>
          </v:shape>
          <o:OLEObject Type="Embed" ProgID="Equation.DSMT4" ShapeID="Object 18" DrawAspect="Content" ObjectID="_1748411460" r:id="rId19"/>
        </w:object>
      </w:r>
    </w:p>
    <w:p w:rsidR="00000000" w:rsidRDefault="0092232F">
      <w:pPr>
        <w:spacing w:line="360" w:lineRule="auto"/>
        <w:jc w:val="center"/>
        <w:rPr>
          <w:rFonts w:ascii="Times New Roman" w:hAnsi="Times New Roman"/>
          <w:kern w:val="0"/>
          <w:position w:val="-28"/>
          <w:szCs w:val="20"/>
        </w:rPr>
      </w:pPr>
      <w:r>
        <w:rPr>
          <w:rFonts w:ascii="Times New Roman" w:hAnsi="Times New Roman"/>
          <w:kern w:val="0"/>
          <w:position w:val="-76"/>
          <w:szCs w:val="20"/>
        </w:rPr>
        <w:object w:dxaOrig="6160" w:dyaOrig="1640">
          <v:shape id="Object 19" o:spid="_x0000_i1034" type="#_x0000_t75" style="width:308.15pt;height:81.8pt;mso-wrap-style:square;mso-position-horizontal-relative:page;mso-position-vertical-relative:page" o:ole="">
            <v:fill o:detectmouseclick="t"/>
            <v:imagedata r:id="rId20" o:title=""/>
            <o:lock v:ext="edit" aspectratio="f"/>
          </v:shape>
          <o:OLEObject Type="Embed" ProgID="Equation.DSMT4" ShapeID="Object 19" DrawAspect="Content" ObjectID="_1748411461" r:id="rId21"/>
        </w:object>
      </w:r>
    </w:p>
    <w:p w:rsidR="00000000" w:rsidRDefault="0092232F">
      <w:pPr>
        <w:spacing w:line="360" w:lineRule="auto"/>
        <w:jc w:val="center"/>
        <w:rPr>
          <w:rFonts w:ascii="Times New Roman" w:hAnsi="Times New Roman"/>
          <w:kern w:val="0"/>
          <w:position w:val="-28"/>
          <w:szCs w:val="20"/>
        </w:rPr>
      </w:pPr>
    </w:p>
    <w:p w:rsidR="00000000" w:rsidRDefault="0092232F">
      <w:pPr>
        <w:spacing w:line="360" w:lineRule="auto"/>
        <w:rPr>
          <w:rFonts w:ascii="Times New Roman" w:hAnsi="Times New Roman"/>
        </w:rPr>
      </w:pPr>
      <w:r>
        <w:rPr>
          <w:rFonts w:ascii="Times New Roman" w:hAnsi="Times New Roman"/>
          <w:kern w:val="0"/>
        </w:rPr>
        <w:t>According to the above calculations, the TOF value of FeS</w:t>
      </w:r>
      <w:r>
        <w:rPr>
          <w:rFonts w:ascii="Times New Roman" w:hAnsi="Times New Roman"/>
          <w:kern w:val="0"/>
          <w:vertAlign w:val="subscript"/>
        </w:rPr>
        <w:t>2</w:t>
      </w:r>
      <w:r>
        <w:rPr>
          <w:rFonts w:ascii="Times New Roman" w:hAnsi="Times New Roman"/>
          <w:kern w:val="0"/>
        </w:rPr>
        <w:t xml:space="preserve"> for OER at the overpotential 3</w:t>
      </w:r>
      <w:r>
        <w:rPr>
          <w:rFonts w:ascii="Times New Roman" w:hAnsi="Times New Roman"/>
          <w:kern w:val="0"/>
        </w:rPr>
        <w:t>69</w:t>
      </w:r>
      <w:r>
        <w:rPr>
          <w:rFonts w:ascii="Times New Roman" w:hAnsi="Times New Roman"/>
          <w:kern w:val="0"/>
        </w:rPr>
        <w:t xml:space="preserve"> mV is higher, indicating the better catalytic activity.</w:t>
      </w:r>
    </w:p>
    <w:p w:rsidR="00000000" w:rsidRDefault="0092232F">
      <w:pPr>
        <w:spacing w:line="360" w:lineRule="auto"/>
        <w:rPr>
          <w:rFonts w:ascii="Times New Roman" w:hAnsi="Times New Roman"/>
        </w:rPr>
      </w:pPr>
      <w:r>
        <w:rPr>
          <w:rFonts w:ascii="Times New Roman" w:hAnsi="Times New Roman"/>
          <w:noProof/>
          <w:lang w:val="en-IN" w:eastAsia="en-IN"/>
        </w:rPr>
        <w:drawing>
          <wp:inline distT="0" distB="0" distL="0" distR="0">
            <wp:extent cx="5266690" cy="2794635"/>
            <wp:effectExtent l="0" t="0" r="0" b="5715"/>
            <wp:docPr id="11" name="图片 20" descr="附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附图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66690" cy="2794635"/>
                    </a:xfrm>
                    <a:prstGeom prst="rect">
                      <a:avLst/>
                    </a:prstGeom>
                    <a:noFill/>
                    <a:ln>
                      <a:noFill/>
                    </a:ln>
                    <a:effectLst/>
                  </pic:spPr>
                </pic:pic>
              </a:graphicData>
            </a:graphic>
          </wp:inline>
        </w:drawing>
      </w:r>
    </w:p>
    <w:p w:rsidR="00000000" w:rsidRDefault="0092232F">
      <w:pPr>
        <w:spacing w:line="360" w:lineRule="auto"/>
        <w:jc w:val="center"/>
        <w:rPr>
          <w:rFonts w:ascii="Times New Roman" w:hAnsi="Times New Roman"/>
        </w:rPr>
      </w:pPr>
      <w:r>
        <w:rPr>
          <w:rFonts w:ascii="Times New Roman" w:hAnsi="Times New Roman"/>
        </w:rPr>
        <w:t>Fig. S3: Cyclic voltammetry curv</w:t>
      </w:r>
      <w:r>
        <w:rPr>
          <w:rFonts w:ascii="Times New Roman" w:hAnsi="Times New Roman"/>
        </w:rPr>
        <w:t>es of (a) bare Ni foam, (b) FeS</w:t>
      </w:r>
      <w:r>
        <w:rPr>
          <w:rFonts w:ascii="Times New Roman" w:hAnsi="Times New Roman"/>
          <w:vertAlign w:val="subscript"/>
        </w:rPr>
        <w:t>2</w:t>
      </w:r>
      <w:r>
        <w:rPr>
          <w:rFonts w:ascii="Times New Roman" w:hAnsi="Times New Roman"/>
        </w:rPr>
        <w:t>-450/NF, (c) FeS</w:t>
      </w:r>
      <w:r>
        <w:rPr>
          <w:rFonts w:ascii="Times New Roman" w:hAnsi="Times New Roman"/>
          <w:vertAlign w:val="subscript"/>
        </w:rPr>
        <w:t>2</w:t>
      </w:r>
      <w:r>
        <w:rPr>
          <w:rFonts w:ascii="Times New Roman" w:hAnsi="Times New Roman"/>
        </w:rPr>
        <w:t>-450/rGO-5%/NF, (d) FeS</w:t>
      </w:r>
      <w:r>
        <w:rPr>
          <w:rFonts w:ascii="Times New Roman" w:hAnsi="Times New Roman"/>
          <w:vertAlign w:val="subscript"/>
        </w:rPr>
        <w:t>2</w:t>
      </w:r>
      <w:r>
        <w:rPr>
          <w:rFonts w:ascii="Times New Roman" w:hAnsi="Times New Roman"/>
        </w:rPr>
        <w:t>-450/rGO-10%/NF and (e) FeS</w:t>
      </w:r>
      <w:r>
        <w:rPr>
          <w:rFonts w:ascii="Times New Roman" w:hAnsi="Times New Roman"/>
          <w:vertAlign w:val="subscript"/>
        </w:rPr>
        <w:t>2</w:t>
      </w:r>
      <w:r>
        <w:rPr>
          <w:rFonts w:ascii="Times New Roman" w:hAnsi="Times New Roman"/>
        </w:rPr>
        <w:t>-450/rGO-15%/NF in 1.0 M KOH at different scan rates</w:t>
      </w:r>
    </w:p>
    <w:p w:rsidR="00000000" w:rsidRDefault="0092232F">
      <w:pPr>
        <w:spacing w:line="360" w:lineRule="auto"/>
      </w:pPr>
    </w:p>
    <w:sectPr w:rsidR="0000000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
  <w:docVars>
    <w:docVar w:name="commondata" w:val="eyJoZGlkIjoiYjE5ODE5Y2VkN2U0Y2FjOWNiN2I0MWNmODQ1ZjY5NDcifQ=="/>
  </w:docVars>
  <w:rsids>
    <w:rsidRoot w:val="0092232F"/>
    <w:rsid w:val="0092232F"/>
    <w:rsid w:val="08B41ED7"/>
    <w:rsid w:val="0BD57B92"/>
    <w:rsid w:val="15737903"/>
    <w:rsid w:val="184E04C7"/>
    <w:rsid w:val="19151E95"/>
    <w:rsid w:val="1F636849"/>
    <w:rsid w:val="21764F07"/>
    <w:rsid w:val="21B37C2B"/>
    <w:rsid w:val="22271472"/>
    <w:rsid w:val="22904012"/>
    <w:rsid w:val="22C71F73"/>
    <w:rsid w:val="2578181B"/>
    <w:rsid w:val="26185221"/>
    <w:rsid w:val="2CF77B9E"/>
    <w:rsid w:val="2F8D066D"/>
    <w:rsid w:val="34BF0125"/>
    <w:rsid w:val="382C13F0"/>
    <w:rsid w:val="39DB1004"/>
    <w:rsid w:val="46722953"/>
    <w:rsid w:val="56852863"/>
    <w:rsid w:val="57060978"/>
    <w:rsid w:val="62FC0B90"/>
    <w:rsid w:val="6A4C6079"/>
    <w:rsid w:val="6B857E74"/>
    <w:rsid w:val="6EA5373A"/>
    <w:rsid w:val="70DC345D"/>
    <w:rsid w:val="77226BF5"/>
    <w:rsid w:val="77BE04D4"/>
    <w:rsid w:val="77CD0A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A2D9CFA-24BE-4726-9351-CD9498EC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val="en-US" w:eastAsia="zh-CN"/>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RSCB01ARTAbstract">
    <w:name w:val="RSC B01 ART Abstract"/>
    <w:basedOn w:val="Normal"/>
    <w:qFormat/>
    <w:pPr>
      <w:widowControl/>
      <w:spacing w:after="200" w:line="240" w:lineRule="exact"/>
    </w:pPr>
    <w:rPr>
      <w:rFonts w:eastAsia="Calibri"/>
      <w:kern w:val="0"/>
      <w:sz w:val="16"/>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image" Target="media/image2.tiff"/><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oleObject" Target="embeddings/oleObject7.bin"/><Relationship Id="rId4" Type="http://schemas.openxmlformats.org/officeDocument/2006/relationships/image" Target="media/image1.emf"/><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1657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Anitha S.</cp:lastModifiedBy>
  <cp:revision>2</cp:revision>
  <dcterms:created xsi:type="dcterms:W3CDTF">2023-06-16T03:34:00Z</dcterms:created>
  <dcterms:modified xsi:type="dcterms:W3CDTF">2023-06-16T03:34:00Z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2935B0103FAF45868D558726D26A44E6</vt:lpwstr>
  </property>
</Properties>
</file>