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35B7E" w14:textId="4D0C70F2" w:rsidR="00084BD0" w:rsidRPr="00084BD0" w:rsidRDefault="00985218" w:rsidP="00985218">
      <w:pPr>
        <w:spacing w:after="0" w:line="360" w:lineRule="auto"/>
        <w:jc w:val="center"/>
        <w:rPr>
          <w:b/>
          <w:bCs/>
          <w:sz w:val="32"/>
          <w:szCs w:val="32"/>
          <w:lang w:val="en-GB"/>
        </w:rPr>
      </w:pPr>
      <w:r w:rsidRPr="00084BD0">
        <w:rPr>
          <w:b/>
          <w:bCs/>
          <w:sz w:val="32"/>
          <w:szCs w:val="32"/>
          <w:lang w:val="en-GB"/>
        </w:rPr>
        <w:t>Supplement</w:t>
      </w:r>
      <w:r w:rsidR="00084BD0" w:rsidRPr="00084BD0">
        <w:rPr>
          <w:b/>
          <w:bCs/>
          <w:sz w:val="32"/>
          <w:szCs w:val="32"/>
          <w:lang w:val="en-GB"/>
        </w:rPr>
        <w:t xml:space="preserve">ary Materials </w:t>
      </w:r>
    </w:p>
    <w:p w14:paraId="4B9BFF29" w14:textId="7B519DC3" w:rsidR="00CC22EE" w:rsidRDefault="00CC22EE" w:rsidP="00CC22EE">
      <w:pPr>
        <w:spacing w:after="0" w:line="250" w:lineRule="auto"/>
        <w:jc w:val="center"/>
        <w:rPr>
          <w:rFonts w:cs="Times New Roman"/>
          <w:sz w:val="34"/>
          <w:lang w:val="en-GB"/>
        </w:rPr>
      </w:pPr>
      <w:r w:rsidRPr="00590471">
        <w:rPr>
          <w:rFonts w:cs="Times New Roman"/>
          <w:sz w:val="34"/>
          <w:lang w:val="en-GB"/>
        </w:rPr>
        <w:t>Theoretical study of new 3-(methylthio)-8-phenyl-8H-thieno[2,3-b]indole derivatives</w:t>
      </w:r>
      <w:r w:rsidRPr="00590471">
        <w:rPr>
          <w:sz w:val="27"/>
          <w:szCs w:val="27"/>
          <w:shd w:val="clear" w:color="auto" w:fill="FFFFFF"/>
          <w:lang w:val="en-GB"/>
        </w:rPr>
        <w:t xml:space="preserve"> </w:t>
      </w:r>
      <w:r w:rsidRPr="00590471">
        <w:rPr>
          <w:rFonts w:cs="Times New Roman"/>
          <w:sz w:val="34"/>
          <w:lang w:val="en-GB"/>
        </w:rPr>
        <w:t>for application in DSSC: solvent effect, adsorption process on the surface of TiO</w:t>
      </w:r>
      <w:r w:rsidRPr="00590471">
        <w:rPr>
          <w:rFonts w:cs="Times New Roman"/>
          <w:sz w:val="34"/>
          <w:vertAlign w:val="subscript"/>
          <w:lang w:val="en-GB"/>
        </w:rPr>
        <w:t>2</w:t>
      </w:r>
      <w:r w:rsidRPr="00590471">
        <w:rPr>
          <w:rFonts w:cs="Times New Roman"/>
          <w:sz w:val="34"/>
          <w:lang w:val="en-GB"/>
        </w:rPr>
        <w:t xml:space="preserve"> </w:t>
      </w:r>
    </w:p>
    <w:p w14:paraId="051E2905" w14:textId="77777777" w:rsidR="00CC22EE" w:rsidRPr="00590471" w:rsidRDefault="00CC22EE" w:rsidP="00CC22EE">
      <w:pPr>
        <w:spacing w:after="0" w:line="250" w:lineRule="auto"/>
        <w:jc w:val="center"/>
        <w:rPr>
          <w:rFonts w:cs="Times New Roman"/>
          <w:sz w:val="34"/>
          <w:lang w:val="en-GB"/>
        </w:rPr>
      </w:pPr>
    </w:p>
    <w:p w14:paraId="3A98A1BC" w14:textId="71185CEF" w:rsidR="00CC22EE" w:rsidRPr="00590471" w:rsidRDefault="00CC22EE" w:rsidP="00CC22EE">
      <w:pPr>
        <w:rPr>
          <w:strike/>
          <w:lang w:val="en-GB"/>
        </w:rPr>
      </w:pPr>
      <w:r w:rsidRPr="00590471">
        <w:rPr>
          <w:lang w:val="en-GB"/>
        </w:rPr>
        <w:t>Mohammed Elkabous</w:t>
      </w:r>
      <w:r w:rsidRPr="00590471">
        <w:rPr>
          <w:rFonts w:ascii="Cambria" w:eastAsia="Cambria" w:hAnsi="Cambria" w:cs="Cambria"/>
          <w:i/>
          <w:vertAlign w:val="superscript"/>
          <w:lang w:val="en-GB"/>
        </w:rPr>
        <w:t xml:space="preserve"> a</w:t>
      </w:r>
      <w:r w:rsidRPr="00590471">
        <w:rPr>
          <w:lang w:val="en-GB"/>
        </w:rPr>
        <w:t>,</w:t>
      </w:r>
      <w:r w:rsidRPr="00590471">
        <w:rPr>
          <w:rFonts w:eastAsia="Cambria"/>
          <w:i/>
          <w:vertAlign w:val="superscript"/>
          <w:lang w:val="en-GB"/>
        </w:rPr>
        <w:t xml:space="preserve"> </w:t>
      </w:r>
      <w:r w:rsidRPr="00590471">
        <w:rPr>
          <w:lang w:val="en-GB"/>
        </w:rPr>
        <w:t>Yasser Karzazi</w:t>
      </w:r>
      <w:r w:rsidRPr="00590471">
        <w:rPr>
          <w:rFonts w:ascii="Cambria" w:eastAsia="Cambria" w:hAnsi="Cambria" w:cs="Cambria"/>
          <w:i/>
          <w:vertAlign w:val="superscript"/>
          <w:lang w:val="en-GB"/>
        </w:rPr>
        <w:t xml:space="preserve"> a,*</w:t>
      </w:r>
    </w:p>
    <w:p w14:paraId="0C817AF9" w14:textId="77777777" w:rsidR="00CC22EE" w:rsidRDefault="00CC22EE" w:rsidP="00CC22EE">
      <w:pPr>
        <w:spacing w:after="17" w:line="267" w:lineRule="auto"/>
        <w:rPr>
          <w:i/>
          <w:lang w:val="en-GB"/>
        </w:rPr>
      </w:pPr>
      <w:r w:rsidRPr="00590471">
        <w:rPr>
          <w:rFonts w:ascii="Cambria" w:eastAsia="Cambria" w:hAnsi="Cambria" w:cs="Cambria"/>
          <w:i/>
          <w:vertAlign w:val="superscript"/>
          <w:lang w:val="en-GB"/>
        </w:rPr>
        <w:t xml:space="preserve">a </w:t>
      </w:r>
      <w:r w:rsidRPr="00590471">
        <w:rPr>
          <w:i/>
          <w:lang w:val="en-GB"/>
        </w:rPr>
        <w:t>Laboratory of Applied Chemistry and Environment (URAC 18), Faculty of Sciences, University Mohammed I, B.P. 4808, 60046 Oujda, Morocco.</w:t>
      </w:r>
    </w:p>
    <w:p w14:paraId="14BD0CEE" w14:textId="77777777" w:rsidR="00084BD0" w:rsidRDefault="00084BD0" w:rsidP="00985218">
      <w:pPr>
        <w:spacing w:after="0" w:line="360" w:lineRule="auto"/>
        <w:jc w:val="center"/>
        <w:rPr>
          <w:b/>
          <w:bCs/>
          <w:sz w:val="28"/>
          <w:szCs w:val="28"/>
          <w:lang w:val="en-GB"/>
        </w:rPr>
      </w:pPr>
    </w:p>
    <w:p w14:paraId="6972CDA9" w14:textId="77777777" w:rsidR="00436244" w:rsidRDefault="00084BD0" w:rsidP="00084BD0">
      <w:pPr>
        <w:pStyle w:val="Titre2"/>
        <w:tabs>
          <w:tab w:val="left" w:pos="7950"/>
        </w:tabs>
        <w:ind w:left="360"/>
        <w:rPr>
          <w:b/>
          <w:bCs/>
          <w:lang w:val="en-GB"/>
        </w:rPr>
      </w:pPr>
      <w:r w:rsidRPr="00084BD0">
        <w:rPr>
          <w:b/>
          <w:bCs/>
          <w:lang w:val="en-GB"/>
        </w:rPr>
        <w:t>Section 1: The Theoretical Background</w:t>
      </w:r>
    </w:p>
    <w:p w14:paraId="00013A50" w14:textId="7D135362" w:rsidR="00774A23" w:rsidRPr="00084BD0" w:rsidRDefault="00084BD0" w:rsidP="00084BD0">
      <w:pPr>
        <w:pStyle w:val="Titre2"/>
        <w:tabs>
          <w:tab w:val="left" w:pos="7950"/>
        </w:tabs>
        <w:ind w:left="360"/>
        <w:rPr>
          <w:b/>
          <w:bCs/>
          <w:lang w:val="en-GB"/>
        </w:rPr>
      </w:pPr>
      <w:r>
        <w:rPr>
          <w:b/>
          <w:bCs/>
          <w:lang w:val="en-GB"/>
        </w:rPr>
        <w:tab/>
      </w:r>
    </w:p>
    <w:p w14:paraId="67617785" w14:textId="36764C6D" w:rsidR="00985218" w:rsidRPr="009008FF" w:rsidRDefault="00985218" w:rsidP="00985218">
      <w:pPr>
        <w:tabs>
          <w:tab w:val="center" w:pos="4800"/>
          <w:tab w:val="right" w:pos="9500"/>
        </w:tabs>
        <w:spacing w:after="0" w:line="360" w:lineRule="auto"/>
        <w:ind w:firstLine="720"/>
        <w:rPr>
          <w:rFonts w:cs="Times New Roman"/>
          <w:noProof/>
          <w:szCs w:val="24"/>
          <w:lang w:val="en-GB"/>
        </w:rPr>
      </w:pPr>
      <w:r w:rsidRPr="009008FF">
        <w:rPr>
          <w:rFonts w:cs="Times New Roman"/>
          <w:noProof/>
          <w:szCs w:val="24"/>
          <w:lang w:val="en-GB"/>
        </w:rPr>
        <w:t xml:space="preserve">To evaluate the </w:t>
      </w:r>
      <w:r w:rsidRPr="00DC2C12">
        <w:rPr>
          <w:rFonts w:cs="Times New Roman"/>
          <w:noProof/>
          <w:szCs w:val="24"/>
          <w:lang w:val="en-GB"/>
        </w:rPr>
        <w:t>efficiency</w:t>
      </w:r>
      <w:r w:rsidRPr="009008FF">
        <w:rPr>
          <w:rFonts w:cs="Times New Roman"/>
          <w:noProof/>
          <w:szCs w:val="24"/>
          <w:lang w:val="en-GB"/>
        </w:rPr>
        <w:t xml:space="preserve"> and photovoltaic performance of DSSCs, using parameters such as open circuit photoelectric voltage (</w:t>
      </w:r>
      <m:oMath>
        <m:sSub>
          <m:sSubPr>
            <m:ctrlPr>
              <w:rPr>
                <w:rFonts w:ascii="Cambria Math" w:hAnsi="Cambria Math" w:cs="Times New Roman"/>
                <w:szCs w:val="24"/>
              </w:rPr>
            </m:ctrlPr>
          </m:sSubPr>
          <m:e>
            <m:r>
              <w:rPr>
                <w:rFonts w:ascii="Cambria Math" w:hAnsi="Cambria Math" w:cs="Times New Roman"/>
                <w:noProof/>
                <w:szCs w:val="24"/>
              </w:rPr>
              <m:t>V</m:t>
            </m:r>
          </m:e>
          <m:sub>
            <m:r>
              <w:rPr>
                <w:rFonts w:ascii="Cambria Math" w:hAnsi="Cambria Math" w:cs="Times New Roman"/>
                <w:noProof/>
                <w:szCs w:val="24"/>
              </w:rPr>
              <m:t>oc</m:t>
            </m:r>
          </m:sub>
        </m:sSub>
      </m:oMath>
      <w:r w:rsidRPr="009008FF">
        <w:rPr>
          <w:rFonts w:cs="Times New Roman"/>
          <w:noProof/>
          <w:szCs w:val="24"/>
          <w:lang w:val="en-GB"/>
        </w:rPr>
        <w:t xml:space="preserve">), fill factor </w:t>
      </w:r>
      <w:r w:rsidRPr="00083917">
        <w:rPr>
          <w:rFonts w:cs="Times New Roman"/>
          <w:i/>
          <w:iCs/>
          <w:noProof/>
          <w:szCs w:val="24"/>
          <w:lang w:val="en-GB"/>
        </w:rPr>
        <w:t>(FF)</w:t>
      </w:r>
      <w:r w:rsidRPr="009008FF">
        <w:rPr>
          <w:rFonts w:cs="Times New Roman"/>
          <w:noProof/>
          <w:szCs w:val="24"/>
          <w:lang w:val="en-GB"/>
        </w:rPr>
        <w:t>, short circuit current density (</w:t>
      </w:r>
      <m:oMath>
        <m:sSub>
          <m:sSubPr>
            <m:ctrlPr>
              <w:rPr>
                <w:rFonts w:ascii="Cambria Math" w:hAnsi="Cambria Math" w:cs="Times New Roman"/>
                <w:szCs w:val="24"/>
              </w:rPr>
            </m:ctrlPr>
          </m:sSubPr>
          <m:e>
            <m:r>
              <w:rPr>
                <w:rFonts w:ascii="Cambria Math" w:hAnsi="Cambria Math" w:cs="Times New Roman"/>
                <w:noProof/>
                <w:szCs w:val="24"/>
              </w:rPr>
              <m:t>J</m:t>
            </m:r>
          </m:e>
          <m:sub>
            <m:r>
              <w:rPr>
                <w:rFonts w:ascii="Cambria Math" w:hAnsi="Cambria Math" w:cs="Times New Roman"/>
                <w:noProof/>
                <w:szCs w:val="24"/>
              </w:rPr>
              <m:t>sc</m:t>
            </m:r>
          </m:sub>
        </m:sSub>
      </m:oMath>
      <w:r w:rsidRPr="009008FF">
        <w:rPr>
          <w:rFonts w:cs="Times New Roman"/>
          <w:noProof/>
          <w:szCs w:val="24"/>
          <w:lang w:val="en-GB"/>
        </w:rPr>
        <w:t>) and incident solar power (</w:t>
      </w:r>
      <m:oMath>
        <m:sSub>
          <m:sSubPr>
            <m:ctrlPr>
              <w:rPr>
                <w:rFonts w:ascii="Cambria Math" w:hAnsi="Cambria Math" w:cs="Times New Roman"/>
                <w:szCs w:val="24"/>
              </w:rPr>
            </m:ctrlPr>
          </m:sSubPr>
          <m:e>
            <m:r>
              <w:rPr>
                <w:rFonts w:ascii="Cambria Math" w:hAnsi="Cambria Math" w:cs="Times New Roman"/>
                <w:noProof/>
                <w:szCs w:val="24"/>
              </w:rPr>
              <m:t>P</m:t>
            </m:r>
          </m:e>
          <m:sub>
            <m:r>
              <w:rPr>
                <w:rFonts w:ascii="Cambria Math" w:hAnsi="Cambria Math" w:cs="Times New Roman"/>
                <w:noProof/>
                <w:szCs w:val="24"/>
              </w:rPr>
              <m:t>IN</m:t>
            </m:r>
          </m:sub>
        </m:sSub>
      </m:oMath>
      <w:r w:rsidRPr="009008FF">
        <w:rPr>
          <w:rFonts w:cs="Times New Roman"/>
          <w:noProof/>
          <w:szCs w:val="24"/>
          <w:lang w:val="en-GB"/>
        </w:rPr>
        <w:t>). The efficiency (</w:t>
      </w:r>
      <m:oMath>
        <m:r>
          <w:rPr>
            <w:rFonts w:ascii="Cambria Math" w:hAnsi="Cambria Math" w:cs="Times New Roman"/>
            <w:noProof/>
            <w:szCs w:val="24"/>
          </w:rPr>
          <m:t>η</m:t>
        </m:r>
      </m:oMath>
      <w:r w:rsidRPr="009008FF">
        <w:rPr>
          <w:rFonts w:cs="Times New Roman"/>
          <w:noProof/>
          <w:szCs w:val="24"/>
          <w:lang w:val="en-GB"/>
        </w:rPr>
        <w:t>) of a DSSC can be formulated using the following equation</w:t>
      </w:r>
      <w:sdt>
        <w:sdtPr>
          <w:rPr>
            <w:rFonts w:cs="Times New Roman"/>
            <w:noProof/>
            <w:color w:val="000000"/>
            <w:szCs w:val="24"/>
            <w:lang w:val="en-GB"/>
          </w:rPr>
          <w:tag w:val="MENDELEY_CITATION_v3_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"/>
          <w:id w:val="-1465035206"/>
          <w:placeholder>
            <w:docPart w:val="02B7155B0EB943F397E3EE152B19336E"/>
          </w:placeholder>
        </w:sdtPr>
        <w:sdtContent>
          <w:r w:rsidR="00DC186D" w:rsidRPr="00DC186D">
            <w:rPr>
              <w:rFonts w:cs="Times New Roman"/>
              <w:noProof/>
              <w:color w:val="000000"/>
              <w:szCs w:val="24"/>
              <w:lang w:val="en-GB"/>
            </w:rPr>
            <w:t>(sang-aroon et al., 2013)</w:t>
          </w:r>
        </w:sdtContent>
      </w:sdt>
      <w:r w:rsidRPr="009008FF">
        <w:rPr>
          <w:rFonts w:cs="Times New Roman"/>
          <w:noProof/>
          <w:szCs w:val="24"/>
          <w:lang w:val="en-GB"/>
        </w:rPr>
        <w:t xml:space="preserve">: </w:t>
      </w:r>
    </w:p>
    <w:tbl>
      <w:tblPr>
        <w:tblStyle w:val="Grilledutableau"/>
        <w:tblW w:w="8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1"/>
        <w:gridCol w:w="907"/>
      </w:tblGrid>
      <w:tr w:rsidR="00985218" w:rsidRPr="009008FF" w14:paraId="2D1BA8E0" w14:textId="77777777" w:rsidTr="00B6491D">
        <w:trPr>
          <w:trHeight w:val="475"/>
        </w:trPr>
        <w:tc>
          <w:tcPr>
            <w:tcW w:w="8127" w:type="dxa"/>
          </w:tcPr>
          <w:p w14:paraId="213304CE" w14:textId="77777777" w:rsidR="00985218" w:rsidRPr="009008FF" w:rsidRDefault="00985218" w:rsidP="00B6491D">
            <w:pPr>
              <w:tabs>
                <w:tab w:val="center" w:pos="4800"/>
                <w:tab w:val="right" w:pos="9500"/>
              </w:tabs>
              <w:spacing w:line="360" w:lineRule="auto"/>
              <w:jc w:val="center"/>
              <w:rPr>
                <w:rFonts w:ascii="Times New Roman" w:hAnsi="Times New Roman" w:cs="Times New Roman"/>
                <w:noProof/>
                <w:szCs w:val="24"/>
                <w:lang w:val="en-GB"/>
              </w:rPr>
            </w:pPr>
            <m:oMathPara>
              <m:oMath>
                <m:r>
                  <w:rPr>
                    <w:rFonts w:ascii="Cambria Math" w:hAnsi="Cambria Math" w:cs="Cambria Math"/>
                    <w:noProof/>
                    <w:szCs w:val="24"/>
                  </w:rPr>
                  <m:t>η</m:t>
                </m:r>
                <m:r>
                  <m:rPr>
                    <m:sty m:val="p"/>
                  </m:rPr>
                  <w:rPr>
                    <w:rFonts w:ascii="Cambria Math" w:hAnsi="Cambria Math"/>
                    <w:noProof/>
                    <w:szCs w:val="24"/>
                    <w:lang w:val="en-GB"/>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noProof/>
                            <w:szCs w:val="24"/>
                          </w:rPr>
                          <m:t>J</m:t>
                        </m:r>
                      </m:e>
                      <m:sub>
                        <m:r>
                          <w:rPr>
                            <w:rFonts w:ascii="Cambria Math" w:hAnsi="Cambria Math"/>
                            <w:noProof/>
                            <w:szCs w:val="24"/>
                          </w:rPr>
                          <m:t>sc</m:t>
                        </m:r>
                      </m:sub>
                    </m:sSub>
                    <m:r>
                      <w:rPr>
                        <w:rFonts w:ascii="Cambria Math" w:hAnsi="Cambria Math"/>
                        <w:noProof/>
                        <w:szCs w:val="24"/>
                      </w:rPr>
                      <m:t>FF</m:t>
                    </m:r>
                    <m:sSub>
                      <m:sSubPr>
                        <m:ctrlPr>
                          <w:rPr>
                            <w:rFonts w:ascii="Cambria Math" w:hAnsi="Cambria Math"/>
                            <w:szCs w:val="24"/>
                          </w:rPr>
                        </m:ctrlPr>
                      </m:sSubPr>
                      <m:e>
                        <m:r>
                          <w:rPr>
                            <w:rFonts w:ascii="Cambria Math" w:hAnsi="Cambria Math"/>
                            <w:noProof/>
                            <w:szCs w:val="24"/>
                          </w:rPr>
                          <m:t>V</m:t>
                        </m:r>
                      </m:e>
                      <m:sub>
                        <m:r>
                          <w:rPr>
                            <w:rFonts w:ascii="Cambria Math" w:hAnsi="Cambria Math"/>
                            <w:noProof/>
                            <w:szCs w:val="24"/>
                          </w:rPr>
                          <m:t>OC</m:t>
                        </m:r>
                      </m:sub>
                    </m:sSub>
                  </m:num>
                  <m:den>
                    <m:sSub>
                      <m:sSubPr>
                        <m:ctrlPr>
                          <w:rPr>
                            <w:rFonts w:ascii="Cambria Math" w:hAnsi="Cambria Math"/>
                            <w:szCs w:val="24"/>
                          </w:rPr>
                        </m:ctrlPr>
                      </m:sSubPr>
                      <m:e>
                        <m:r>
                          <w:rPr>
                            <w:rFonts w:ascii="Cambria Math" w:hAnsi="Cambria Math"/>
                            <w:noProof/>
                            <w:szCs w:val="24"/>
                          </w:rPr>
                          <m:t>P</m:t>
                        </m:r>
                      </m:e>
                      <m:sub>
                        <m:r>
                          <w:rPr>
                            <w:rFonts w:ascii="Cambria Math" w:hAnsi="Cambria Math"/>
                            <w:noProof/>
                            <w:szCs w:val="24"/>
                          </w:rPr>
                          <m:t>IN</m:t>
                        </m:r>
                      </m:sub>
                    </m:sSub>
                  </m:den>
                </m:f>
              </m:oMath>
            </m:oMathPara>
          </w:p>
        </w:tc>
        <w:tc>
          <w:tcPr>
            <w:tcW w:w="681" w:type="dxa"/>
          </w:tcPr>
          <w:p w14:paraId="3D4C245C" w14:textId="4BE9E7E8" w:rsidR="00985218" w:rsidRPr="009008FF" w:rsidRDefault="0000334F" w:rsidP="00B6491D">
            <w:pPr>
              <w:tabs>
                <w:tab w:val="center" w:pos="4800"/>
                <w:tab w:val="right" w:pos="9500"/>
              </w:tabs>
              <w:spacing w:line="360" w:lineRule="auto"/>
              <w:rPr>
                <w:rFonts w:ascii="Times New Roman" w:hAnsi="Times New Roman" w:cs="Times New Roman"/>
                <w:b/>
                <w:bCs/>
                <w:i/>
                <w:iCs/>
                <w:noProof/>
                <w:szCs w:val="24"/>
                <w:lang w:val="en-GB"/>
              </w:rPr>
            </w:pPr>
            <w:r>
              <w:rPr>
                <w:rFonts w:ascii="Times New Roman" w:hAnsi="Times New Roman" w:cs="Times New Roman"/>
                <w:b/>
                <w:bCs/>
                <w:i/>
                <w:iCs/>
                <w:noProof/>
                <w:szCs w:val="24"/>
                <w:lang w:val="en-GB"/>
              </w:rPr>
              <w:t>Eq.</w:t>
            </w:r>
            <w:r w:rsidR="00985218" w:rsidRPr="009008FF">
              <w:rPr>
                <w:rFonts w:ascii="Times New Roman" w:hAnsi="Times New Roman" w:cs="Times New Roman"/>
                <w:b/>
                <w:bCs/>
                <w:i/>
                <w:iCs/>
                <w:noProof/>
                <w:szCs w:val="24"/>
                <w:lang w:val="en-GB"/>
              </w:rPr>
              <w:t>(</w:t>
            </w:r>
            <w:r w:rsidR="00050318">
              <w:rPr>
                <w:rFonts w:ascii="Times New Roman" w:hAnsi="Times New Roman" w:cs="Times New Roman"/>
                <w:b/>
                <w:bCs/>
                <w:i/>
                <w:iCs/>
                <w:noProof/>
                <w:szCs w:val="24"/>
                <w:lang w:val="en-GB"/>
              </w:rPr>
              <w:t>S</w:t>
            </w:r>
            <w:r w:rsidR="00985218" w:rsidRPr="009008FF">
              <w:rPr>
                <w:rFonts w:cs="Times New Roman"/>
                <w:b/>
                <w:bCs/>
                <w:i/>
                <w:iCs/>
                <w:noProof/>
                <w:szCs w:val="24"/>
                <w:lang w:val="en-GB"/>
              </w:rPr>
              <w:fldChar w:fldCharType="begin"/>
            </w:r>
            <w:r w:rsidR="00985218" w:rsidRPr="009008FF">
              <w:rPr>
                <w:rFonts w:ascii="Times New Roman" w:hAnsi="Times New Roman" w:cs="Times New Roman"/>
                <w:b/>
                <w:bCs/>
                <w:i/>
                <w:iCs/>
                <w:noProof/>
                <w:szCs w:val="24"/>
                <w:lang w:val="en-GB"/>
              </w:rPr>
              <w:instrText xml:space="preserve"> SEQ Equation \* ARABIC </w:instrText>
            </w:r>
            <w:r w:rsidR="00985218" w:rsidRPr="009008FF">
              <w:rPr>
                <w:rFonts w:cs="Times New Roman"/>
                <w:b/>
                <w:bCs/>
                <w:i/>
                <w:iCs/>
                <w:noProof/>
                <w:szCs w:val="24"/>
                <w:lang w:val="en-GB"/>
              </w:rPr>
              <w:fldChar w:fldCharType="separate"/>
            </w:r>
            <w:r w:rsidR="00985218">
              <w:rPr>
                <w:rFonts w:ascii="Times New Roman" w:hAnsi="Times New Roman" w:cs="Times New Roman"/>
                <w:b/>
                <w:bCs/>
                <w:i/>
                <w:iCs/>
                <w:noProof/>
                <w:szCs w:val="24"/>
                <w:lang w:val="en-GB"/>
              </w:rPr>
              <w:t>1</w:t>
            </w:r>
            <w:r w:rsidR="00985218" w:rsidRPr="009008FF">
              <w:rPr>
                <w:rFonts w:cs="Times New Roman"/>
                <w:b/>
                <w:bCs/>
                <w:i/>
                <w:iCs/>
                <w:noProof/>
                <w:szCs w:val="24"/>
                <w:lang w:val="en-GB"/>
              </w:rPr>
              <w:fldChar w:fldCharType="end"/>
            </w:r>
            <w:r w:rsidR="00985218" w:rsidRPr="009008FF">
              <w:rPr>
                <w:rFonts w:ascii="Times New Roman" w:hAnsi="Times New Roman" w:cs="Times New Roman"/>
                <w:b/>
                <w:bCs/>
                <w:i/>
                <w:iCs/>
                <w:noProof/>
                <w:szCs w:val="24"/>
                <w:lang w:val="en-GB"/>
              </w:rPr>
              <w:t>)</w:t>
            </w:r>
          </w:p>
        </w:tc>
      </w:tr>
    </w:tbl>
    <w:p w14:paraId="192A6FD8" w14:textId="7BE075FF" w:rsidR="00985218" w:rsidRPr="009008FF" w:rsidRDefault="00985218" w:rsidP="00985218">
      <w:pPr>
        <w:tabs>
          <w:tab w:val="center" w:pos="4800"/>
          <w:tab w:val="right" w:pos="9500"/>
        </w:tabs>
        <w:spacing w:after="0" w:line="360" w:lineRule="auto"/>
        <w:ind w:firstLine="720"/>
        <w:jc w:val="both"/>
        <w:rPr>
          <w:noProof/>
          <w:lang w:val="en-GB"/>
        </w:rPr>
      </w:pPr>
      <w:r w:rsidRPr="009008FF">
        <w:rPr>
          <w:noProof/>
          <w:lang w:val="en-GB"/>
        </w:rPr>
        <w:tab/>
      </w:r>
      <w:r>
        <w:rPr>
          <w:rFonts w:cs="Times New Roman"/>
          <w:noProof/>
          <w:szCs w:val="24"/>
          <w:lang w:val="en-GB"/>
        </w:rPr>
        <w:t>Wher</w:t>
      </w:r>
      <w:r w:rsidRPr="009008FF">
        <w:rPr>
          <w:rFonts w:cs="Times New Roman"/>
          <w:noProof/>
          <w:szCs w:val="24"/>
          <w:lang w:val="en-GB"/>
        </w:rPr>
        <w:t xml:space="preserve">e </w:t>
      </w:r>
      <m:oMath>
        <m:sSub>
          <m:sSubPr>
            <m:ctrlPr>
              <w:rPr>
                <w:rFonts w:ascii="Cambria Math" w:hAnsi="Cambria Math" w:cs="Times New Roman"/>
                <w:noProof/>
                <w:szCs w:val="24"/>
                <w:lang w:val="en-GB"/>
              </w:rPr>
            </m:ctrlPr>
          </m:sSubPr>
          <m:e>
            <m:r>
              <w:rPr>
                <w:rFonts w:ascii="Cambria Math" w:hAnsi="Cambria Math" w:cs="Times New Roman"/>
                <w:noProof/>
                <w:szCs w:val="24"/>
                <w:lang w:val="en-GB"/>
              </w:rPr>
              <m:t>V</m:t>
            </m:r>
          </m:e>
          <m:sub>
            <m:r>
              <w:rPr>
                <w:rFonts w:ascii="Cambria Math" w:hAnsi="Cambria Math" w:cs="Times New Roman"/>
                <w:noProof/>
                <w:szCs w:val="24"/>
                <w:lang w:val="en-GB"/>
              </w:rPr>
              <m:t>OC</m:t>
            </m:r>
          </m:sub>
        </m:sSub>
      </m:oMath>
      <w:r w:rsidRPr="009008FF">
        <w:rPr>
          <w:rFonts w:cs="Times New Roman"/>
          <w:noProof/>
          <w:szCs w:val="24"/>
          <w:lang w:val="en-GB"/>
        </w:rPr>
        <w:t xml:space="preserve"> is the open circuit photoelectric voltage, which is the potential difference between the Fermi level occupied by electrons in the dye and the conduction band of Titanium oxide</w:t>
      </w:r>
      <w:sdt>
        <w:sdtPr>
          <w:rPr>
            <w:rFonts w:cs="Times New Roman"/>
            <w:noProof/>
            <w:color w:val="000000"/>
            <w:szCs w:val="24"/>
            <w:lang w:val="en-GB"/>
          </w:rPr>
          <w:tag w:val="MENDELEY_CITATION_v3_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"/>
          <w:id w:val="372666545"/>
          <w:placeholder>
            <w:docPart w:val="02B7155B0EB943F397E3EE152B19336E"/>
          </w:placeholder>
        </w:sdtPr>
        <w:sdtContent>
          <w:r w:rsidR="00DC186D" w:rsidRPr="00DC186D">
            <w:rPr>
              <w:rFonts w:cs="Times New Roman"/>
              <w:noProof/>
              <w:color w:val="000000"/>
              <w:szCs w:val="24"/>
              <w:lang w:val="en-GB"/>
            </w:rPr>
            <w:t>(Menzel et al., 2012)</w:t>
          </w:r>
        </w:sdtContent>
      </w:sdt>
      <w:r w:rsidRPr="009008FF">
        <w:rPr>
          <w:rFonts w:cs="Times New Roman"/>
          <w:noProof/>
          <w:szCs w:val="24"/>
          <w:lang w:val="en-GB"/>
        </w:rPr>
        <w:t>. Its formula is given by:</w:t>
      </w:r>
      <w:r w:rsidRPr="009008FF">
        <w:rPr>
          <w:noProof/>
          <w:lang w:val="en-GB"/>
        </w:rPr>
        <w:t xml:space="preserve"> </w:t>
      </w:r>
    </w:p>
    <w:tbl>
      <w:tblPr>
        <w:tblStyle w:val="Grilledutableau"/>
        <w:tblW w:w="8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0"/>
        <w:gridCol w:w="907"/>
      </w:tblGrid>
      <w:tr w:rsidR="00985218" w:rsidRPr="009008FF" w14:paraId="73EF5A8C" w14:textId="77777777" w:rsidTr="00B6491D">
        <w:trPr>
          <w:trHeight w:val="404"/>
        </w:trPr>
        <w:tc>
          <w:tcPr>
            <w:tcW w:w="8071" w:type="dxa"/>
          </w:tcPr>
          <w:p w14:paraId="0C117C7A" w14:textId="77777777" w:rsidR="00985218" w:rsidRPr="009008FF" w:rsidRDefault="00985218" w:rsidP="00B6491D">
            <w:pPr>
              <w:tabs>
                <w:tab w:val="center" w:pos="4800"/>
                <w:tab w:val="right" w:pos="9500"/>
              </w:tabs>
              <w:spacing w:line="360" w:lineRule="auto"/>
              <w:rPr>
                <w:noProof/>
                <w:szCs w:val="24"/>
                <w:lang w:val="en-GB"/>
              </w:rPr>
            </w:pPr>
            <m:oMathPara>
              <m:oMath>
                <m:r>
                  <w:rPr>
                    <w:rFonts w:ascii="Cambria Math" w:hAnsi="Cambria Math"/>
                    <w:noProof/>
                    <w:szCs w:val="24"/>
                    <w:lang w:val="en-GB"/>
                  </w:rPr>
                  <m:t>e</m:t>
                </m:r>
                <m:sSub>
                  <m:sSubPr>
                    <m:ctrlPr>
                      <w:rPr>
                        <w:rFonts w:ascii="Cambria Math" w:hAnsi="Cambria Math"/>
                        <w:szCs w:val="24"/>
                      </w:rPr>
                    </m:ctrlPr>
                  </m:sSubPr>
                  <m:e>
                    <m:r>
                      <w:rPr>
                        <w:rFonts w:ascii="Cambria Math" w:hAnsi="Cambria Math"/>
                        <w:noProof/>
                        <w:szCs w:val="24"/>
                      </w:rPr>
                      <m:t>V</m:t>
                    </m:r>
                  </m:e>
                  <m:sub>
                    <m:r>
                      <m:rPr>
                        <m:sty m:val="p"/>
                      </m:rPr>
                      <w:rPr>
                        <w:rFonts w:ascii="Cambria Math" w:hAnsi="Cambria Math"/>
                        <w:noProof/>
                        <w:szCs w:val="24"/>
                        <w:lang w:val="en-GB"/>
                      </w:rPr>
                      <m:t>oc</m:t>
                    </m:r>
                  </m:sub>
                </m:sSub>
                <m:r>
                  <m:rPr>
                    <m:sty m:val="p"/>
                  </m:rPr>
                  <w:rPr>
                    <w:rFonts w:ascii="Cambria Math" w:hAnsi="Cambria Math"/>
                    <w:noProof/>
                    <w:szCs w:val="24"/>
                    <w:lang w:val="en-GB"/>
                  </w:rPr>
                  <m:t>=</m:t>
                </m:r>
                <m:sSub>
                  <m:sSubPr>
                    <m:ctrlPr>
                      <w:rPr>
                        <w:rFonts w:ascii="Cambria Math" w:hAnsi="Cambria Math"/>
                        <w:szCs w:val="24"/>
                      </w:rPr>
                    </m:ctrlPr>
                  </m:sSubPr>
                  <m:e>
                    <m:r>
                      <m:rPr>
                        <m:sty m:val="p"/>
                      </m:rPr>
                      <w:rPr>
                        <w:rFonts w:ascii="Cambria Math" w:hAnsi="Cambria Math"/>
                        <w:noProof/>
                        <w:szCs w:val="24"/>
                        <w:lang w:val="en-GB"/>
                      </w:rPr>
                      <m:t>E</m:t>
                    </m:r>
                  </m:e>
                  <m:sub>
                    <m:r>
                      <m:rPr>
                        <m:sty m:val="p"/>
                      </m:rPr>
                      <w:rPr>
                        <w:rFonts w:ascii="Cambria Math" w:hAnsi="Cambria Math"/>
                        <w:noProof/>
                        <w:szCs w:val="24"/>
                        <w:lang w:val="en-GB"/>
                      </w:rPr>
                      <m:t>LUMO</m:t>
                    </m:r>
                  </m:sub>
                </m:sSub>
                <m:r>
                  <w:rPr>
                    <w:rFonts w:ascii="Cambria Math" w:hAnsi="Cambria Math"/>
                    <w:noProof/>
                    <w:szCs w:val="24"/>
                    <w:lang w:val="en-GB"/>
                  </w:rPr>
                  <m:t>-</m:t>
                </m:r>
                <m:sSub>
                  <m:sSubPr>
                    <m:ctrlPr>
                      <w:rPr>
                        <w:rFonts w:ascii="Cambria Math" w:hAnsi="Cambria Math"/>
                        <w:szCs w:val="24"/>
                      </w:rPr>
                    </m:ctrlPr>
                  </m:sSubPr>
                  <m:e>
                    <m:r>
                      <w:rPr>
                        <w:rFonts w:ascii="Cambria Math" w:hAnsi="Cambria Math"/>
                        <w:noProof/>
                        <w:szCs w:val="24"/>
                      </w:rPr>
                      <m:t>E</m:t>
                    </m:r>
                  </m:e>
                  <m:sub>
                    <m:r>
                      <m:rPr>
                        <m:sty m:val="p"/>
                      </m:rPr>
                      <w:rPr>
                        <w:rFonts w:ascii="Cambria Math" w:hAnsi="Cambria Math"/>
                        <w:noProof/>
                        <w:szCs w:val="24"/>
                        <w:lang w:val="en-GB"/>
                      </w:rPr>
                      <m:t>CB</m:t>
                    </m:r>
                  </m:sub>
                </m:sSub>
              </m:oMath>
            </m:oMathPara>
          </w:p>
        </w:tc>
        <w:tc>
          <w:tcPr>
            <w:tcW w:w="676" w:type="dxa"/>
          </w:tcPr>
          <w:p w14:paraId="15E100FB" w14:textId="3D147E41" w:rsidR="00985218" w:rsidRPr="009008FF" w:rsidRDefault="0000334F" w:rsidP="00B6491D">
            <w:pPr>
              <w:tabs>
                <w:tab w:val="center" w:pos="4800"/>
                <w:tab w:val="right" w:pos="9500"/>
              </w:tabs>
              <w:spacing w:line="360" w:lineRule="auto"/>
              <w:rPr>
                <w:rFonts w:ascii="Times New Roman" w:hAnsi="Times New Roman" w:cs="Times New Roman"/>
                <w:b/>
                <w:bCs/>
                <w:i/>
                <w:iCs/>
                <w:noProof/>
                <w:szCs w:val="24"/>
                <w:lang w:val="en-GB"/>
              </w:rPr>
            </w:pPr>
            <w:bookmarkStart w:id="0" w:name="_Ref127909596"/>
            <w:bookmarkStart w:id="1" w:name="_Ref101025637"/>
            <w:r>
              <w:rPr>
                <w:rFonts w:ascii="Times New Roman" w:hAnsi="Times New Roman" w:cs="Times New Roman"/>
                <w:b/>
                <w:bCs/>
                <w:i/>
                <w:iCs/>
                <w:szCs w:val="24"/>
              </w:rPr>
              <w:t>Eq.</w:t>
            </w:r>
            <w:r w:rsidR="00985218" w:rsidRPr="009008FF">
              <w:rPr>
                <w:rFonts w:ascii="Times New Roman" w:hAnsi="Times New Roman" w:cs="Times New Roman"/>
                <w:b/>
                <w:bCs/>
                <w:i/>
                <w:iCs/>
                <w:szCs w:val="24"/>
              </w:rPr>
              <w:t>(</w:t>
            </w:r>
            <w:r w:rsidR="00050318">
              <w:rPr>
                <w:rFonts w:ascii="Times New Roman" w:hAnsi="Times New Roman" w:cs="Times New Roman"/>
                <w:b/>
                <w:bCs/>
                <w:i/>
                <w:iCs/>
                <w:szCs w:val="24"/>
              </w:rPr>
              <w:t>S</w:t>
            </w:r>
            <w:r w:rsidR="00985218" w:rsidRPr="009008FF">
              <w:rPr>
                <w:rFonts w:cs="Times New Roman"/>
                <w:b/>
                <w:bCs/>
                <w:i/>
                <w:iCs/>
                <w:szCs w:val="24"/>
              </w:rPr>
              <w:fldChar w:fldCharType="begin"/>
            </w:r>
            <w:r w:rsidR="00985218" w:rsidRPr="009008FF">
              <w:rPr>
                <w:rFonts w:ascii="Times New Roman" w:hAnsi="Times New Roman" w:cs="Times New Roman"/>
                <w:b/>
                <w:bCs/>
                <w:i/>
                <w:iCs/>
                <w:szCs w:val="24"/>
              </w:rPr>
              <w:instrText xml:space="preserve"> SEQ Equation \* ARABIC </w:instrText>
            </w:r>
            <w:r w:rsidR="00985218" w:rsidRPr="009008FF">
              <w:rPr>
                <w:rFonts w:cs="Times New Roman"/>
                <w:b/>
                <w:bCs/>
                <w:i/>
                <w:iCs/>
                <w:szCs w:val="24"/>
              </w:rPr>
              <w:fldChar w:fldCharType="separate"/>
            </w:r>
            <w:r w:rsidR="00985218">
              <w:rPr>
                <w:rFonts w:ascii="Times New Roman" w:hAnsi="Times New Roman" w:cs="Times New Roman"/>
                <w:b/>
                <w:bCs/>
                <w:i/>
                <w:iCs/>
                <w:noProof/>
                <w:szCs w:val="24"/>
              </w:rPr>
              <w:t>2</w:t>
            </w:r>
            <w:r w:rsidR="00985218" w:rsidRPr="009008FF">
              <w:rPr>
                <w:rFonts w:cs="Times New Roman"/>
                <w:b/>
                <w:bCs/>
                <w:i/>
                <w:iCs/>
                <w:szCs w:val="24"/>
              </w:rPr>
              <w:fldChar w:fldCharType="end"/>
            </w:r>
            <w:bookmarkEnd w:id="0"/>
            <w:r w:rsidR="00985218" w:rsidRPr="009008FF">
              <w:rPr>
                <w:rFonts w:ascii="Times New Roman" w:hAnsi="Times New Roman" w:cs="Times New Roman"/>
                <w:b/>
                <w:bCs/>
                <w:i/>
                <w:iCs/>
                <w:szCs w:val="24"/>
              </w:rPr>
              <w:t>)</w:t>
            </w:r>
            <w:bookmarkEnd w:id="1"/>
          </w:p>
        </w:tc>
      </w:tr>
    </w:tbl>
    <w:p w14:paraId="4071A3FF" w14:textId="23D89742" w:rsidR="00985218" w:rsidRPr="009008FF" w:rsidRDefault="00985218" w:rsidP="00985218">
      <w:pPr>
        <w:tabs>
          <w:tab w:val="center" w:pos="4800"/>
          <w:tab w:val="right" w:pos="9500"/>
        </w:tabs>
        <w:spacing w:after="0" w:line="360" w:lineRule="auto"/>
        <w:ind w:firstLine="720"/>
        <w:rPr>
          <w:rFonts w:cs="Times New Roman"/>
          <w:noProof/>
          <w:szCs w:val="24"/>
          <w:lang w:val="en-GB"/>
        </w:rPr>
      </w:pPr>
      <w:r w:rsidRPr="009008FF">
        <w:rPr>
          <w:rFonts w:cs="Times New Roman"/>
          <w:noProof/>
          <w:szCs w:val="24"/>
          <w:lang w:val="en-GB"/>
        </w:rPr>
        <w:t xml:space="preserve">According to equation (1), in order to obtain more efficient DSSCs, </w:t>
      </w:r>
      <w:r w:rsidRPr="00083917">
        <w:rPr>
          <w:rFonts w:cs="Times New Roman"/>
          <w:i/>
          <w:iCs/>
          <w:noProof/>
          <w:szCs w:val="24"/>
          <w:lang w:val="en-GB"/>
        </w:rPr>
        <w:t>J</w:t>
      </w:r>
      <w:r w:rsidRPr="00083917">
        <w:rPr>
          <w:rFonts w:cs="Times New Roman"/>
          <w:i/>
          <w:iCs/>
          <w:noProof/>
          <w:szCs w:val="24"/>
          <w:vertAlign w:val="subscript"/>
          <w:lang w:val="en-GB"/>
        </w:rPr>
        <w:t>SC</w:t>
      </w:r>
      <w:r w:rsidRPr="009008FF">
        <w:rPr>
          <w:rFonts w:cs="Times New Roman"/>
          <w:noProof/>
          <w:szCs w:val="24"/>
          <w:lang w:val="en-GB"/>
        </w:rPr>
        <w:t xml:space="preserve"> should be as high as possible and is defined by the following equation</w:t>
      </w:r>
      <w:r>
        <w:rPr>
          <w:rFonts w:cs="Times New Roman"/>
          <w:noProof/>
          <w:szCs w:val="24"/>
          <w:lang w:val="en-GB"/>
        </w:rPr>
        <w:t xml:space="preserve"> </w:t>
      </w:r>
      <w:r w:rsidRPr="009008FF">
        <w:rPr>
          <w:rFonts w:cs="Times New Roman"/>
          <w:noProof/>
          <w:szCs w:val="24"/>
          <w:lang w:val="en-GB"/>
        </w:rPr>
        <w:t xml:space="preserve">: </w:t>
      </w:r>
    </w:p>
    <w:tbl>
      <w:tblPr>
        <w:tblStyle w:val="Grilledutableau"/>
        <w:tblW w:w="87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4"/>
        <w:gridCol w:w="907"/>
      </w:tblGrid>
      <w:tr w:rsidR="00985218" w:rsidRPr="009008FF" w14:paraId="19450829" w14:textId="77777777" w:rsidTr="00B6491D">
        <w:trPr>
          <w:trHeight w:val="550"/>
        </w:trPr>
        <w:tc>
          <w:tcPr>
            <w:tcW w:w="8084" w:type="dxa"/>
          </w:tcPr>
          <w:p w14:paraId="62AD4048" w14:textId="77777777" w:rsidR="00985218" w:rsidRPr="009008FF" w:rsidRDefault="00000000" w:rsidP="00B6491D">
            <w:pPr>
              <w:tabs>
                <w:tab w:val="center" w:pos="4800"/>
                <w:tab w:val="right" w:pos="9500"/>
              </w:tabs>
              <w:spacing w:line="360" w:lineRule="auto"/>
              <w:rPr>
                <w:noProof/>
                <w:szCs w:val="24"/>
                <w:lang w:val="en-GB"/>
              </w:rPr>
            </w:pPr>
            <m:oMathPara>
              <m:oMath>
                <m:sSub>
                  <m:sSubPr>
                    <m:ctrlPr>
                      <w:rPr>
                        <w:rFonts w:ascii="Cambria Math" w:hAnsi="Cambria Math"/>
                        <w:szCs w:val="24"/>
                      </w:rPr>
                    </m:ctrlPr>
                  </m:sSubPr>
                  <m:e>
                    <m:r>
                      <w:rPr>
                        <w:rFonts w:ascii="Cambria Math" w:hAnsi="Cambria Math"/>
                        <w:noProof/>
                        <w:szCs w:val="24"/>
                      </w:rPr>
                      <m:t>J</m:t>
                    </m:r>
                  </m:e>
                  <m:sub>
                    <m:r>
                      <w:rPr>
                        <w:rFonts w:ascii="Cambria Math" w:hAnsi="Cambria Math"/>
                        <w:noProof/>
                        <w:szCs w:val="24"/>
                      </w:rPr>
                      <m:t>SC</m:t>
                    </m:r>
                  </m:sub>
                </m:sSub>
                <m:r>
                  <m:rPr>
                    <m:sty m:val="p"/>
                  </m:rPr>
                  <w:rPr>
                    <w:rFonts w:ascii="Cambria Math" w:hAnsi="Cambria Math"/>
                    <w:noProof/>
                    <w:szCs w:val="24"/>
                    <w:lang w:val="en-GB"/>
                  </w:rPr>
                  <m:t>=</m:t>
                </m:r>
                <m:nary>
                  <m:naryPr>
                    <m:limLoc m:val="subSup"/>
                    <m:subHide m:val="1"/>
                    <m:supHide m:val="1"/>
                    <m:ctrlPr>
                      <w:rPr>
                        <w:rFonts w:ascii="Cambria Math" w:hAnsi="Cambria Math"/>
                        <w:noProof/>
                        <w:szCs w:val="24"/>
                      </w:rPr>
                    </m:ctrlPr>
                  </m:naryPr>
                  <m:sub/>
                  <m:sup/>
                  <m:e>
                    <m:r>
                      <m:rPr>
                        <m:sty m:val="p"/>
                      </m:rPr>
                      <w:rPr>
                        <w:rFonts w:ascii="Cambria Math" w:hAnsi="Cambria Math"/>
                        <w:noProof/>
                        <w:szCs w:val="24"/>
                        <w:lang w:val="en-GB"/>
                      </w:rPr>
                      <m:t>‍</m:t>
                    </m:r>
                  </m:e>
                </m:nary>
                <m:r>
                  <w:rPr>
                    <w:rFonts w:ascii="Cambria Math" w:hAnsi="Cambria Math" w:cs="Cambria Math"/>
                    <w:noProof/>
                    <w:szCs w:val="24"/>
                  </w:rPr>
                  <m:t>λ</m:t>
                </m:r>
                <m:r>
                  <w:rPr>
                    <w:rFonts w:ascii="Cambria Math" w:hAnsi="Cambria Math"/>
                    <w:noProof/>
                    <w:szCs w:val="24"/>
                  </w:rPr>
                  <m:t>LHE</m:t>
                </m:r>
                <m:r>
                  <m:rPr>
                    <m:sty m:val="p"/>
                  </m:rPr>
                  <w:rPr>
                    <w:rFonts w:ascii="Cambria Math" w:hAnsi="Cambria Math"/>
                    <w:noProof/>
                    <w:szCs w:val="24"/>
                    <w:lang w:val="en-GB"/>
                  </w:rPr>
                  <m:t>(</m:t>
                </m:r>
                <m:r>
                  <w:rPr>
                    <w:rFonts w:ascii="Cambria Math" w:hAnsi="Cambria Math" w:cs="Cambria Math"/>
                    <w:noProof/>
                    <w:szCs w:val="24"/>
                  </w:rPr>
                  <m:t>λ</m:t>
                </m:r>
                <m:r>
                  <m:rPr>
                    <m:sty m:val="p"/>
                  </m:rPr>
                  <w:rPr>
                    <w:rFonts w:ascii="Cambria Math" w:hAnsi="Cambria Math"/>
                    <w:noProof/>
                    <w:szCs w:val="24"/>
                    <w:lang w:val="en-GB"/>
                  </w:rPr>
                  <m:t>)</m:t>
                </m:r>
                <m:sSub>
                  <m:sSubPr>
                    <m:ctrlPr>
                      <w:rPr>
                        <w:rFonts w:ascii="Cambria Math" w:hAnsi="Cambria Math"/>
                        <w:szCs w:val="24"/>
                      </w:rPr>
                    </m:ctrlPr>
                  </m:sSubPr>
                  <m:e>
                    <m:r>
                      <m:rPr>
                        <m:sty m:val="p"/>
                      </m:rPr>
                      <w:rPr>
                        <w:rFonts w:ascii="Cambria Math" w:hAnsi="Cambria Math" w:cs="Cambria Math"/>
                        <w:noProof/>
                        <w:szCs w:val="24"/>
                      </w:rPr>
                      <m:t>Φ</m:t>
                    </m:r>
                  </m:e>
                  <m:sub>
                    <m:r>
                      <m:rPr>
                        <m:sty m:val="p"/>
                      </m:rPr>
                      <w:rPr>
                        <w:rFonts w:ascii="Cambria Math" w:hAnsi="Cambria Math"/>
                        <w:noProof/>
                        <w:szCs w:val="24"/>
                        <w:lang w:val="en-GB"/>
                      </w:rPr>
                      <m:t>inject</m:t>
                    </m:r>
                  </m:sub>
                </m:sSub>
                <m:sSub>
                  <m:sSubPr>
                    <m:ctrlPr>
                      <w:rPr>
                        <w:rFonts w:ascii="Cambria Math" w:hAnsi="Cambria Math"/>
                        <w:szCs w:val="24"/>
                      </w:rPr>
                    </m:ctrlPr>
                  </m:sSubPr>
                  <m:e>
                    <m:r>
                      <w:rPr>
                        <w:rFonts w:ascii="Cambria Math" w:hAnsi="Cambria Math" w:cs="Cambria Math"/>
                        <w:noProof/>
                        <w:szCs w:val="24"/>
                      </w:rPr>
                      <m:t>η</m:t>
                    </m:r>
                  </m:e>
                  <m:sub>
                    <m:r>
                      <m:rPr>
                        <m:sty m:val="p"/>
                      </m:rPr>
                      <w:rPr>
                        <w:rFonts w:ascii="Cambria Math" w:hAnsi="Cambria Math"/>
                        <w:noProof/>
                        <w:szCs w:val="24"/>
                        <w:lang w:val="en-GB"/>
                      </w:rPr>
                      <m:t>collect</m:t>
                    </m:r>
                  </m:sub>
                </m:sSub>
                <m:r>
                  <w:rPr>
                    <w:rFonts w:ascii="Cambria Math" w:hAnsi="Cambria Math"/>
                    <w:noProof/>
                    <w:szCs w:val="24"/>
                  </w:rPr>
                  <m:t>d</m:t>
                </m:r>
                <m:r>
                  <w:rPr>
                    <w:rFonts w:ascii="Cambria Math" w:hAnsi="Cambria Math" w:cs="Cambria Math"/>
                    <w:noProof/>
                    <w:szCs w:val="24"/>
                  </w:rPr>
                  <m:t>λ</m:t>
                </m:r>
              </m:oMath>
            </m:oMathPara>
          </w:p>
        </w:tc>
        <w:tc>
          <w:tcPr>
            <w:tcW w:w="677" w:type="dxa"/>
          </w:tcPr>
          <w:p w14:paraId="2B87F169" w14:textId="46D2D51C" w:rsidR="00985218" w:rsidRPr="009008FF" w:rsidRDefault="0000334F" w:rsidP="00B6491D">
            <w:pPr>
              <w:tabs>
                <w:tab w:val="center" w:pos="4800"/>
                <w:tab w:val="right" w:pos="9500"/>
              </w:tabs>
              <w:spacing w:line="360" w:lineRule="auto"/>
              <w:rPr>
                <w:rFonts w:ascii="Times New Roman" w:hAnsi="Times New Roman" w:cs="Times New Roman"/>
                <w:b/>
                <w:bCs/>
                <w:i/>
                <w:iCs/>
                <w:noProof/>
                <w:szCs w:val="24"/>
                <w:lang w:val="en-GB"/>
              </w:rPr>
            </w:pPr>
            <w:r>
              <w:rPr>
                <w:rFonts w:ascii="Times New Roman" w:hAnsi="Times New Roman" w:cs="Times New Roman"/>
                <w:b/>
                <w:bCs/>
                <w:i/>
                <w:iCs/>
                <w:szCs w:val="24"/>
              </w:rPr>
              <w:t>Eq.</w:t>
            </w:r>
            <w:r w:rsidR="00985218" w:rsidRPr="009008FF">
              <w:rPr>
                <w:rFonts w:ascii="Times New Roman" w:hAnsi="Times New Roman" w:cs="Times New Roman"/>
                <w:b/>
                <w:bCs/>
                <w:i/>
                <w:iCs/>
                <w:szCs w:val="24"/>
              </w:rPr>
              <w:t>(</w:t>
            </w:r>
            <w:r w:rsidR="00050318">
              <w:rPr>
                <w:rFonts w:ascii="Times New Roman" w:hAnsi="Times New Roman" w:cs="Times New Roman"/>
                <w:b/>
                <w:bCs/>
                <w:i/>
                <w:iCs/>
                <w:szCs w:val="24"/>
              </w:rPr>
              <w:t>S</w:t>
            </w:r>
            <w:r w:rsidR="00985218" w:rsidRPr="009008FF">
              <w:rPr>
                <w:rFonts w:cs="Times New Roman"/>
                <w:b/>
                <w:bCs/>
                <w:i/>
                <w:iCs/>
                <w:szCs w:val="24"/>
              </w:rPr>
              <w:fldChar w:fldCharType="begin"/>
            </w:r>
            <w:r w:rsidR="00985218" w:rsidRPr="009008FF">
              <w:rPr>
                <w:rFonts w:ascii="Times New Roman" w:hAnsi="Times New Roman" w:cs="Times New Roman"/>
                <w:b/>
                <w:bCs/>
                <w:i/>
                <w:iCs/>
                <w:szCs w:val="24"/>
              </w:rPr>
              <w:instrText xml:space="preserve"> SEQ Equation \* ARABIC </w:instrText>
            </w:r>
            <w:r w:rsidR="00985218" w:rsidRPr="009008FF">
              <w:rPr>
                <w:rFonts w:cs="Times New Roman"/>
                <w:b/>
                <w:bCs/>
                <w:i/>
                <w:iCs/>
                <w:szCs w:val="24"/>
              </w:rPr>
              <w:fldChar w:fldCharType="separate"/>
            </w:r>
            <w:r w:rsidR="00985218">
              <w:rPr>
                <w:rFonts w:ascii="Times New Roman" w:hAnsi="Times New Roman" w:cs="Times New Roman"/>
                <w:b/>
                <w:bCs/>
                <w:i/>
                <w:iCs/>
                <w:noProof/>
                <w:szCs w:val="24"/>
              </w:rPr>
              <w:t>3</w:t>
            </w:r>
            <w:r w:rsidR="00985218" w:rsidRPr="009008FF">
              <w:rPr>
                <w:rFonts w:cs="Times New Roman"/>
                <w:b/>
                <w:bCs/>
                <w:i/>
                <w:iCs/>
                <w:szCs w:val="24"/>
              </w:rPr>
              <w:fldChar w:fldCharType="end"/>
            </w:r>
            <w:r w:rsidR="00985218" w:rsidRPr="009008FF">
              <w:rPr>
                <w:rFonts w:ascii="Times New Roman" w:hAnsi="Times New Roman" w:cs="Times New Roman"/>
                <w:b/>
                <w:bCs/>
                <w:i/>
                <w:iCs/>
                <w:szCs w:val="24"/>
              </w:rPr>
              <w:t>)</w:t>
            </w:r>
          </w:p>
        </w:tc>
      </w:tr>
    </w:tbl>
    <w:p w14:paraId="0856DD85" w14:textId="77777777" w:rsidR="00985218" w:rsidRPr="009008FF" w:rsidRDefault="00985218" w:rsidP="00985218">
      <w:pPr>
        <w:tabs>
          <w:tab w:val="center" w:pos="4800"/>
          <w:tab w:val="right" w:pos="9500"/>
        </w:tabs>
        <w:spacing w:after="0" w:line="360" w:lineRule="auto"/>
        <w:ind w:firstLine="720"/>
        <w:rPr>
          <w:rFonts w:cs="Times New Roman"/>
          <w:noProof/>
          <w:szCs w:val="24"/>
          <w:lang w:val="en-GB"/>
        </w:rPr>
      </w:pPr>
      <w:r w:rsidRPr="009008FF">
        <w:rPr>
          <w:rFonts w:cs="Times New Roman"/>
          <w:noProof/>
          <w:szCs w:val="24"/>
          <w:lang w:val="en-GB"/>
        </w:rPr>
        <w:t>LHE (</w:t>
      </w:r>
      <m:oMath>
        <m:r>
          <w:rPr>
            <w:rFonts w:ascii="Cambria Math" w:hAnsi="Cambria Math" w:cs="Times New Roman"/>
            <w:noProof/>
            <w:szCs w:val="24"/>
          </w:rPr>
          <m:t>λ</m:t>
        </m:r>
      </m:oMath>
      <w:r w:rsidRPr="009008FF">
        <w:rPr>
          <w:rFonts w:cs="Times New Roman"/>
          <w:noProof/>
          <w:szCs w:val="24"/>
          <w:lang w:val="en-GB"/>
        </w:rPr>
        <w:t xml:space="preserve">) represents the light-harvesting efficiency, </w:t>
      </w:r>
      <m:oMath>
        <m:sSub>
          <m:sSubPr>
            <m:ctrlPr>
              <w:rPr>
                <w:rFonts w:ascii="Cambria Math" w:hAnsi="Cambria Math" w:cs="Times New Roman"/>
                <w:szCs w:val="24"/>
              </w:rPr>
            </m:ctrlPr>
          </m:sSubPr>
          <m:e>
            <m:r>
              <m:rPr>
                <m:sty m:val="p"/>
              </m:rPr>
              <w:rPr>
                <w:rFonts w:ascii="Cambria Math" w:hAnsi="Cambria Math" w:cs="Times New Roman"/>
                <w:noProof/>
                <w:szCs w:val="24"/>
              </w:rPr>
              <m:t>Φ</m:t>
            </m:r>
          </m:e>
          <m:sub>
            <m:r>
              <m:rPr>
                <m:sty m:val="p"/>
              </m:rPr>
              <w:rPr>
                <w:rFonts w:ascii="Cambria Math" w:hAnsi="Cambria Math" w:cs="Times New Roman"/>
                <w:noProof/>
                <w:szCs w:val="24"/>
                <w:lang w:val="en-GB"/>
              </w:rPr>
              <m:t>inject</m:t>
            </m:r>
          </m:sub>
        </m:sSub>
      </m:oMath>
      <w:r w:rsidRPr="009008FF">
        <w:rPr>
          <w:rFonts w:cs="Times New Roman"/>
          <w:noProof/>
          <w:szCs w:val="24"/>
          <w:lang w:val="en-GB"/>
        </w:rPr>
        <w:t xml:space="preserve"> is the electron injection efficiency and </w:t>
      </w:r>
      <m:oMath>
        <m:sSub>
          <m:sSubPr>
            <m:ctrlPr>
              <w:rPr>
                <w:rFonts w:ascii="Cambria Math" w:hAnsi="Cambria Math" w:cs="Times New Roman"/>
                <w:szCs w:val="24"/>
              </w:rPr>
            </m:ctrlPr>
          </m:sSubPr>
          <m:e>
            <m:r>
              <w:rPr>
                <w:rFonts w:ascii="Cambria Math" w:hAnsi="Cambria Math" w:cs="Times New Roman"/>
                <w:noProof/>
                <w:szCs w:val="24"/>
              </w:rPr>
              <m:t>η</m:t>
            </m:r>
          </m:e>
          <m:sub>
            <m:r>
              <m:rPr>
                <m:sty m:val="p"/>
              </m:rPr>
              <w:rPr>
                <w:rFonts w:ascii="Cambria Math" w:hAnsi="Cambria Math" w:cs="Times New Roman"/>
                <w:noProof/>
                <w:szCs w:val="24"/>
                <w:lang w:val="en-GB"/>
              </w:rPr>
              <m:t>collect</m:t>
            </m:r>
          </m:sub>
        </m:sSub>
      </m:oMath>
      <w:r w:rsidRPr="009008FF">
        <w:rPr>
          <w:rFonts w:cs="Times New Roman"/>
          <w:noProof/>
          <w:szCs w:val="24"/>
          <w:lang w:val="en-GB"/>
        </w:rPr>
        <w:t xml:space="preserve"> is the</w:t>
      </w:r>
      <w:r w:rsidRPr="004616C7">
        <w:rPr>
          <w:rFonts w:cs="Times New Roman"/>
          <w:noProof/>
          <w:szCs w:val="24"/>
          <w:lang w:val="en-GB"/>
        </w:rPr>
        <w:t xml:space="preserve"> </w:t>
      </w:r>
      <w:r w:rsidRPr="009008FF">
        <w:rPr>
          <w:rFonts w:cs="Times New Roman"/>
          <w:noProof/>
          <w:szCs w:val="24"/>
          <w:lang w:val="en-GB"/>
        </w:rPr>
        <w:t xml:space="preserve"> charge collection efficiency which is considered a constant.</w:t>
      </w:r>
    </w:p>
    <w:p w14:paraId="077CFBE1" w14:textId="6DC71DEF" w:rsidR="00985218" w:rsidRPr="009008FF" w:rsidRDefault="00985218" w:rsidP="00985218">
      <w:pPr>
        <w:tabs>
          <w:tab w:val="center" w:pos="4800"/>
          <w:tab w:val="right" w:pos="9500"/>
        </w:tabs>
        <w:spacing w:after="0" w:line="360" w:lineRule="auto"/>
        <w:ind w:firstLine="720"/>
        <w:rPr>
          <w:rFonts w:cs="Times New Roman"/>
          <w:noProof/>
          <w:szCs w:val="24"/>
          <w:lang w:val="en-GB"/>
        </w:rPr>
      </w:pPr>
      <w:r w:rsidRPr="009008FF">
        <w:rPr>
          <w:rFonts w:cs="Times New Roman"/>
          <w:noProof/>
          <w:szCs w:val="24"/>
          <w:lang w:val="en-GB"/>
        </w:rPr>
        <w:t>The LHE is described as follows</w:t>
      </w:r>
      <w:r w:rsidR="00DC186D">
        <w:rPr>
          <w:rFonts w:cs="Times New Roman"/>
          <w:noProof/>
          <w:szCs w:val="24"/>
          <w:lang w:val="en-GB"/>
        </w:rPr>
        <w:t xml:space="preserve"> </w:t>
      </w:r>
      <w:sdt>
        <w:sdtPr>
          <w:rPr>
            <w:rFonts w:cs="Times New Roman"/>
            <w:noProof/>
            <w:color w:val="000000"/>
            <w:szCs w:val="24"/>
            <w:lang w:val="en-GB"/>
          </w:rPr>
          <w:tag w:val="MENDELEY_CITATION_v3_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"/>
          <w:id w:val="472263041"/>
          <w:placeholder>
            <w:docPart w:val="02B7155B0EB943F397E3EE152B19336E"/>
          </w:placeholder>
        </w:sdtPr>
        <w:sdtContent>
          <w:r w:rsidR="00DC186D" w:rsidRPr="00DC186D">
            <w:rPr>
              <w:rFonts w:cs="Times New Roman"/>
              <w:noProof/>
              <w:color w:val="000000"/>
              <w:szCs w:val="24"/>
              <w:lang w:val="en-GB"/>
            </w:rPr>
            <w:t>(Deng, 2013)</w:t>
          </w:r>
        </w:sdtContent>
      </w:sdt>
      <w:r w:rsidRPr="009008FF">
        <w:rPr>
          <w:rFonts w:cs="Times New Roman"/>
          <w:noProof/>
          <w:szCs w:val="24"/>
          <w:lang w:val="en-GB"/>
        </w:rPr>
        <w:t>:</w:t>
      </w:r>
    </w:p>
    <w:tbl>
      <w:tblPr>
        <w:tblStyle w:val="Grilledutableau"/>
        <w:tblW w:w="8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4"/>
        <w:gridCol w:w="907"/>
      </w:tblGrid>
      <w:tr w:rsidR="00985218" w:rsidRPr="009008FF" w14:paraId="0C54D7CD" w14:textId="77777777" w:rsidTr="00B6491D">
        <w:trPr>
          <w:trHeight w:val="591"/>
        </w:trPr>
        <w:tc>
          <w:tcPr>
            <w:tcW w:w="8104" w:type="dxa"/>
          </w:tcPr>
          <w:p w14:paraId="60D7A1EE" w14:textId="77777777" w:rsidR="00985218" w:rsidRPr="009008FF" w:rsidRDefault="00985218" w:rsidP="00B6491D">
            <w:pPr>
              <w:tabs>
                <w:tab w:val="center" w:pos="4800"/>
                <w:tab w:val="right" w:pos="9500"/>
              </w:tabs>
              <w:spacing w:line="360" w:lineRule="auto"/>
              <w:rPr>
                <w:rFonts w:ascii="Times New Roman" w:hAnsi="Times New Roman" w:cs="Times New Roman"/>
                <w:noProof/>
                <w:szCs w:val="24"/>
                <w:lang w:val="en-GB"/>
              </w:rPr>
            </w:pPr>
            <m:oMathPara>
              <m:oMath>
                <m:r>
                  <w:rPr>
                    <w:rFonts w:ascii="Cambria Math" w:hAnsi="Cambria Math"/>
                    <w:noProof/>
                    <w:szCs w:val="24"/>
                  </w:rPr>
                  <m:t>LHE</m:t>
                </m:r>
                <m:r>
                  <m:rPr>
                    <m:sty m:val="p"/>
                  </m:rPr>
                  <w:rPr>
                    <w:rFonts w:ascii="Cambria Math" w:hAnsi="Cambria Math"/>
                    <w:noProof/>
                    <w:szCs w:val="24"/>
                    <w:lang w:val="en-GB"/>
                  </w:rPr>
                  <m:t>=1</m:t>
                </m:r>
                <m:r>
                  <w:rPr>
                    <w:rFonts w:ascii="Cambria Math" w:hAnsi="Cambria Math"/>
                    <w:noProof/>
                    <w:szCs w:val="24"/>
                    <w:lang w:val="en-GB"/>
                  </w:rPr>
                  <m:t>-</m:t>
                </m:r>
                <m:r>
                  <m:rPr>
                    <m:sty m:val="p"/>
                  </m:rPr>
                  <w:rPr>
                    <w:rFonts w:ascii="Cambria Math" w:hAnsi="Cambria Math"/>
                    <w:noProof/>
                    <w:szCs w:val="24"/>
                    <w:lang w:val="en-GB"/>
                  </w:rPr>
                  <m:t>1</m:t>
                </m:r>
                <m:sSup>
                  <m:sSupPr>
                    <m:ctrlPr>
                      <w:rPr>
                        <w:rFonts w:ascii="Cambria Math" w:hAnsi="Cambria Math"/>
                        <w:szCs w:val="24"/>
                      </w:rPr>
                    </m:ctrlPr>
                  </m:sSupPr>
                  <m:e>
                    <m:r>
                      <m:rPr>
                        <m:sty m:val="p"/>
                      </m:rPr>
                      <w:rPr>
                        <w:rFonts w:ascii="Cambria Math" w:hAnsi="Cambria Math"/>
                        <w:noProof/>
                        <w:szCs w:val="24"/>
                        <w:lang w:val="en-GB"/>
                      </w:rPr>
                      <m:t>0</m:t>
                    </m:r>
                  </m:e>
                  <m:sup>
                    <m:r>
                      <w:rPr>
                        <w:rFonts w:ascii="Cambria Math" w:hAnsi="Cambria Math"/>
                        <w:noProof/>
                        <w:szCs w:val="24"/>
                        <w:lang w:val="en-GB"/>
                      </w:rPr>
                      <m:t>-</m:t>
                    </m:r>
                    <m:r>
                      <w:rPr>
                        <w:rFonts w:ascii="Cambria Math" w:hAnsi="Cambria Math"/>
                        <w:noProof/>
                        <w:szCs w:val="24"/>
                      </w:rPr>
                      <m:t>A</m:t>
                    </m:r>
                  </m:sup>
                </m:sSup>
                <m:r>
                  <m:rPr>
                    <m:sty m:val="p"/>
                  </m:rPr>
                  <w:rPr>
                    <w:rFonts w:ascii="Cambria Math" w:hAnsi="Cambria Math"/>
                    <w:noProof/>
                    <w:szCs w:val="24"/>
                    <w:lang w:val="en-GB"/>
                  </w:rPr>
                  <m:t>=1</m:t>
                </m:r>
                <m:r>
                  <w:rPr>
                    <w:rFonts w:ascii="Cambria Math" w:hAnsi="Cambria Math"/>
                    <w:noProof/>
                    <w:szCs w:val="24"/>
                    <w:lang w:val="en-GB"/>
                  </w:rPr>
                  <m:t>-</m:t>
                </m:r>
                <m:r>
                  <m:rPr>
                    <m:sty m:val="p"/>
                  </m:rPr>
                  <w:rPr>
                    <w:rFonts w:ascii="Cambria Math" w:hAnsi="Cambria Math"/>
                    <w:noProof/>
                    <w:szCs w:val="24"/>
                    <w:lang w:val="en-GB"/>
                  </w:rPr>
                  <m:t>1</m:t>
                </m:r>
                <m:sSup>
                  <m:sSupPr>
                    <m:ctrlPr>
                      <w:rPr>
                        <w:rFonts w:ascii="Cambria Math" w:hAnsi="Cambria Math"/>
                        <w:szCs w:val="24"/>
                      </w:rPr>
                    </m:ctrlPr>
                  </m:sSupPr>
                  <m:e>
                    <m:r>
                      <m:rPr>
                        <m:sty m:val="p"/>
                      </m:rPr>
                      <w:rPr>
                        <w:rFonts w:ascii="Cambria Math" w:hAnsi="Cambria Math"/>
                        <w:noProof/>
                        <w:szCs w:val="24"/>
                        <w:lang w:val="en-GB"/>
                      </w:rPr>
                      <m:t>0</m:t>
                    </m:r>
                  </m:e>
                  <m:sup>
                    <m:r>
                      <w:rPr>
                        <w:rFonts w:ascii="Cambria Math" w:hAnsi="Cambria Math"/>
                        <w:noProof/>
                        <w:szCs w:val="24"/>
                        <w:lang w:val="en-GB"/>
                      </w:rPr>
                      <m:t>-</m:t>
                    </m:r>
                    <m:r>
                      <w:rPr>
                        <w:rFonts w:ascii="Cambria Math" w:hAnsi="Cambria Math"/>
                        <w:noProof/>
                        <w:szCs w:val="24"/>
                      </w:rPr>
                      <m:t>f</m:t>
                    </m:r>
                  </m:sup>
                </m:sSup>
              </m:oMath>
            </m:oMathPara>
          </w:p>
        </w:tc>
        <w:tc>
          <w:tcPr>
            <w:tcW w:w="837" w:type="dxa"/>
          </w:tcPr>
          <w:p w14:paraId="4B6C1455" w14:textId="4D11AB86" w:rsidR="00985218" w:rsidRPr="009008FF" w:rsidRDefault="0000334F" w:rsidP="00B6491D">
            <w:pPr>
              <w:tabs>
                <w:tab w:val="center" w:pos="4800"/>
                <w:tab w:val="right" w:pos="9500"/>
              </w:tabs>
              <w:spacing w:line="360" w:lineRule="auto"/>
              <w:rPr>
                <w:rFonts w:ascii="Times New Roman" w:hAnsi="Times New Roman" w:cs="Times New Roman"/>
                <w:b/>
                <w:bCs/>
                <w:i/>
                <w:iCs/>
                <w:noProof/>
                <w:szCs w:val="24"/>
                <w:lang w:val="en-GB"/>
              </w:rPr>
            </w:pPr>
            <w:bookmarkStart w:id="2" w:name="_Ref127909645"/>
            <w:bookmarkStart w:id="3" w:name="_Ref101025705"/>
            <w:r>
              <w:rPr>
                <w:rFonts w:ascii="Times New Roman" w:hAnsi="Times New Roman" w:cs="Times New Roman"/>
                <w:b/>
                <w:bCs/>
                <w:i/>
                <w:iCs/>
                <w:szCs w:val="24"/>
              </w:rPr>
              <w:t>Eq.</w:t>
            </w:r>
            <w:r w:rsidR="00985218" w:rsidRPr="009008FF">
              <w:rPr>
                <w:rFonts w:ascii="Times New Roman" w:hAnsi="Times New Roman" w:cs="Times New Roman"/>
                <w:b/>
                <w:bCs/>
                <w:i/>
                <w:iCs/>
                <w:szCs w:val="24"/>
              </w:rPr>
              <w:t>(</w:t>
            </w:r>
            <w:r w:rsidR="00050318">
              <w:rPr>
                <w:rFonts w:ascii="Times New Roman" w:hAnsi="Times New Roman" w:cs="Times New Roman"/>
                <w:b/>
                <w:bCs/>
                <w:i/>
                <w:iCs/>
                <w:szCs w:val="24"/>
              </w:rPr>
              <w:t>S</w:t>
            </w:r>
            <w:r w:rsidR="00985218" w:rsidRPr="009008FF">
              <w:rPr>
                <w:rFonts w:cs="Times New Roman"/>
                <w:b/>
                <w:bCs/>
                <w:i/>
                <w:iCs/>
                <w:szCs w:val="24"/>
              </w:rPr>
              <w:fldChar w:fldCharType="begin"/>
            </w:r>
            <w:r w:rsidR="00985218" w:rsidRPr="009008FF">
              <w:rPr>
                <w:rFonts w:ascii="Times New Roman" w:hAnsi="Times New Roman" w:cs="Times New Roman"/>
                <w:b/>
                <w:bCs/>
                <w:i/>
                <w:iCs/>
                <w:szCs w:val="24"/>
              </w:rPr>
              <w:instrText xml:space="preserve"> SEQ Equation \* ARABIC </w:instrText>
            </w:r>
            <w:r w:rsidR="00985218" w:rsidRPr="009008FF">
              <w:rPr>
                <w:rFonts w:cs="Times New Roman"/>
                <w:b/>
                <w:bCs/>
                <w:i/>
                <w:iCs/>
                <w:szCs w:val="24"/>
              </w:rPr>
              <w:fldChar w:fldCharType="separate"/>
            </w:r>
            <w:r w:rsidR="00985218">
              <w:rPr>
                <w:rFonts w:ascii="Times New Roman" w:hAnsi="Times New Roman" w:cs="Times New Roman"/>
                <w:b/>
                <w:bCs/>
                <w:i/>
                <w:iCs/>
                <w:noProof/>
                <w:szCs w:val="24"/>
              </w:rPr>
              <w:t>4</w:t>
            </w:r>
            <w:r w:rsidR="00985218" w:rsidRPr="009008FF">
              <w:rPr>
                <w:rFonts w:cs="Times New Roman"/>
                <w:b/>
                <w:bCs/>
                <w:i/>
                <w:iCs/>
                <w:szCs w:val="24"/>
              </w:rPr>
              <w:fldChar w:fldCharType="end"/>
            </w:r>
            <w:bookmarkEnd w:id="2"/>
            <w:r w:rsidR="00985218" w:rsidRPr="009008FF">
              <w:rPr>
                <w:rFonts w:ascii="Times New Roman" w:hAnsi="Times New Roman" w:cs="Times New Roman"/>
                <w:b/>
                <w:bCs/>
                <w:i/>
                <w:iCs/>
                <w:szCs w:val="24"/>
              </w:rPr>
              <w:t>)</w:t>
            </w:r>
            <w:bookmarkEnd w:id="3"/>
          </w:p>
        </w:tc>
      </w:tr>
    </w:tbl>
    <w:p w14:paraId="2DE77B90" w14:textId="77777777" w:rsidR="00985218" w:rsidRPr="009008FF" w:rsidRDefault="00985218" w:rsidP="00985218">
      <w:pPr>
        <w:tabs>
          <w:tab w:val="center" w:pos="4800"/>
          <w:tab w:val="right" w:pos="9500"/>
        </w:tabs>
        <w:spacing w:after="0" w:line="360" w:lineRule="auto"/>
        <w:ind w:firstLine="720"/>
        <w:rPr>
          <w:rFonts w:cs="Times New Roman"/>
          <w:noProof/>
          <w:szCs w:val="24"/>
          <w:lang w:val="en-GB"/>
        </w:rPr>
      </w:pPr>
      <w:r w:rsidRPr="009008FF">
        <w:rPr>
          <w:noProof/>
          <w:szCs w:val="24"/>
          <w:lang w:val="en-GB"/>
        </w:rPr>
        <w:tab/>
      </w:r>
      <w:r w:rsidRPr="009008FF">
        <w:rPr>
          <w:rFonts w:cs="Times New Roman"/>
          <w:noProof/>
          <w:szCs w:val="24"/>
          <w:lang w:val="en-GB"/>
        </w:rPr>
        <w:t>Where A(</w:t>
      </w:r>
      <w:r w:rsidRPr="009008FF">
        <w:rPr>
          <w:rFonts w:cs="Times New Roman"/>
          <w:i/>
          <w:iCs/>
          <w:noProof/>
          <w:szCs w:val="24"/>
          <w:lang w:val="en-GB"/>
        </w:rPr>
        <w:t>f</w:t>
      </w:r>
      <w:r w:rsidRPr="009008FF">
        <w:rPr>
          <w:rFonts w:cs="Times New Roman"/>
          <w:noProof/>
          <w:szCs w:val="24"/>
          <w:lang w:val="en-GB"/>
        </w:rPr>
        <w:t>) is the absorption (oscillating strength) of the dyes associated with the absorption energy (</w:t>
      </w:r>
      <m:oMath>
        <m:sSub>
          <m:sSubPr>
            <m:ctrlPr>
              <w:rPr>
                <w:rFonts w:ascii="Cambria Math" w:hAnsi="Cambria Math" w:cs="Times New Roman"/>
                <w:szCs w:val="24"/>
              </w:rPr>
            </m:ctrlPr>
          </m:sSubPr>
          <m:e>
            <m:r>
              <w:rPr>
                <w:rFonts w:ascii="Cambria Math" w:hAnsi="Cambria Math" w:cs="Times New Roman"/>
                <w:noProof/>
                <w:szCs w:val="24"/>
              </w:rPr>
              <m:t>E</m:t>
            </m:r>
          </m:e>
          <m:sub>
            <m:r>
              <m:rPr>
                <m:sty m:val="p"/>
              </m:rPr>
              <w:rPr>
                <w:rFonts w:ascii="Cambria Math" w:hAnsi="Cambria Math" w:cs="Times New Roman"/>
                <w:noProof/>
                <w:szCs w:val="24"/>
                <w:lang w:val="en-GB"/>
              </w:rPr>
              <m:t>00</m:t>
            </m:r>
          </m:sub>
        </m:sSub>
      </m:oMath>
      <w:r w:rsidRPr="009008FF">
        <w:rPr>
          <w:rFonts w:cs="Times New Roman"/>
          <w:noProof/>
          <w:szCs w:val="24"/>
          <w:lang w:val="en-GB"/>
        </w:rPr>
        <w:t>).</w:t>
      </w:r>
    </w:p>
    <w:p w14:paraId="247BFD9C" w14:textId="5C201EB3" w:rsidR="00985218" w:rsidRPr="009008FF" w:rsidRDefault="00985218" w:rsidP="00985218">
      <w:pPr>
        <w:tabs>
          <w:tab w:val="center" w:pos="4800"/>
          <w:tab w:val="right" w:pos="9500"/>
        </w:tabs>
        <w:spacing w:after="0" w:line="360" w:lineRule="auto"/>
        <w:ind w:firstLine="720"/>
        <w:rPr>
          <w:rFonts w:cs="Times New Roman"/>
          <w:noProof/>
          <w:szCs w:val="24"/>
          <w:lang w:val="en-GB"/>
        </w:rPr>
      </w:pPr>
      <w:r w:rsidRPr="009008FF">
        <w:rPr>
          <w:rFonts w:cs="Times New Roman"/>
          <w:noProof/>
          <w:szCs w:val="24"/>
          <w:lang w:val="en-GB"/>
        </w:rPr>
        <w:t xml:space="preserve">To analyze the relationship between </w:t>
      </w:r>
      <m:oMath>
        <m:sSub>
          <m:sSubPr>
            <m:ctrlPr>
              <w:rPr>
                <w:rFonts w:ascii="Cambria Math" w:hAnsi="Cambria Math" w:cs="Times New Roman"/>
                <w:szCs w:val="24"/>
              </w:rPr>
            </m:ctrlPr>
          </m:sSubPr>
          <m:e>
            <m:r>
              <m:rPr>
                <m:sty m:val="p"/>
              </m:rPr>
              <w:rPr>
                <w:rFonts w:ascii="Cambria Math" w:hAnsi="Cambria Math" w:cs="Times New Roman"/>
                <w:noProof/>
                <w:szCs w:val="24"/>
              </w:rPr>
              <m:t>Φ</m:t>
            </m:r>
          </m:e>
          <m:sub>
            <m:r>
              <m:rPr>
                <m:sty m:val="p"/>
              </m:rPr>
              <w:rPr>
                <w:rFonts w:ascii="Cambria Math" w:hAnsi="Cambria Math" w:cs="Times New Roman"/>
                <w:noProof/>
                <w:szCs w:val="24"/>
                <w:lang w:val="en-GB"/>
              </w:rPr>
              <m:t>inject</m:t>
            </m:r>
          </m:sub>
        </m:sSub>
      </m:oMath>
      <w:r w:rsidRPr="009008FF">
        <w:rPr>
          <w:rFonts w:cs="Times New Roman"/>
          <w:noProof/>
          <w:szCs w:val="24"/>
          <w:lang w:val="en-GB"/>
        </w:rPr>
        <w:t xml:space="preserve"> and</w:t>
      </w:r>
      <w:r>
        <w:rPr>
          <w:rFonts w:cs="Times New Roman"/>
          <w:noProof/>
          <w:szCs w:val="24"/>
          <w:lang w:val="en-GB"/>
        </w:rPr>
        <w:t xml:space="preserve"> </w:t>
      </w:r>
      <w:r w:rsidRPr="00582737">
        <w:rPr>
          <w:rFonts w:cs="Times New Roman"/>
          <w:noProof/>
          <w:szCs w:val="24"/>
          <w:lang w:val="en-GB"/>
        </w:rPr>
        <w:t xml:space="preserve">injection driving force </w:t>
      </w:r>
      <m:oMath>
        <m:r>
          <m:rPr>
            <m:sty m:val="p"/>
          </m:rPr>
          <w:rPr>
            <w:rFonts w:ascii="Cambria Math" w:hAnsi="Cambria Math" w:cs="Times New Roman"/>
            <w:noProof/>
            <w:szCs w:val="24"/>
          </w:rPr>
          <m:t>Δ</m:t>
        </m:r>
        <m:sSub>
          <m:sSubPr>
            <m:ctrlPr>
              <w:rPr>
                <w:rFonts w:ascii="Cambria Math" w:hAnsi="Cambria Math" w:cs="Times New Roman"/>
                <w:szCs w:val="24"/>
              </w:rPr>
            </m:ctrlPr>
          </m:sSubPr>
          <m:e>
            <m:r>
              <w:rPr>
                <w:rFonts w:ascii="Cambria Math" w:hAnsi="Cambria Math" w:cs="Times New Roman"/>
                <w:noProof/>
                <w:szCs w:val="24"/>
              </w:rPr>
              <m:t>G</m:t>
            </m:r>
          </m:e>
          <m:sub>
            <m:r>
              <m:rPr>
                <m:sty m:val="p"/>
              </m:rPr>
              <w:rPr>
                <w:rFonts w:ascii="Cambria Math" w:hAnsi="Cambria Math" w:cs="Times New Roman"/>
                <w:noProof/>
                <w:szCs w:val="24"/>
                <w:lang w:val="en-GB"/>
              </w:rPr>
              <m:t>inject</m:t>
            </m:r>
          </m:sub>
        </m:sSub>
      </m:oMath>
      <w:r w:rsidRPr="009008FF">
        <w:rPr>
          <w:rFonts w:cs="Times New Roman"/>
          <w:noProof/>
          <w:szCs w:val="24"/>
          <w:lang w:val="en-GB"/>
        </w:rPr>
        <w:t xml:space="preserve"> of the dyes based on electron injection from the photoinduced excited state of the dye into the TiO</w:t>
      </w:r>
      <w:r w:rsidRPr="00083917">
        <w:rPr>
          <w:rFonts w:cs="Times New Roman"/>
          <w:noProof/>
          <w:szCs w:val="24"/>
          <w:vertAlign w:val="subscript"/>
          <w:lang w:val="en-GB"/>
        </w:rPr>
        <w:t>2</w:t>
      </w:r>
      <w:r w:rsidRPr="009008FF">
        <w:rPr>
          <w:rFonts w:cs="Times New Roman"/>
          <w:noProof/>
          <w:szCs w:val="24"/>
          <w:lang w:val="en-GB"/>
        </w:rPr>
        <w:t xml:space="preserve"> surface, the energy relationship can be expressed</w:t>
      </w:r>
      <w:r w:rsidR="00124ADB">
        <w:rPr>
          <w:rFonts w:cs="Times New Roman"/>
          <w:noProof/>
          <w:szCs w:val="24"/>
          <w:lang w:val="en-GB"/>
        </w:rPr>
        <w:t xml:space="preserve"> </w:t>
      </w:r>
      <w:sdt>
        <w:sdtPr>
          <w:rPr>
            <w:rFonts w:cs="Times New Roman"/>
            <w:noProof/>
            <w:color w:val="000000"/>
            <w:szCs w:val="24"/>
            <w:lang w:val="en-GB"/>
          </w:rPr>
          <w:tag w:val="MENDELEY_CITATION_v3_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"/>
          <w:id w:val="328419025"/>
          <w:placeholder>
            <w:docPart w:val="02B7155B0EB943F397E3EE152B19336E"/>
          </w:placeholder>
        </w:sdtPr>
        <w:sdtContent>
          <w:r w:rsidR="00DC186D" w:rsidRPr="00DC186D">
            <w:rPr>
              <w:rFonts w:cs="Times New Roman"/>
              <w:noProof/>
              <w:color w:val="000000"/>
              <w:szCs w:val="24"/>
              <w:lang w:val="en-GB"/>
            </w:rPr>
            <w:t>(Katoh et al., 2004)</w:t>
          </w:r>
        </w:sdtContent>
      </w:sdt>
      <w:r w:rsidRPr="009008FF">
        <w:rPr>
          <w:rFonts w:cs="Times New Roman"/>
          <w:noProof/>
          <w:szCs w:val="24"/>
          <w:lang w:val="en-GB"/>
        </w:rPr>
        <w:t xml:space="preserve">: </w:t>
      </w:r>
    </w:p>
    <w:tbl>
      <w:tblPr>
        <w:tblStyle w:val="Grilledutableau"/>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2"/>
        <w:gridCol w:w="907"/>
      </w:tblGrid>
      <w:tr w:rsidR="00985218" w:rsidRPr="009008FF" w14:paraId="72055FFF" w14:textId="77777777" w:rsidTr="00B6491D">
        <w:trPr>
          <w:trHeight w:val="587"/>
        </w:trPr>
        <w:tc>
          <w:tcPr>
            <w:tcW w:w="8055" w:type="dxa"/>
          </w:tcPr>
          <w:p w14:paraId="43BD0949" w14:textId="77777777" w:rsidR="00985218" w:rsidRPr="009008FF" w:rsidRDefault="00000000" w:rsidP="00B6491D">
            <w:pPr>
              <w:tabs>
                <w:tab w:val="center" w:pos="4800"/>
                <w:tab w:val="right" w:pos="9500"/>
              </w:tabs>
              <w:spacing w:line="360" w:lineRule="auto"/>
              <w:rPr>
                <w:rFonts w:ascii="Times New Roman" w:hAnsi="Times New Roman" w:cs="Times New Roman"/>
                <w:noProof/>
                <w:szCs w:val="24"/>
                <w:lang w:val="en-GB"/>
              </w:rPr>
            </w:pPr>
            <m:oMathPara>
              <m:oMath>
                <m:sSub>
                  <m:sSubPr>
                    <m:ctrlPr>
                      <w:rPr>
                        <w:rFonts w:ascii="Cambria Math" w:hAnsi="Cambria Math"/>
                        <w:szCs w:val="24"/>
                      </w:rPr>
                    </m:ctrlPr>
                  </m:sSubPr>
                  <m:e>
                    <m:r>
                      <m:rPr>
                        <m:sty m:val="p"/>
                      </m:rPr>
                      <w:rPr>
                        <w:rFonts w:ascii="Cambria Math" w:hAnsi="Cambria Math" w:cs="Cambria Math"/>
                        <w:noProof/>
                        <w:szCs w:val="24"/>
                      </w:rPr>
                      <m:t>Φ</m:t>
                    </m:r>
                  </m:e>
                  <m:sub>
                    <m:r>
                      <m:rPr>
                        <m:sty m:val="p"/>
                      </m:rPr>
                      <w:rPr>
                        <w:rFonts w:ascii="Cambria Math" w:hAnsi="Cambria Math"/>
                        <w:noProof/>
                        <w:szCs w:val="24"/>
                        <w:lang w:val="en-GB"/>
                      </w:rPr>
                      <m:t>inject</m:t>
                    </m:r>
                  </m:sub>
                </m:sSub>
                <m:r>
                  <w:rPr>
                    <w:rFonts w:ascii="Cambria Math" w:hAnsi="Cambria Math"/>
                    <w:noProof/>
                    <w:szCs w:val="24"/>
                    <w:lang w:val="en-GB"/>
                  </w:rPr>
                  <m:t>∞</m:t>
                </m:r>
                <m:r>
                  <w:rPr>
                    <w:rFonts w:ascii="Cambria Math" w:hAnsi="Cambria Math"/>
                    <w:noProof/>
                    <w:szCs w:val="24"/>
                  </w:rPr>
                  <m:t>f</m:t>
                </m:r>
                <m:d>
                  <m:dPr>
                    <m:ctrlPr>
                      <w:rPr>
                        <w:rFonts w:ascii="Cambria Math" w:hAnsi="Cambria Math"/>
                        <w:szCs w:val="24"/>
                      </w:rPr>
                    </m:ctrlPr>
                  </m:dPr>
                  <m:e>
                    <m:r>
                      <w:rPr>
                        <w:rFonts w:ascii="Cambria Math" w:hAnsi="Cambria Math"/>
                        <w:noProof/>
                        <w:szCs w:val="24"/>
                        <w:lang w:val="en-GB"/>
                      </w:rPr>
                      <m:t>-</m:t>
                    </m:r>
                    <m:r>
                      <m:rPr>
                        <m:sty m:val="p"/>
                      </m:rPr>
                      <w:rPr>
                        <w:rFonts w:ascii="Cambria Math" w:hAnsi="Cambria Math" w:cs="Cambria Math"/>
                        <w:noProof/>
                        <w:szCs w:val="24"/>
                      </w:rPr>
                      <m:t>Δ</m:t>
                    </m:r>
                    <m:sSub>
                      <m:sSubPr>
                        <m:ctrlPr>
                          <w:rPr>
                            <w:rFonts w:ascii="Cambria Math" w:hAnsi="Cambria Math"/>
                            <w:szCs w:val="24"/>
                          </w:rPr>
                        </m:ctrlPr>
                      </m:sSubPr>
                      <m:e>
                        <m:r>
                          <w:rPr>
                            <w:rFonts w:ascii="Cambria Math" w:hAnsi="Cambria Math"/>
                            <w:noProof/>
                            <w:szCs w:val="24"/>
                          </w:rPr>
                          <m:t>G</m:t>
                        </m:r>
                      </m:e>
                      <m:sub>
                        <m:r>
                          <m:rPr>
                            <m:sty m:val="p"/>
                          </m:rPr>
                          <w:rPr>
                            <w:rFonts w:ascii="Cambria Math" w:hAnsi="Cambria Math"/>
                            <w:noProof/>
                            <w:szCs w:val="24"/>
                            <w:lang w:val="en-GB"/>
                          </w:rPr>
                          <m:t>inject</m:t>
                        </m:r>
                      </m:sub>
                    </m:sSub>
                  </m:e>
                </m:d>
              </m:oMath>
            </m:oMathPara>
          </w:p>
        </w:tc>
        <w:tc>
          <w:tcPr>
            <w:tcW w:w="674" w:type="dxa"/>
          </w:tcPr>
          <w:p w14:paraId="461A1787" w14:textId="4E4397BF" w:rsidR="00985218" w:rsidRPr="009008FF" w:rsidRDefault="0000334F" w:rsidP="00B6491D">
            <w:pPr>
              <w:tabs>
                <w:tab w:val="center" w:pos="4800"/>
                <w:tab w:val="right" w:pos="9500"/>
              </w:tabs>
              <w:spacing w:line="360" w:lineRule="auto"/>
              <w:rPr>
                <w:rFonts w:ascii="Times New Roman" w:hAnsi="Times New Roman" w:cs="Times New Roman"/>
                <w:b/>
                <w:bCs/>
                <w:i/>
                <w:iCs/>
                <w:noProof/>
                <w:szCs w:val="24"/>
                <w:lang w:val="en-GB"/>
              </w:rPr>
            </w:pPr>
            <w:r>
              <w:rPr>
                <w:rFonts w:ascii="Times New Roman" w:hAnsi="Times New Roman" w:cs="Times New Roman"/>
                <w:b/>
                <w:bCs/>
                <w:i/>
                <w:iCs/>
                <w:szCs w:val="24"/>
              </w:rPr>
              <w:t>Eq.</w:t>
            </w:r>
            <w:r w:rsidR="00985218" w:rsidRPr="009008FF">
              <w:rPr>
                <w:rFonts w:ascii="Times New Roman" w:hAnsi="Times New Roman" w:cs="Times New Roman"/>
                <w:b/>
                <w:bCs/>
                <w:i/>
                <w:iCs/>
                <w:szCs w:val="24"/>
              </w:rPr>
              <w:t>(</w:t>
            </w:r>
            <w:r w:rsidR="00050318">
              <w:rPr>
                <w:rFonts w:ascii="Times New Roman" w:hAnsi="Times New Roman" w:cs="Times New Roman"/>
                <w:b/>
                <w:bCs/>
                <w:i/>
                <w:iCs/>
                <w:szCs w:val="24"/>
              </w:rPr>
              <w:t>S</w:t>
            </w:r>
            <w:r w:rsidR="00985218" w:rsidRPr="009008FF">
              <w:rPr>
                <w:rFonts w:cs="Times New Roman"/>
                <w:b/>
                <w:bCs/>
                <w:i/>
                <w:iCs/>
                <w:szCs w:val="24"/>
              </w:rPr>
              <w:fldChar w:fldCharType="begin"/>
            </w:r>
            <w:r w:rsidR="00985218" w:rsidRPr="009008FF">
              <w:rPr>
                <w:rFonts w:ascii="Times New Roman" w:hAnsi="Times New Roman" w:cs="Times New Roman"/>
                <w:b/>
                <w:bCs/>
                <w:i/>
                <w:iCs/>
                <w:szCs w:val="24"/>
              </w:rPr>
              <w:instrText xml:space="preserve"> SEQ Equation \* ARABIC </w:instrText>
            </w:r>
            <w:r w:rsidR="00985218" w:rsidRPr="009008FF">
              <w:rPr>
                <w:rFonts w:cs="Times New Roman"/>
                <w:b/>
                <w:bCs/>
                <w:i/>
                <w:iCs/>
                <w:szCs w:val="24"/>
              </w:rPr>
              <w:fldChar w:fldCharType="separate"/>
            </w:r>
            <w:r w:rsidR="00985218">
              <w:rPr>
                <w:rFonts w:ascii="Times New Roman" w:hAnsi="Times New Roman" w:cs="Times New Roman"/>
                <w:b/>
                <w:bCs/>
                <w:i/>
                <w:iCs/>
                <w:noProof/>
                <w:szCs w:val="24"/>
              </w:rPr>
              <w:t>5</w:t>
            </w:r>
            <w:r w:rsidR="00985218" w:rsidRPr="009008FF">
              <w:rPr>
                <w:rFonts w:cs="Times New Roman"/>
                <w:b/>
                <w:bCs/>
                <w:i/>
                <w:iCs/>
                <w:szCs w:val="24"/>
              </w:rPr>
              <w:fldChar w:fldCharType="end"/>
            </w:r>
            <w:r w:rsidR="00985218" w:rsidRPr="009008FF">
              <w:rPr>
                <w:rFonts w:ascii="Times New Roman" w:hAnsi="Times New Roman" w:cs="Times New Roman"/>
                <w:b/>
                <w:bCs/>
                <w:i/>
                <w:iCs/>
                <w:szCs w:val="24"/>
              </w:rPr>
              <w:t>)</w:t>
            </w:r>
          </w:p>
        </w:tc>
      </w:tr>
      <w:tr w:rsidR="00985218" w:rsidRPr="009008FF" w14:paraId="63CA4FC4" w14:textId="77777777" w:rsidTr="00B6491D">
        <w:trPr>
          <w:trHeight w:val="627"/>
        </w:trPr>
        <w:tc>
          <w:tcPr>
            <w:tcW w:w="8055" w:type="dxa"/>
          </w:tcPr>
          <w:p w14:paraId="53409E31" w14:textId="77777777" w:rsidR="00985218" w:rsidRPr="009008FF" w:rsidRDefault="00985218" w:rsidP="00B6491D">
            <w:pPr>
              <w:tabs>
                <w:tab w:val="center" w:pos="4800"/>
                <w:tab w:val="right" w:pos="9500"/>
              </w:tabs>
              <w:spacing w:line="360" w:lineRule="auto"/>
              <w:rPr>
                <w:rFonts w:ascii="Times New Roman" w:hAnsi="Times New Roman" w:cs="Times New Roman"/>
                <w:noProof/>
                <w:szCs w:val="24"/>
                <w:lang w:val="en-GB"/>
              </w:rPr>
            </w:pPr>
            <m:oMathPara>
              <m:oMath>
                <m:r>
                  <m:rPr>
                    <m:sty m:val="p"/>
                  </m:rPr>
                  <w:rPr>
                    <w:rFonts w:ascii="Cambria Math" w:hAnsi="Cambria Math" w:cs="Cambria Math"/>
                    <w:noProof/>
                    <w:szCs w:val="24"/>
                  </w:rPr>
                  <m:t>Δ</m:t>
                </m:r>
                <m:sSub>
                  <m:sSubPr>
                    <m:ctrlPr>
                      <w:rPr>
                        <w:rFonts w:ascii="Cambria Math" w:hAnsi="Cambria Math"/>
                        <w:szCs w:val="24"/>
                      </w:rPr>
                    </m:ctrlPr>
                  </m:sSubPr>
                  <m:e>
                    <m:r>
                      <w:rPr>
                        <w:rFonts w:ascii="Cambria Math" w:hAnsi="Cambria Math"/>
                        <w:noProof/>
                        <w:szCs w:val="24"/>
                      </w:rPr>
                      <m:t>G</m:t>
                    </m:r>
                  </m:e>
                  <m:sub>
                    <m:r>
                      <m:rPr>
                        <m:sty m:val="p"/>
                      </m:rPr>
                      <w:rPr>
                        <w:rFonts w:ascii="Cambria Math" w:hAnsi="Cambria Math"/>
                        <w:noProof/>
                        <w:szCs w:val="24"/>
                        <w:lang w:val="en-GB"/>
                      </w:rPr>
                      <m:t>inject</m:t>
                    </m:r>
                  </m:sub>
                </m:sSub>
                <m:r>
                  <m:rPr>
                    <m:sty m:val="p"/>
                  </m:rPr>
                  <w:rPr>
                    <w:rFonts w:ascii="Cambria Math" w:hAnsi="Cambria Math"/>
                    <w:noProof/>
                    <w:szCs w:val="24"/>
                    <w:lang w:val="en-GB"/>
                  </w:rPr>
                  <m:t>=</m:t>
                </m:r>
                <m:sSubSup>
                  <m:sSubSupPr>
                    <m:ctrlPr>
                      <w:rPr>
                        <w:rFonts w:ascii="Cambria Math" w:hAnsi="Cambria Math"/>
                        <w:szCs w:val="24"/>
                      </w:rPr>
                    </m:ctrlPr>
                  </m:sSubSupPr>
                  <m:e>
                    <m:r>
                      <w:rPr>
                        <w:rFonts w:ascii="Cambria Math" w:hAnsi="Cambria Math"/>
                        <w:noProof/>
                        <w:szCs w:val="24"/>
                      </w:rPr>
                      <m:t>E</m:t>
                    </m:r>
                  </m:e>
                  <m:sub>
                    <m:r>
                      <w:rPr>
                        <w:rFonts w:ascii="Cambria Math" w:hAnsi="Cambria Math"/>
                        <w:noProof/>
                        <w:szCs w:val="24"/>
                      </w:rPr>
                      <m:t>ox</m:t>
                    </m:r>
                  </m:sub>
                  <m:sup>
                    <m:r>
                      <m:rPr>
                        <m:sty m:val="p"/>
                      </m:rPr>
                      <w:rPr>
                        <w:rFonts w:ascii="Cambria Math" w:hAnsi="Cambria Math"/>
                        <w:noProof/>
                        <w:szCs w:val="24"/>
                        <w:lang w:val="en-GB"/>
                      </w:rPr>
                      <m:t>dye*</m:t>
                    </m:r>
                  </m:sup>
                </m:sSubSup>
                <m:r>
                  <w:rPr>
                    <w:rFonts w:ascii="Cambria Math" w:hAnsi="Cambria Math"/>
                    <w:noProof/>
                    <w:szCs w:val="24"/>
                    <w:lang w:val="en-GB"/>
                  </w:rPr>
                  <m:t>+</m:t>
                </m:r>
                <m:sSubSup>
                  <m:sSubSupPr>
                    <m:ctrlPr>
                      <w:rPr>
                        <w:rFonts w:ascii="Cambria Math" w:hAnsi="Cambria Math"/>
                        <w:szCs w:val="24"/>
                      </w:rPr>
                    </m:ctrlPr>
                  </m:sSubSupPr>
                  <m:e>
                    <m:r>
                      <w:rPr>
                        <w:rFonts w:ascii="Cambria Math" w:hAnsi="Cambria Math"/>
                        <w:noProof/>
                        <w:szCs w:val="24"/>
                      </w:rPr>
                      <m:t>E</m:t>
                    </m:r>
                  </m:e>
                  <m:sub>
                    <m:r>
                      <w:rPr>
                        <w:rFonts w:ascii="Cambria Math" w:hAnsi="Cambria Math"/>
                        <w:noProof/>
                        <w:szCs w:val="24"/>
                      </w:rPr>
                      <m:t>CB</m:t>
                    </m:r>
                  </m:sub>
                  <m:sup>
                    <m:r>
                      <m:rPr>
                        <m:sty m:val="p"/>
                      </m:rPr>
                      <w:rPr>
                        <w:rFonts w:ascii="Cambria Math" w:hAnsi="Cambria Math"/>
                        <w:noProof/>
                        <w:szCs w:val="24"/>
                        <w:lang w:val="en-GB"/>
                      </w:rPr>
                      <m:t>Ti</m:t>
                    </m:r>
                    <m:sSub>
                      <m:sSubPr>
                        <m:ctrlPr>
                          <w:rPr>
                            <w:rFonts w:ascii="Cambria Math" w:hAnsi="Cambria Math"/>
                            <w:szCs w:val="24"/>
                          </w:rPr>
                        </m:ctrlPr>
                      </m:sSubPr>
                      <m:e>
                        <m:r>
                          <m:rPr>
                            <m:sty m:val="p"/>
                          </m:rPr>
                          <w:rPr>
                            <w:rFonts w:ascii="Cambria Math" w:hAnsi="Cambria Math"/>
                            <w:noProof/>
                            <w:szCs w:val="24"/>
                            <w:lang w:val="en-GB"/>
                          </w:rPr>
                          <m:t>O</m:t>
                        </m:r>
                      </m:e>
                      <m:sub>
                        <m:r>
                          <m:rPr>
                            <m:sty m:val="p"/>
                          </m:rPr>
                          <w:rPr>
                            <w:rFonts w:ascii="Cambria Math" w:hAnsi="Cambria Math"/>
                            <w:noProof/>
                            <w:szCs w:val="24"/>
                            <w:lang w:val="en-GB"/>
                          </w:rPr>
                          <m:t>2</m:t>
                        </m:r>
                      </m:sub>
                    </m:sSub>
                  </m:sup>
                </m:sSubSup>
                <m:r>
                  <m:rPr>
                    <m:sty m:val="p"/>
                  </m:rPr>
                  <w:rPr>
                    <w:rFonts w:ascii="Cambria Math" w:hAnsi="Cambria Math"/>
                    <w:noProof/>
                    <w:szCs w:val="24"/>
                    <w:lang w:val="en-GB"/>
                  </w:rPr>
                  <m:t>=</m:t>
                </m:r>
                <m:sSubSup>
                  <m:sSubSupPr>
                    <m:ctrlPr>
                      <w:rPr>
                        <w:rFonts w:ascii="Cambria Math" w:hAnsi="Cambria Math"/>
                        <w:szCs w:val="24"/>
                      </w:rPr>
                    </m:ctrlPr>
                  </m:sSubSupPr>
                  <m:e>
                    <m:r>
                      <w:rPr>
                        <w:rFonts w:ascii="Cambria Math" w:hAnsi="Cambria Math"/>
                        <w:noProof/>
                        <w:szCs w:val="24"/>
                      </w:rPr>
                      <m:t>E</m:t>
                    </m:r>
                  </m:e>
                  <m:sub>
                    <m:r>
                      <w:rPr>
                        <w:rFonts w:ascii="Cambria Math" w:hAnsi="Cambria Math"/>
                        <w:noProof/>
                        <w:szCs w:val="24"/>
                      </w:rPr>
                      <m:t>ox</m:t>
                    </m:r>
                  </m:sub>
                  <m:sup>
                    <m:r>
                      <m:rPr>
                        <m:sty m:val="p"/>
                      </m:rPr>
                      <w:rPr>
                        <w:rFonts w:ascii="Cambria Math" w:hAnsi="Cambria Math"/>
                        <w:noProof/>
                        <w:szCs w:val="24"/>
                        <w:lang w:val="en-GB"/>
                      </w:rPr>
                      <m:t>dye</m:t>
                    </m:r>
                  </m:sup>
                </m:sSubSup>
                <m:r>
                  <w:rPr>
                    <w:rFonts w:ascii="Cambria Math" w:hAnsi="Cambria Math"/>
                    <w:noProof/>
                    <w:szCs w:val="24"/>
                    <w:lang w:val="en-GB"/>
                  </w:rPr>
                  <m:t>-</m:t>
                </m:r>
                <m:sSub>
                  <m:sSubPr>
                    <m:ctrlPr>
                      <w:rPr>
                        <w:rFonts w:ascii="Cambria Math" w:hAnsi="Cambria Math"/>
                        <w:szCs w:val="24"/>
                      </w:rPr>
                    </m:ctrlPr>
                  </m:sSubPr>
                  <m:e>
                    <m:r>
                      <w:rPr>
                        <w:rFonts w:ascii="Cambria Math" w:hAnsi="Cambria Math"/>
                        <w:noProof/>
                        <w:szCs w:val="24"/>
                      </w:rPr>
                      <m:t>E</m:t>
                    </m:r>
                  </m:e>
                  <m:sub>
                    <m:r>
                      <m:rPr>
                        <m:sty m:val="p"/>
                      </m:rPr>
                      <w:rPr>
                        <w:rFonts w:ascii="Cambria Math" w:hAnsi="Cambria Math"/>
                        <w:noProof/>
                        <w:szCs w:val="24"/>
                        <w:lang w:val="en-GB"/>
                      </w:rPr>
                      <m:t>00</m:t>
                    </m:r>
                  </m:sub>
                </m:sSub>
                <m:r>
                  <w:rPr>
                    <w:rFonts w:ascii="Cambria Math" w:hAnsi="Cambria Math"/>
                    <w:noProof/>
                    <w:szCs w:val="24"/>
                    <w:lang w:val="en-GB"/>
                  </w:rPr>
                  <m:t>+</m:t>
                </m:r>
                <m:sSubSup>
                  <m:sSubSupPr>
                    <m:ctrlPr>
                      <w:rPr>
                        <w:rFonts w:ascii="Cambria Math" w:hAnsi="Cambria Math"/>
                        <w:szCs w:val="24"/>
                      </w:rPr>
                    </m:ctrlPr>
                  </m:sSubSupPr>
                  <m:e>
                    <m:r>
                      <w:rPr>
                        <w:rFonts w:ascii="Cambria Math" w:hAnsi="Cambria Math"/>
                        <w:noProof/>
                        <w:szCs w:val="24"/>
                      </w:rPr>
                      <m:t>E</m:t>
                    </m:r>
                  </m:e>
                  <m:sub>
                    <m:r>
                      <w:rPr>
                        <w:rFonts w:ascii="Cambria Math" w:hAnsi="Cambria Math"/>
                        <w:noProof/>
                        <w:szCs w:val="24"/>
                      </w:rPr>
                      <m:t>CB</m:t>
                    </m:r>
                  </m:sub>
                  <m:sup>
                    <m:r>
                      <m:rPr>
                        <m:sty m:val="p"/>
                      </m:rPr>
                      <w:rPr>
                        <w:rFonts w:ascii="Cambria Math" w:hAnsi="Cambria Math"/>
                        <w:noProof/>
                        <w:szCs w:val="24"/>
                        <w:lang w:val="en-GB"/>
                      </w:rPr>
                      <m:t>Ti</m:t>
                    </m:r>
                    <m:sSub>
                      <m:sSubPr>
                        <m:ctrlPr>
                          <w:rPr>
                            <w:rFonts w:ascii="Cambria Math" w:hAnsi="Cambria Math"/>
                            <w:szCs w:val="24"/>
                          </w:rPr>
                        </m:ctrlPr>
                      </m:sSubPr>
                      <m:e>
                        <m:r>
                          <m:rPr>
                            <m:sty m:val="p"/>
                          </m:rPr>
                          <w:rPr>
                            <w:rFonts w:ascii="Cambria Math" w:hAnsi="Cambria Math"/>
                            <w:noProof/>
                            <w:szCs w:val="24"/>
                            <w:lang w:val="en-GB"/>
                          </w:rPr>
                          <m:t>O</m:t>
                        </m:r>
                      </m:e>
                      <m:sub>
                        <m:r>
                          <m:rPr>
                            <m:sty m:val="p"/>
                          </m:rPr>
                          <w:rPr>
                            <w:rFonts w:ascii="Cambria Math" w:hAnsi="Cambria Math"/>
                            <w:noProof/>
                            <w:szCs w:val="24"/>
                            <w:lang w:val="en-GB"/>
                          </w:rPr>
                          <m:t>2</m:t>
                        </m:r>
                      </m:sub>
                    </m:sSub>
                  </m:sup>
                </m:sSubSup>
              </m:oMath>
            </m:oMathPara>
          </w:p>
        </w:tc>
        <w:tc>
          <w:tcPr>
            <w:tcW w:w="674" w:type="dxa"/>
          </w:tcPr>
          <w:p w14:paraId="71018EA5" w14:textId="79026B72" w:rsidR="00985218" w:rsidRPr="009008FF" w:rsidRDefault="0000334F" w:rsidP="00B6491D">
            <w:pPr>
              <w:tabs>
                <w:tab w:val="center" w:pos="4800"/>
                <w:tab w:val="right" w:pos="9500"/>
              </w:tabs>
              <w:spacing w:line="360" w:lineRule="auto"/>
              <w:rPr>
                <w:rFonts w:ascii="Times New Roman" w:hAnsi="Times New Roman" w:cs="Times New Roman"/>
                <w:b/>
                <w:bCs/>
                <w:i/>
                <w:iCs/>
                <w:noProof/>
                <w:szCs w:val="24"/>
                <w:lang w:val="en-GB"/>
              </w:rPr>
            </w:pPr>
            <w:bookmarkStart w:id="4" w:name="_Ref101025855"/>
            <w:r>
              <w:rPr>
                <w:rFonts w:ascii="Times New Roman" w:hAnsi="Times New Roman" w:cs="Times New Roman"/>
                <w:b/>
                <w:bCs/>
                <w:i/>
                <w:iCs/>
                <w:szCs w:val="24"/>
              </w:rPr>
              <w:t>Eq.</w:t>
            </w:r>
            <w:r w:rsidR="00985218" w:rsidRPr="009008FF">
              <w:rPr>
                <w:rFonts w:ascii="Times New Roman" w:hAnsi="Times New Roman" w:cs="Times New Roman"/>
                <w:b/>
                <w:bCs/>
                <w:i/>
                <w:iCs/>
                <w:szCs w:val="24"/>
              </w:rPr>
              <w:t>(</w:t>
            </w:r>
            <w:r w:rsidR="00050318">
              <w:rPr>
                <w:rFonts w:ascii="Times New Roman" w:hAnsi="Times New Roman" w:cs="Times New Roman"/>
                <w:b/>
                <w:bCs/>
                <w:i/>
                <w:iCs/>
                <w:szCs w:val="24"/>
              </w:rPr>
              <w:t>S</w:t>
            </w:r>
            <w:r w:rsidR="00985218" w:rsidRPr="009008FF">
              <w:rPr>
                <w:rFonts w:cs="Times New Roman"/>
                <w:b/>
                <w:bCs/>
                <w:i/>
                <w:iCs/>
                <w:szCs w:val="24"/>
              </w:rPr>
              <w:fldChar w:fldCharType="begin"/>
            </w:r>
            <w:r w:rsidR="00985218" w:rsidRPr="009008FF">
              <w:rPr>
                <w:rFonts w:ascii="Times New Roman" w:hAnsi="Times New Roman" w:cs="Times New Roman"/>
                <w:b/>
                <w:bCs/>
                <w:i/>
                <w:iCs/>
                <w:szCs w:val="24"/>
              </w:rPr>
              <w:instrText xml:space="preserve"> SEQ Equation \* ARABIC </w:instrText>
            </w:r>
            <w:r w:rsidR="00985218" w:rsidRPr="009008FF">
              <w:rPr>
                <w:rFonts w:cs="Times New Roman"/>
                <w:b/>
                <w:bCs/>
                <w:i/>
                <w:iCs/>
                <w:szCs w:val="24"/>
              </w:rPr>
              <w:fldChar w:fldCharType="separate"/>
            </w:r>
            <w:r w:rsidR="00985218">
              <w:rPr>
                <w:rFonts w:ascii="Times New Roman" w:hAnsi="Times New Roman" w:cs="Times New Roman"/>
                <w:b/>
                <w:bCs/>
                <w:i/>
                <w:iCs/>
                <w:noProof/>
                <w:szCs w:val="24"/>
              </w:rPr>
              <w:t>6</w:t>
            </w:r>
            <w:r w:rsidR="00985218" w:rsidRPr="009008FF">
              <w:rPr>
                <w:rFonts w:cs="Times New Roman"/>
                <w:b/>
                <w:bCs/>
                <w:i/>
                <w:iCs/>
                <w:szCs w:val="24"/>
              </w:rPr>
              <w:fldChar w:fldCharType="end"/>
            </w:r>
            <w:r w:rsidR="00985218" w:rsidRPr="009008FF">
              <w:rPr>
                <w:rFonts w:ascii="Times New Roman" w:hAnsi="Times New Roman" w:cs="Times New Roman"/>
                <w:b/>
                <w:bCs/>
                <w:i/>
                <w:iCs/>
                <w:szCs w:val="24"/>
              </w:rPr>
              <w:t>)</w:t>
            </w:r>
            <w:bookmarkEnd w:id="4"/>
          </w:p>
        </w:tc>
      </w:tr>
    </w:tbl>
    <w:p w14:paraId="63630DE8" w14:textId="5A9105BA" w:rsidR="00985218" w:rsidRPr="009008FF" w:rsidRDefault="00985218" w:rsidP="00985218">
      <w:pPr>
        <w:tabs>
          <w:tab w:val="center" w:pos="4800"/>
          <w:tab w:val="right" w:pos="9500"/>
        </w:tabs>
        <w:spacing w:after="0" w:line="360" w:lineRule="auto"/>
        <w:rPr>
          <w:rFonts w:cs="Times New Roman"/>
          <w:noProof/>
          <w:szCs w:val="24"/>
          <w:lang w:val="en-GB"/>
        </w:rPr>
      </w:pPr>
      <w:r w:rsidRPr="009008FF">
        <w:rPr>
          <w:rFonts w:cs="Times New Roman"/>
          <w:noProof/>
          <w:szCs w:val="24"/>
          <w:lang w:val="en-GB"/>
        </w:rPr>
        <w:t xml:space="preserve">Where </w:t>
      </w:r>
      <m:oMath>
        <m:sSubSup>
          <m:sSubSupPr>
            <m:ctrlPr>
              <w:rPr>
                <w:rFonts w:ascii="Cambria Math" w:hAnsi="Cambria Math" w:cs="Times New Roman"/>
                <w:szCs w:val="24"/>
              </w:rPr>
            </m:ctrlPr>
          </m:sSubSupPr>
          <m:e>
            <m:r>
              <w:rPr>
                <w:rFonts w:ascii="Cambria Math" w:hAnsi="Cambria Math" w:cs="Times New Roman"/>
                <w:noProof/>
                <w:szCs w:val="24"/>
              </w:rPr>
              <m:t>E</m:t>
            </m:r>
          </m:e>
          <m:sub>
            <m:r>
              <w:rPr>
                <w:rFonts w:ascii="Cambria Math" w:hAnsi="Cambria Math" w:cs="Times New Roman"/>
                <w:noProof/>
                <w:szCs w:val="24"/>
              </w:rPr>
              <m:t>ox</m:t>
            </m:r>
          </m:sub>
          <m:sup>
            <m:r>
              <m:rPr>
                <m:sty m:val="p"/>
              </m:rPr>
              <w:rPr>
                <w:rFonts w:ascii="Cambria Math" w:hAnsi="Cambria Math" w:cs="Times New Roman"/>
                <w:noProof/>
                <w:szCs w:val="24"/>
                <w:lang w:val="en-GB"/>
              </w:rPr>
              <m:t>dye*</m:t>
            </m:r>
          </m:sup>
        </m:sSubSup>
      </m:oMath>
      <w:r w:rsidRPr="009008FF">
        <w:rPr>
          <w:rFonts w:cs="Times New Roman"/>
          <w:noProof/>
          <w:szCs w:val="24"/>
          <w:lang w:val="en-GB"/>
        </w:rPr>
        <w:t xml:space="preserve"> is the oxidation potential energy of the dyes in the excited state, </w:t>
      </w:r>
      <m:oMath>
        <m:sSubSup>
          <m:sSubSupPr>
            <m:ctrlPr>
              <w:rPr>
                <w:rFonts w:ascii="Cambria Math" w:hAnsi="Cambria Math" w:cs="Times New Roman"/>
                <w:szCs w:val="24"/>
              </w:rPr>
            </m:ctrlPr>
          </m:sSubSupPr>
          <m:e>
            <m:r>
              <w:rPr>
                <w:rFonts w:ascii="Cambria Math" w:hAnsi="Cambria Math" w:cs="Times New Roman"/>
                <w:noProof/>
                <w:szCs w:val="24"/>
              </w:rPr>
              <m:t>E</m:t>
            </m:r>
          </m:e>
          <m:sub>
            <m:r>
              <w:rPr>
                <w:rFonts w:ascii="Cambria Math" w:hAnsi="Cambria Math" w:cs="Times New Roman"/>
                <w:noProof/>
                <w:szCs w:val="24"/>
              </w:rPr>
              <m:t>ox</m:t>
            </m:r>
          </m:sub>
          <m:sup>
            <m:r>
              <m:rPr>
                <m:sty m:val="p"/>
              </m:rPr>
              <w:rPr>
                <w:rFonts w:ascii="Cambria Math" w:hAnsi="Cambria Math" w:cs="Times New Roman"/>
                <w:noProof/>
                <w:szCs w:val="24"/>
                <w:lang w:val="en-GB"/>
              </w:rPr>
              <m:t>dye</m:t>
            </m:r>
          </m:sup>
        </m:sSubSup>
      </m:oMath>
      <w:r w:rsidRPr="009008FF">
        <w:rPr>
          <w:rFonts w:cs="Times New Roman"/>
          <w:noProof/>
          <w:szCs w:val="24"/>
          <w:lang w:val="en-GB"/>
        </w:rPr>
        <w:t xml:space="preserve"> is the ground state oxidation potential energy of the dye. </w:t>
      </w:r>
      <m:oMath>
        <m:sSubSup>
          <m:sSubSupPr>
            <m:ctrlPr>
              <w:rPr>
                <w:rFonts w:ascii="Cambria Math" w:hAnsi="Cambria Math" w:cs="Times New Roman"/>
                <w:szCs w:val="24"/>
              </w:rPr>
            </m:ctrlPr>
          </m:sSubSupPr>
          <m:e>
            <m:r>
              <w:rPr>
                <w:rFonts w:ascii="Cambria Math" w:hAnsi="Cambria Math" w:cs="Times New Roman"/>
                <w:noProof/>
                <w:szCs w:val="24"/>
              </w:rPr>
              <m:t>E</m:t>
            </m:r>
          </m:e>
          <m:sub>
            <m:r>
              <w:rPr>
                <w:rFonts w:ascii="Cambria Math" w:hAnsi="Cambria Math" w:cs="Times New Roman"/>
                <w:noProof/>
                <w:szCs w:val="24"/>
              </w:rPr>
              <m:t>CB</m:t>
            </m:r>
          </m:sub>
          <m:sup>
            <m:r>
              <m:rPr>
                <m:sty m:val="p"/>
              </m:rPr>
              <w:rPr>
                <w:rFonts w:ascii="Cambria Math" w:hAnsi="Cambria Math" w:cs="Times New Roman"/>
                <w:noProof/>
                <w:szCs w:val="24"/>
                <w:lang w:val="en-GB"/>
              </w:rPr>
              <m:t>Ti</m:t>
            </m:r>
            <m:sSub>
              <m:sSubPr>
                <m:ctrlPr>
                  <w:rPr>
                    <w:rFonts w:ascii="Cambria Math" w:hAnsi="Cambria Math" w:cs="Times New Roman"/>
                    <w:szCs w:val="24"/>
                  </w:rPr>
                </m:ctrlPr>
              </m:sSubPr>
              <m:e>
                <m:r>
                  <m:rPr>
                    <m:sty m:val="p"/>
                  </m:rPr>
                  <w:rPr>
                    <w:rFonts w:ascii="Cambria Math" w:hAnsi="Cambria Math" w:cs="Times New Roman"/>
                    <w:noProof/>
                    <w:szCs w:val="24"/>
                    <w:lang w:val="en-GB"/>
                  </w:rPr>
                  <m:t>O</m:t>
                </m:r>
              </m:e>
              <m:sub>
                <m:r>
                  <m:rPr>
                    <m:sty m:val="p"/>
                  </m:rPr>
                  <w:rPr>
                    <w:rFonts w:ascii="Cambria Math" w:hAnsi="Cambria Math" w:cs="Times New Roman"/>
                    <w:noProof/>
                    <w:szCs w:val="24"/>
                    <w:lang w:val="en-GB"/>
                  </w:rPr>
                  <m:t>2</m:t>
                </m:r>
              </m:sub>
            </m:sSub>
          </m:sup>
        </m:sSubSup>
      </m:oMath>
      <w:r w:rsidRPr="009008FF">
        <w:rPr>
          <w:rFonts w:cs="Times New Roman"/>
          <w:noProof/>
          <w:szCs w:val="24"/>
          <w:lang w:val="en-GB"/>
        </w:rPr>
        <w:t xml:space="preserve"> is the reduction potential of </w:t>
      </w:r>
      <w:r>
        <w:rPr>
          <w:rFonts w:cs="Times New Roman"/>
          <w:noProof/>
          <w:szCs w:val="24"/>
          <w:lang w:val="en-GB"/>
        </w:rPr>
        <w:t xml:space="preserve">the </w:t>
      </w:r>
      <w:r w:rsidRPr="009008FF">
        <w:rPr>
          <w:rFonts w:cs="Times New Roman"/>
          <w:noProof/>
          <w:szCs w:val="24"/>
          <w:lang w:val="en-GB"/>
        </w:rPr>
        <w:t>TiO</w:t>
      </w:r>
      <w:r w:rsidRPr="004E43E1">
        <w:rPr>
          <w:rFonts w:cs="Times New Roman"/>
          <w:noProof/>
          <w:szCs w:val="24"/>
          <w:vertAlign w:val="subscript"/>
          <w:lang w:val="en-GB"/>
        </w:rPr>
        <w:t>2</w:t>
      </w:r>
      <w:r w:rsidRPr="009008FF">
        <w:rPr>
          <w:rFonts w:cs="Times New Roman"/>
          <w:noProof/>
          <w:szCs w:val="24"/>
          <w:lang w:val="en-GB"/>
        </w:rPr>
        <w:t xml:space="preserve"> conduction band. Herein we use, –4.0 eV for </w:t>
      </w:r>
      <m:oMath>
        <m:sSubSup>
          <m:sSubSupPr>
            <m:ctrlPr>
              <w:rPr>
                <w:rFonts w:ascii="Cambria Math" w:hAnsi="Cambria Math" w:cs="Times New Roman"/>
                <w:szCs w:val="24"/>
              </w:rPr>
            </m:ctrlPr>
          </m:sSubSupPr>
          <m:e>
            <m:r>
              <w:rPr>
                <w:rFonts w:ascii="Cambria Math" w:hAnsi="Cambria Math" w:cs="Times New Roman"/>
                <w:noProof/>
                <w:szCs w:val="24"/>
              </w:rPr>
              <m:t>E</m:t>
            </m:r>
          </m:e>
          <m:sub>
            <m:r>
              <w:rPr>
                <w:rFonts w:ascii="Cambria Math" w:hAnsi="Cambria Math" w:cs="Times New Roman"/>
                <w:noProof/>
                <w:szCs w:val="24"/>
              </w:rPr>
              <m:t>CB</m:t>
            </m:r>
          </m:sub>
          <m:sup>
            <m:r>
              <m:rPr>
                <m:sty m:val="p"/>
              </m:rPr>
              <w:rPr>
                <w:rFonts w:ascii="Cambria Math" w:hAnsi="Cambria Math" w:cs="Times New Roman"/>
                <w:noProof/>
                <w:szCs w:val="24"/>
                <w:lang w:val="en-GB"/>
              </w:rPr>
              <m:t>Ti</m:t>
            </m:r>
            <m:sSub>
              <m:sSubPr>
                <m:ctrlPr>
                  <w:rPr>
                    <w:rFonts w:ascii="Cambria Math" w:hAnsi="Cambria Math" w:cs="Times New Roman"/>
                    <w:szCs w:val="24"/>
                  </w:rPr>
                </m:ctrlPr>
              </m:sSubPr>
              <m:e>
                <m:r>
                  <m:rPr>
                    <m:sty m:val="p"/>
                  </m:rPr>
                  <w:rPr>
                    <w:rFonts w:ascii="Cambria Math" w:hAnsi="Cambria Math" w:cs="Times New Roman"/>
                    <w:noProof/>
                    <w:szCs w:val="24"/>
                    <w:lang w:val="en-GB"/>
                  </w:rPr>
                  <m:t>O</m:t>
                </m:r>
              </m:e>
              <m:sub>
                <m:r>
                  <m:rPr>
                    <m:sty m:val="p"/>
                  </m:rPr>
                  <w:rPr>
                    <w:rFonts w:ascii="Cambria Math" w:hAnsi="Cambria Math" w:cs="Times New Roman"/>
                    <w:noProof/>
                    <w:szCs w:val="24"/>
                    <w:lang w:val="en-GB"/>
                  </w:rPr>
                  <m:t>2</m:t>
                </m:r>
              </m:sub>
            </m:sSub>
          </m:sup>
        </m:sSubSup>
        <m:r>
          <w:rPr>
            <w:rFonts w:ascii="Cambria Math" w:hAnsi="Cambria Math" w:cs="Times New Roman"/>
            <w:szCs w:val="24"/>
            <w:lang w:val="en-GB"/>
          </w:rPr>
          <m:t xml:space="preserve"> </m:t>
        </m:r>
      </m:oMath>
      <w:sdt>
        <w:sdtPr>
          <w:rPr>
            <w:rFonts w:cs="Times New Roman"/>
            <w:noProof/>
            <w:color w:val="000000"/>
            <w:szCs w:val="24"/>
            <w:lang w:val="en-GB"/>
          </w:rPr>
          <w:tag w:val="MENDELEY_CITATION_v3_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"/>
          <w:id w:val="1326326173"/>
          <w:placeholder>
            <w:docPart w:val="02B7155B0EB943F397E3EE152B19336E"/>
          </w:placeholder>
        </w:sdtPr>
        <w:sdtContent>
          <w:r w:rsidR="00DC186D" w:rsidRPr="00DC186D">
            <w:rPr>
              <w:rFonts w:cs="Times New Roman"/>
              <w:noProof/>
              <w:color w:val="000000"/>
              <w:szCs w:val="24"/>
              <w:lang w:val="en-GB"/>
            </w:rPr>
            <w:t>(Ning et al., 2010)</w:t>
          </w:r>
        </w:sdtContent>
      </w:sdt>
      <w:r w:rsidRPr="009008FF">
        <w:rPr>
          <w:rFonts w:cs="Times New Roman"/>
          <w:noProof/>
          <w:szCs w:val="24"/>
          <w:lang w:val="en-GB"/>
        </w:rPr>
        <w:t xml:space="preserve">, </w:t>
      </w:r>
      <m:oMath>
        <m:sSub>
          <m:sSubPr>
            <m:ctrlPr>
              <w:rPr>
                <w:rFonts w:ascii="Cambria Math" w:hAnsi="Cambria Math" w:cs="Times New Roman"/>
                <w:szCs w:val="24"/>
              </w:rPr>
            </m:ctrlPr>
          </m:sSubPr>
          <m:e>
            <m:r>
              <w:rPr>
                <w:rFonts w:ascii="Cambria Math" w:hAnsi="Cambria Math" w:cs="Times New Roman"/>
                <w:noProof/>
                <w:szCs w:val="24"/>
              </w:rPr>
              <m:t>E</m:t>
            </m:r>
          </m:e>
          <m:sub>
            <m:r>
              <m:rPr>
                <m:sty m:val="p"/>
              </m:rPr>
              <w:rPr>
                <w:rFonts w:ascii="Cambria Math" w:hAnsi="Cambria Math" w:cs="Times New Roman"/>
                <w:noProof/>
                <w:szCs w:val="24"/>
                <w:lang w:val="en-GB"/>
              </w:rPr>
              <m:t>00</m:t>
            </m:r>
          </m:sub>
        </m:sSub>
      </m:oMath>
      <w:r w:rsidRPr="009008FF">
        <w:rPr>
          <w:rFonts w:cs="Times New Roman"/>
          <w:noProof/>
          <w:szCs w:val="24"/>
          <w:lang w:val="en-GB"/>
        </w:rPr>
        <w:t xml:space="preserve"> represents</w:t>
      </w:r>
      <w:r>
        <w:rPr>
          <w:rFonts w:cs="Times New Roman"/>
          <w:noProof/>
          <w:szCs w:val="24"/>
          <w:lang w:val="en-GB"/>
        </w:rPr>
        <w:t xml:space="preserve"> the vertical excitation energy.</w:t>
      </w:r>
    </w:p>
    <w:p w14:paraId="6A197936" w14:textId="4CACD0BE" w:rsidR="00985218" w:rsidRPr="009008FF" w:rsidRDefault="00985218" w:rsidP="00985218">
      <w:pPr>
        <w:tabs>
          <w:tab w:val="center" w:pos="4800"/>
          <w:tab w:val="right" w:pos="9500"/>
        </w:tabs>
        <w:spacing w:after="0" w:line="360" w:lineRule="auto"/>
        <w:ind w:firstLine="720"/>
        <w:rPr>
          <w:rFonts w:cs="Times New Roman"/>
          <w:noProof/>
          <w:szCs w:val="24"/>
          <w:lang w:val="en-GB"/>
        </w:rPr>
      </w:pPr>
      <w:r w:rsidRPr="009008FF">
        <w:rPr>
          <w:rFonts w:cs="Times New Roman"/>
          <w:noProof/>
          <w:szCs w:val="24"/>
          <w:lang w:val="en-GB"/>
        </w:rPr>
        <w:t>The regeneration of the dye is a very important step in the process of conversion of light into an electric current</w:t>
      </w:r>
      <w:r>
        <w:rPr>
          <w:rFonts w:cs="Times New Roman"/>
          <w:noProof/>
          <w:szCs w:val="24"/>
          <w:lang w:val="en-GB"/>
        </w:rPr>
        <w:t xml:space="preserve"> </w:t>
      </w:r>
      <w:sdt>
        <w:sdtPr>
          <w:rPr>
            <w:rFonts w:cs="Times New Roman"/>
            <w:noProof/>
            <w:color w:val="000000"/>
            <w:szCs w:val="24"/>
            <w:lang w:val="en-GB"/>
          </w:rPr>
          <w:tag w:val="MENDELEY_CITATION_v3_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"/>
          <w:id w:val="-1128309262"/>
          <w:placeholder>
            <w:docPart w:val="02B7155B0EB943F397E3EE152B19336E"/>
          </w:placeholder>
        </w:sdtPr>
        <w:sdtContent>
          <w:r w:rsidR="00DC186D" w:rsidRPr="00DC186D">
            <w:rPr>
              <w:rFonts w:eastAsia="Times New Roman"/>
              <w:color w:val="000000"/>
              <w:lang w:val="en-GB"/>
            </w:rPr>
            <w:t>(Boschloo and Hagfeldt, 2009)</w:t>
          </w:r>
        </w:sdtContent>
      </w:sdt>
      <w:r w:rsidRPr="009008FF">
        <w:rPr>
          <w:rFonts w:cs="Times New Roman"/>
          <w:noProof/>
          <w:szCs w:val="24"/>
          <w:lang w:val="en-GB"/>
        </w:rPr>
        <w:t xml:space="preserve">, </w:t>
      </w:r>
      <w:r>
        <w:rPr>
          <w:rFonts w:cs="Times New Roman"/>
          <w:noProof/>
          <w:szCs w:val="24"/>
          <w:lang w:val="en-GB"/>
        </w:rPr>
        <w:t>T</w:t>
      </w:r>
      <w:r w:rsidRPr="009008FF">
        <w:rPr>
          <w:rFonts w:cs="Times New Roman"/>
          <w:noProof/>
          <w:szCs w:val="24"/>
          <w:lang w:val="en-GB"/>
        </w:rPr>
        <w:t xml:space="preserve">he </w:t>
      </w:r>
      <w:r>
        <w:rPr>
          <w:rFonts w:cs="Times New Roman"/>
          <w:noProof/>
          <w:szCs w:val="24"/>
          <w:lang w:val="en-GB"/>
        </w:rPr>
        <w:t xml:space="preserve"> thermodynamic </w:t>
      </w:r>
      <w:r w:rsidRPr="009008FF">
        <w:rPr>
          <w:rFonts w:cs="Times New Roman"/>
          <w:noProof/>
          <w:szCs w:val="24"/>
          <w:lang w:val="en-GB"/>
        </w:rPr>
        <w:t xml:space="preserve">energy </w:t>
      </w:r>
      <w:r>
        <w:rPr>
          <w:rFonts w:cs="Times New Roman"/>
          <w:noProof/>
          <w:szCs w:val="24"/>
          <w:lang w:val="en-GB"/>
        </w:rPr>
        <w:t xml:space="preserve"> </w:t>
      </w:r>
      <m:oMath>
        <m:r>
          <m:rPr>
            <m:sty m:val="p"/>
          </m:rPr>
          <w:rPr>
            <w:rFonts w:ascii="Cambria Math" w:hAnsi="Cambria Math" w:cs="Cambria Math"/>
            <w:noProof/>
            <w:szCs w:val="24"/>
          </w:rPr>
          <m:t>Δ</m:t>
        </m:r>
        <m:sSubSup>
          <m:sSubSupPr>
            <m:ctrlPr>
              <w:rPr>
                <w:rFonts w:ascii="Cambria Math" w:hAnsi="Cambria Math"/>
                <w:szCs w:val="24"/>
              </w:rPr>
            </m:ctrlPr>
          </m:sSubSupPr>
          <m:e>
            <m:r>
              <w:rPr>
                <w:rFonts w:ascii="Cambria Math" w:hAnsi="Cambria Math"/>
                <w:noProof/>
                <w:szCs w:val="24"/>
              </w:rPr>
              <m:t>G</m:t>
            </m:r>
          </m:e>
          <m:sub>
            <m:r>
              <w:rPr>
                <w:rFonts w:ascii="Cambria Math" w:hAnsi="Cambria Math"/>
                <w:noProof/>
                <w:szCs w:val="24"/>
              </w:rPr>
              <m:t>dye</m:t>
            </m:r>
          </m:sub>
          <m:sup>
            <m:r>
              <m:rPr>
                <m:sty m:val="p"/>
              </m:rPr>
              <w:rPr>
                <w:rFonts w:ascii="Cambria Math" w:hAnsi="Cambria Math"/>
                <w:noProof/>
                <w:szCs w:val="24"/>
                <w:lang w:val="en-GB"/>
              </w:rPr>
              <m:t>regent</m:t>
            </m:r>
          </m:sup>
        </m:sSubSup>
      </m:oMath>
      <w:r w:rsidRPr="00581002">
        <w:rPr>
          <w:rFonts w:eastAsiaTheme="minorEastAsia" w:cs="Times New Roman"/>
          <w:noProof/>
          <w:szCs w:val="24"/>
          <w:lang w:val="en-GB"/>
        </w:rPr>
        <w:t xml:space="preserve"> </w:t>
      </w:r>
      <w:r w:rsidRPr="009008FF">
        <w:rPr>
          <w:rFonts w:cs="Times New Roman"/>
          <w:noProof/>
          <w:szCs w:val="24"/>
          <w:lang w:val="en-GB"/>
        </w:rPr>
        <w:t>that allows us to know the efficiency of this regeneration is given by the following formula:</w:t>
      </w:r>
    </w:p>
    <w:tbl>
      <w:tblPr>
        <w:tblStyle w:val="Grilledutableau"/>
        <w:tblW w:w="8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9"/>
        <w:gridCol w:w="907"/>
      </w:tblGrid>
      <w:tr w:rsidR="00985218" w:rsidRPr="009008FF" w14:paraId="53EBB377" w14:textId="77777777" w:rsidTr="00B6491D">
        <w:trPr>
          <w:trHeight w:val="494"/>
        </w:trPr>
        <w:tc>
          <w:tcPr>
            <w:tcW w:w="8059" w:type="dxa"/>
          </w:tcPr>
          <w:p w14:paraId="6E4BF716" w14:textId="77777777" w:rsidR="00985218" w:rsidRPr="009008FF" w:rsidRDefault="00985218" w:rsidP="00B6491D">
            <w:pPr>
              <w:tabs>
                <w:tab w:val="center" w:pos="4800"/>
                <w:tab w:val="right" w:pos="9500"/>
              </w:tabs>
              <w:spacing w:line="360" w:lineRule="auto"/>
              <w:rPr>
                <w:rFonts w:ascii="Times New Roman" w:hAnsi="Times New Roman" w:cs="Times New Roman"/>
                <w:noProof/>
                <w:szCs w:val="24"/>
                <w:lang w:val="en-GB"/>
              </w:rPr>
            </w:pPr>
            <m:oMathPara>
              <m:oMath>
                <m:r>
                  <m:rPr>
                    <m:sty m:val="p"/>
                  </m:rPr>
                  <w:rPr>
                    <w:rFonts w:ascii="Cambria Math" w:hAnsi="Cambria Math" w:cs="Cambria Math"/>
                    <w:noProof/>
                    <w:szCs w:val="24"/>
                  </w:rPr>
                  <m:t>Δ</m:t>
                </m:r>
                <m:sSubSup>
                  <m:sSubSupPr>
                    <m:ctrlPr>
                      <w:rPr>
                        <w:rFonts w:ascii="Cambria Math" w:hAnsi="Cambria Math"/>
                        <w:szCs w:val="24"/>
                      </w:rPr>
                    </m:ctrlPr>
                  </m:sSubSupPr>
                  <m:e>
                    <m:r>
                      <w:rPr>
                        <w:rFonts w:ascii="Cambria Math" w:hAnsi="Cambria Math"/>
                        <w:noProof/>
                        <w:szCs w:val="24"/>
                      </w:rPr>
                      <m:t>G</m:t>
                    </m:r>
                  </m:e>
                  <m:sub>
                    <m:r>
                      <w:rPr>
                        <w:rFonts w:ascii="Cambria Math" w:hAnsi="Cambria Math"/>
                        <w:noProof/>
                        <w:szCs w:val="24"/>
                      </w:rPr>
                      <m:t>dye</m:t>
                    </m:r>
                  </m:sub>
                  <m:sup>
                    <m:r>
                      <m:rPr>
                        <m:sty m:val="p"/>
                      </m:rPr>
                      <w:rPr>
                        <w:rFonts w:ascii="Cambria Math" w:hAnsi="Cambria Math"/>
                        <w:noProof/>
                        <w:szCs w:val="24"/>
                        <w:lang w:val="en-GB"/>
                      </w:rPr>
                      <m:t>regent</m:t>
                    </m:r>
                  </m:sup>
                </m:sSubSup>
                <m:r>
                  <m:rPr>
                    <m:sty m:val="p"/>
                  </m:rPr>
                  <w:rPr>
                    <w:rFonts w:ascii="Cambria Math" w:hAnsi="Cambria Math"/>
                    <w:noProof/>
                    <w:szCs w:val="24"/>
                    <w:lang w:val="en-GB"/>
                  </w:rPr>
                  <m:t>=</m:t>
                </m:r>
                <m:sSubSup>
                  <m:sSubSupPr>
                    <m:ctrlPr>
                      <w:rPr>
                        <w:rFonts w:ascii="Cambria Math" w:hAnsi="Cambria Math"/>
                        <w:szCs w:val="24"/>
                      </w:rPr>
                    </m:ctrlPr>
                  </m:sSubSupPr>
                  <m:e>
                    <m:r>
                      <w:rPr>
                        <w:rFonts w:ascii="Cambria Math" w:hAnsi="Cambria Math"/>
                        <w:noProof/>
                        <w:szCs w:val="24"/>
                      </w:rPr>
                      <m:t>E</m:t>
                    </m:r>
                  </m:e>
                  <m:sub>
                    <m:r>
                      <w:rPr>
                        <w:rFonts w:ascii="Cambria Math" w:hAnsi="Cambria Math"/>
                        <w:noProof/>
                        <w:szCs w:val="24"/>
                      </w:rPr>
                      <m:t>redox</m:t>
                    </m:r>
                  </m:sub>
                  <m:sup>
                    <m:r>
                      <m:rPr>
                        <m:sty m:val="p"/>
                      </m:rPr>
                      <w:rPr>
                        <w:rFonts w:ascii="Cambria Math" w:hAnsi="Cambria Math"/>
                        <w:noProof/>
                        <w:szCs w:val="24"/>
                        <w:lang w:val="en-GB"/>
                      </w:rPr>
                      <m:t>electrolyte</m:t>
                    </m:r>
                  </m:sup>
                </m:sSubSup>
                <m:r>
                  <w:rPr>
                    <w:rFonts w:ascii="Cambria Math" w:hAnsi="Cambria Math"/>
                    <w:noProof/>
                    <w:szCs w:val="24"/>
                    <w:lang w:val="en-GB"/>
                  </w:rPr>
                  <m:t>+</m:t>
                </m:r>
                <m:sSubSup>
                  <m:sSubSupPr>
                    <m:ctrlPr>
                      <w:rPr>
                        <w:rFonts w:ascii="Cambria Math" w:hAnsi="Cambria Math"/>
                        <w:szCs w:val="24"/>
                      </w:rPr>
                    </m:ctrlPr>
                  </m:sSubSupPr>
                  <m:e>
                    <m:r>
                      <w:rPr>
                        <w:rFonts w:ascii="Cambria Math" w:hAnsi="Cambria Math"/>
                        <w:noProof/>
                        <w:szCs w:val="24"/>
                      </w:rPr>
                      <m:t>E</m:t>
                    </m:r>
                  </m:e>
                  <m:sub>
                    <m:r>
                      <w:rPr>
                        <w:rFonts w:ascii="Cambria Math" w:hAnsi="Cambria Math"/>
                        <w:noProof/>
                        <w:szCs w:val="24"/>
                      </w:rPr>
                      <m:t>ox</m:t>
                    </m:r>
                  </m:sub>
                  <m:sup>
                    <m:r>
                      <m:rPr>
                        <m:sty m:val="p"/>
                      </m:rPr>
                      <w:rPr>
                        <w:rFonts w:ascii="Cambria Math" w:hAnsi="Cambria Math"/>
                        <w:noProof/>
                        <w:szCs w:val="24"/>
                        <w:lang w:val="en-GB"/>
                      </w:rPr>
                      <m:t>dye</m:t>
                    </m:r>
                  </m:sup>
                </m:sSubSup>
              </m:oMath>
            </m:oMathPara>
          </w:p>
        </w:tc>
        <w:tc>
          <w:tcPr>
            <w:tcW w:w="577" w:type="dxa"/>
          </w:tcPr>
          <w:p w14:paraId="73530B76" w14:textId="4A44B4D8" w:rsidR="00985218" w:rsidRPr="009008FF" w:rsidRDefault="0000334F" w:rsidP="00B6491D">
            <w:pPr>
              <w:tabs>
                <w:tab w:val="center" w:pos="4800"/>
                <w:tab w:val="right" w:pos="9500"/>
              </w:tabs>
              <w:spacing w:line="360" w:lineRule="auto"/>
              <w:rPr>
                <w:rFonts w:ascii="Times New Roman" w:hAnsi="Times New Roman" w:cs="Times New Roman"/>
                <w:b/>
                <w:bCs/>
                <w:i/>
                <w:iCs/>
                <w:noProof/>
                <w:szCs w:val="24"/>
                <w:lang w:val="en-GB"/>
              </w:rPr>
            </w:pPr>
            <w:r>
              <w:rPr>
                <w:rFonts w:ascii="Times New Roman" w:hAnsi="Times New Roman" w:cs="Times New Roman"/>
                <w:b/>
                <w:bCs/>
                <w:i/>
                <w:iCs/>
                <w:szCs w:val="24"/>
              </w:rPr>
              <w:t>Eq.</w:t>
            </w:r>
            <w:r w:rsidR="00985218" w:rsidRPr="009008FF">
              <w:rPr>
                <w:rFonts w:ascii="Times New Roman" w:hAnsi="Times New Roman" w:cs="Times New Roman"/>
                <w:b/>
                <w:bCs/>
                <w:i/>
                <w:iCs/>
                <w:szCs w:val="24"/>
              </w:rPr>
              <w:t>(</w:t>
            </w:r>
            <w:r w:rsidR="00050318">
              <w:rPr>
                <w:rFonts w:ascii="Times New Roman" w:hAnsi="Times New Roman" w:cs="Times New Roman"/>
                <w:b/>
                <w:bCs/>
                <w:i/>
                <w:iCs/>
                <w:szCs w:val="24"/>
              </w:rPr>
              <w:t>S</w:t>
            </w:r>
            <w:r w:rsidR="00985218" w:rsidRPr="009008FF">
              <w:rPr>
                <w:rFonts w:cs="Times New Roman"/>
                <w:b/>
                <w:bCs/>
                <w:i/>
                <w:iCs/>
                <w:szCs w:val="24"/>
              </w:rPr>
              <w:fldChar w:fldCharType="begin"/>
            </w:r>
            <w:r w:rsidR="00985218" w:rsidRPr="009008FF">
              <w:rPr>
                <w:rFonts w:ascii="Times New Roman" w:hAnsi="Times New Roman" w:cs="Times New Roman"/>
                <w:b/>
                <w:bCs/>
                <w:i/>
                <w:iCs/>
                <w:szCs w:val="24"/>
              </w:rPr>
              <w:instrText xml:space="preserve"> SEQ Equation \* ARABIC </w:instrText>
            </w:r>
            <w:r w:rsidR="00985218" w:rsidRPr="009008FF">
              <w:rPr>
                <w:rFonts w:cs="Times New Roman"/>
                <w:b/>
                <w:bCs/>
                <w:i/>
                <w:iCs/>
                <w:szCs w:val="24"/>
              </w:rPr>
              <w:fldChar w:fldCharType="separate"/>
            </w:r>
            <w:r w:rsidR="00985218">
              <w:rPr>
                <w:rFonts w:ascii="Times New Roman" w:hAnsi="Times New Roman" w:cs="Times New Roman"/>
                <w:b/>
                <w:bCs/>
                <w:i/>
                <w:iCs/>
                <w:noProof/>
                <w:szCs w:val="24"/>
              </w:rPr>
              <w:t>7</w:t>
            </w:r>
            <w:r w:rsidR="00985218" w:rsidRPr="009008FF">
              <w:rPr>
                <w:rFonts w:cs="Times New Roman"/>
                <w:b/>
                <w:bCs/>
                <w:i/>
                <w:iCs/>
                <w:szCs w:val="24"/>
              </w:rPr>
              <w:fldChar w:fldCharType="end"/>
            </w:r>
            <w:r w:rsidR="00985218" w:rsidRPr="009008FF">
              <w:rPr>
                <w:rFonts w:ascii="Times New Roman" w:hAnsi="Times New Roman" w:cs="Times New Roman"/>
                <w:b/>
                <w:bCs/>
                <w:i/>
                <w:iCs/>
                <w:szCs w:val="24"/>
              </w:rPr>
              <w:t>)</w:t>
            </w:r>
          </w:p>
        </w:tc>
      </w:tr>
    </w:tbl>
    <w:p w14:paraId="1450B0FA" w14:textId="60A44797" w:rsidR="00985218" w:rsidRPr="009008FF" w:rsidRDefault="00985218" w:rsidP="00985218">
      <w:pPr>
        <w:tabs>
          <w:tab w:val="center" w:pos="4800"/>
          <w:tab w:val="right" w:pos="9500"/>
        </w:tabs>
        <w:spacing w:after="0" w:line="360" w:lineRule="auto"/>
        <w:ind w:firstLine="720"/>
        <w:rPr>
          <w:rFonts w:cs="Times New Roman"/>
          <w:noProof/>
          <w:szCs w:val="24"/>
          <w:lang w:val="en-GB"/>
        </w:rPr>
      </w:pPr>
      <w:r w:rsidRPr="009008FF">
        <w:rPr>
          <w:noProof/>
          <w:szCs w:val="24"/>
          <w:lang w:val="en-GB"/>
        </w:rPr>
        <w:tab/>
      </w:r>
      <m:oMath>
        <m:sSubSup>
          <m:sSubSupPr>
            <m:ctrlPr>
              <w:rPr>
                <w:rFonts w:ascii="Cambria Math" w:hAnsi="Cambria Math" w:cs="Times New Roman"/>
                <w:szCs w:val="24"/>
              </w:rPr>
            </m:ctrlPr>
          </m:sSubSupPr>
          <m:e>
            <m:r>
              <w:rPr>
                <w:rFonts w:ascii="Cambria Math" w:hAnsi="Cambria Math" w:cs="Times New Roman"/>
                <w:noProof/>
                <w:szCs w:val="24"/>
              </w:rPr>
              <m:t>E</m:t>
            </m:r>
          </m:e>
          <m:sub>
            <m:r>
              <w:rPr>
                <w:rFonts w:ascii="Cambria Math" w:hAnsi="Cambria Math" w:cs="Times New Roman"/>
                <w:noProof/>
                <w:szCs w:val="24"/>
              </w:rPr>
              <m:t>redox</m:t>
            </m:r>
          </m:sub>
          <m:sup>
            <m:r>
              <m:rPr>
                <m:sty m:val="p"/>
              </m:rPr>
              <w:rPr>
                <w:rFonts w:ascii="Cambria Math" w:hAnsi="Cambria Math" w:cs="Times New Roman"/>
                <w:noProof/>
                <w:szCs w:val="24"/>
                <w:lang w:val="en-GB"/>
              </w:rPr>
              <m:t>electrolyte</m:t>
            </m:r>
          </m:sup>
        </m:sSubSup>
      </m:oMath>
      <w:r w:rsidRPr="00083917">
        <w:rPr>
          <w:rFonts w:cs="Times New Roman"/>
          <w:noProof/>
          <w:szCs w:val="24"/>
          <w:lang w:val="en-GB"/>
        </w:rPr>
        <w:t xml:space="preserve"> </w:t>
      </w:r>
      <w:r>
        <w:rPr>
          <w:rFonts w:cs="Times New Roman"/>
          <w:noProof/>
          <w:szCs w:val="24"/>
          <w:lang w:val="en-GB"/>
        </w:rPr>
        <w:t>i</w:t>
      </w:r>
      <w:r w:rsidRPr="009008FF">
        <w:rPr>
          <w:rFonts w:cs="Times New Roman"/>
          <w:noProof/>
          <w:szCs w:val="24"/>
          <w:lang w:val="en-GB"/>
        </w:rPr>
        <w:t>s the redox potential of the electrolyte (tri iodide-iodide) which is given as (4.85 eV)</w:t>
      </w:r>
      <w:sdt>
        <w:sdtPr>
          <w:rPr>
            <w:rFonts w:cs="Times New Roman"/>
            <w:noProof/>
            <w:color w:val="000000"/>
            <w:szCs w:val="24"/>
            <w:lang w:val="en-GB"/>
          </w:rPr>
          <w:tag w:val="MENDELEY_CITATION_v3_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"/>
          <w:id w:val="1301338275"/>
          <w:placeholder>
            <w:docPart w:val="02B7155B0EB943F397E3EE152B19336E"/>
          </w:placeholder>
        </w:sdtPr>
        <w:sdtContent>
          <w:r w:rsidR="00DC186D" w:rsidRPr="00DC186D">
            <w:rPr>
              <w:rFonts w:cs="Times New Roman"/>
              <w:noProof/>
              <w:color w:val="000000"/>
              <w:szCs w:val="24"/>
              <w:lang w:val="en-GB"/>
            </w:rPr>
            <w:t>(Yang et al., 2016)</w:t>
          </w:r>
        </w:sdtContent>
      </w:sdt>
      <w:r w:rsidRPr="009008FF">
        <w:rPr>
          <w:rFonts w:cs="Times New Roman"/>
          <w:noProof/>
          <w:szCs w:val="24"/>
          <w:lang w:val="en-GB"/>
        </w:rPr>
        <w:t>.</w:t>
      </w:r>
    </w:p>
    <w:p w14:paraId="76A22B01" w14:textId="77777777" w:rsidR="00985218" w:rsidRPr="009008FF" w:rsidRDefault="00985218" w:rsidP="00985218">
      <w:pPr>
        <w:tabs>
          <w:tab w:val="center" w:pos="4800"/>
          <w:tab w:val="right" w:pos="9500"/>
        </w:tabs>
        <w:spacing w:after="0" w:line="360" w:lineRule="auto"/>
        <w:ind w:firstLine="720"/>
        <w:jc w:val="both"/>
        <w:rPr>
          <w:rFonts w:cs="Times New Roman"/>
          <w:noProof/>
          <w:szCs w:val="24"/>
          <w:lang w:val="en-GB"/>
        </w:rPr>
      </w:pPr>
      <w:r w:rsidRPr="009008FF">
        <w:rPr>
          <w:rFonts w:cs="Times New Roman"/>
          <w:noProof/>
          <w:szCs w:val="24"/>
          <w:lang w:val="en-GB"/>
        </w:rPr>
        <w:t xml:space="preserve">As per the formula below, we were able to determine the dye adsorption energy on the </w:t>
      </w:r>
      <w:r>
        <w:rPr>
          <w:rFonts w:cs="Times New Roman"/>
          <w:noProof/>
          <w:szCs w:val="24"/>
          <w:lang w:val="en-GB"/>
        </w:rPr>
        <w:t xml:space="preserve">titanium oxide (110) </w:t>
      </w:r>
      <w:r w:rsidRPr="009008FF">
        <w:rPr>
          <w:rFonts w:cs="Times New Roman"/>
          <w:noProof/>
          <w:szCs w:val="24"/>
          <w:lang w:val="en-GB"/>
        </w:rPr>
        <w:t>surface</w:t>
      </w:r>
      <w:r>
        <w:rPr>
          <w:rFonts w:cs="Times New Roman"/>
          <w:noProof/>
          <w:szCs w:val="24"/>
          <w:lang w:val="en-GB"/>
        </w:rPr>
        <w:t xml:space="preserve"> </w:t>
      </w:r>
      <w:r w:rsidRPr="009008FF">
        <w:rPr>
          <w:rFonts w:cs="Times New Roman"/>
          <w:noProof/>
          <w:szCs w:val="24"/>
          <w:lang w:val="en-GB"/>
        </w:rPr>
        <w:t>:</w:t>
      </w:r>
    </w:p>
    <w:tbl>
      <w:tblPr>
        <w:tblStyle w:val="Grilledutableau"/>
        <w:tblW w:w="8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7"/>
        <w:gridCol w:w="907"/>
      </w:tblGrid>
      <w:tr w:rsidR="00985218" w:rsidRPr="009008FF" w14:paraId="6803DC2C" w14:textId="77777777" w:rsidTr="00B6491D">
        <w:trPr>
          <w:trHeight w:val="434"/>
        </w:trPr>
        <w:tc>
          <w:tcPr>
            <w:tcW w:w="8058" w:type="dxa"/>
          </w:tcPr>
          <w:p w14:paraId="4658AA71" w14:textId="77777777" w:rsidR="00985218" w:rsidRPr="009008FF" w:rsidRDefault="00000000" w:rsidP="00B6491D">
            <w:pPr>
              <w:tabs>
                <w:tab w:val="center" w:pos="4800"/>
                <w:tab w:val="right" w:pos="9500"/>
              </w:tabs>
              <w:spacing w:line="360" w:lineRule="auto"/>
              <w:rPr>
                <w:rFonts w:ascii="Times New Roman" w:hAnsi="Times New Roman" w:cs="Times New Roman"/>
                <w:noProof/>
                <w:szCs w:val="24"/>
                <w:lang w:val="en-GB"/>
              </w:rPr>
            </w:pPr>
            <m:oMathPara>
              <m:oMath>
                <m:sSub>
                  <m:sSubPr>
                    <m:ctrlPr>
                      <w:rPr>
                        <w:rFonts w:ascii="Cambria Math" w:hAnsi="Cambria Math"/>
                        <w:szCs w:val="24"/>
                      </w:rPr>
                    </m:ctrlPr>
                  </m:sSubPr>
                  <m:e>
                    <m:r>
                      <w:rPr>
                        <w:rFonts w:ascii="Cambria Math" w:hAnsi="Cambria Math"/>
                        <w:noProof/>
                        <w:szCs w:val="24"/>
                      </w:rPr>
                      <m:t>E</m:t>
                    </m:r>
                  </m:e>
                  <m:sub>
                    <m:r>
                      <w:rPr>
                        <w:rFonts w:ascii="Cambria Math" w:hAnsi="Cambria Math"/>
                        <w:noProof/>
                        <w:szCs w:val="24"/>
                      </w:rPr>
                      <m:t>ads</m:t>
                    </m:r>
                  </m:sub>
                </m:sSub>
                <m:r>
                  <m:rPr>
                    <m:sty m:val="p"/>
                  </m:rPr>
                  <w:rPr>
                    <w:rFonts w:ascii="Cambria Math" w:hAnsi="Cambria Math"/>
                    <w:noProof/>
                    <w:szCs w:val="24"/>
                    <w:lang w:val="en-GB"/>
                  </w:rPr>
                  <m:t>=</m:t>
                </m:r>
                <m:sSub>
                  <m:sSubPr>
                    <m:ctrlPr>
                      <w:rPr>
                        <w:rFonts w:ascii="Cambria Math" w:hAnsi="Cambria Math"/>
                        <w:szCs w:val="24"/>
                      </w:rPr>
                    </m:ctrlPr>
                  </m:sSubPr>
                  <m:e>
                    <m:r>
                      <w:rPr>
                        <w:rFonts w:ascii="Cambria Math" w:hAnsi="Cambria Math"/>
                        <w:noProof/>
                        <w:szCs w:val="24"/>
                      </w:rPr>
                      <m:t>E</m:t>
                    </m:r>
                  </m:e>
                  <m:sub>
                    <m:r>
                      <m:rPr>
                        <m:sty m:val="p"/>
                      </m:rPr>
                      <w:rPr>
                        <w:rFonts w:ascii="Cambria Math" w:hAnsi="Cambria Math"/>
                        <w:noProof/>
                        <w:szCs w:val="24"/>
                        <w:lang w:val="en-GB"/>
                      </w:rPr>
                      <m:t>Ti</m:t>
                    </m:r>
                    <m:sSub>
                      <m:sSubPr>
                        <m:ctrlPr>
                          <w:rPr>
                            <w:rFonts w:ascii="Cambria Math" w:hAnsi="Cambria Math"/>
                            <w:szCs w:val="24"/>
                          </w:rPr>
                        </m:ctrlPr>
                      </m:sSubPr>
                      <m:e>
                        <m:r>
                          <m:rPr>
                            <m:sty m:val="p"/>
                          </m:rPr>
                          <w:rPr>
                            <w:rFonts w:ascii="Cambria Math" w:hAnsi="Cambria Math"/>
                            <w:noProof/>
                            <w:szCs w:val="24"/>
                            <w:lang w:val="en-GB"/>
                          </w:rPr>
                          <m:t>O</m:t>
                        </m:r>
                      </m:e>
                      <m:sub>
                        <m:r>
                          <m:rPr>
                            <m:sty m:val="p"/>
                          </m:rPr>
                          <w:rPr>
                            <w:rFonts w:ascii="Cambria Math" w:hAnsi="Cambria Math"/>
                            <w:noProof/>
                            <w:szCs w:val="24"/>
                            <w:lang w:val="en-GB"/>
                          </w:rPr>
                          <m:t>2</m:t>
                        </m:r>
                      </m:sub>
                    </m:sSub>
                    <m:r>
                      <w:rPr>
                        <w:rFonts w:ascii="Cambria Math" w:hAnsi="Cambria Math"/>
                        <w:noProof/>
                        <w:szCs w:val="24"/>
                        <w:lang w:val="en-GB"/>
                      </w:rPr>
                      <m:t>+</m:t>
                    </m:r>
                    <m:r>
                      <m:rPr>
                        <m:sty m:val="p"/>
                      </m:rPr>
                      <w:rPr>
                        <w:rFonts w:ascii="Cambria Math" w:hAnsi="Cambria Math"/>
                        <w:noProof/>
                        <w:szCs w:val="24"/>
                        <w:lang w:val="en-GB"/>
                      </w:rPr>
                      <m:t>Dye+toluene</m:t>
                    </m:r>
                  </m:sub>
                </m:sSub>
                <m:r>
                  <w:rPr>
                    <w:rFonts w:ascii="Cambria Math" w:hAnsi="Cambria Math"/>
                    <w:szCs w:val="24"/>
                  </w:rPr>
                  <m:t>-(</m:t>
                </m:r>
                <m:sSub>
                  <m:sSubPr>
                    <m:ctrlPr>
                      <w:rPr>
                        <w:rFonts w:ascii="Cambria Math" w:hAnsi="Cambria Math"/>
                        <w:szCs w:val="24"/>
                      </w:rPr>
                    </m:ctrlPr>
                  </m:sSubPr>
                  <m:e>
                    <m:r>
                      <w:rPr>
                        <w:rFonts w:ascii="Cambria Math" w:hAnsi="Cambria Math"/>
                        <w:noProof/>
                        <w:szCs w:val="24"/>
                      </w:rPr>
                      <m:t>E</m:t>
                    </m:r>
                  </m:e>
                  <m:sub>
                    <m:r>
                      <m:rPr>
                        <m:sty m:val="p"/>
                      </m:rPr>
                      <w:rPr>
                        <w:rFonts w:ascii="Cambria Math" w:hAnsi="Cambria Math"/>
                        <w:noProof/>
                        <w:szCs w:val="24"/>
                        <w:lang w:val="en-GB"/>
                      </w:rPr>
                      <m:t>Ti</m:t>
                    </m:r>
                    <m:sSub>
                      <m:sSubPr>
                        <m:ctrlPr>
                          <w:rPr>
                            <w:rFonts w:ascii="Cambria Math" w:hAnsi="Cambria Math"/>
                            <w:szCs w:val="24"/>
                          </w:rPr>
                        </m:ctrlPr>
                      </m:sSubPr>
                      <m:e>
                        <m:r>
                          <m:rPr>
                            <m:sty m:val="p"/>
                          </m:rPr>
                          <w:rPr>
                            <w:rFonts w:ascii="Cambria Math" w:hAnsi="Cambria Math"/>
                            <w:noProof/>
                            <w:szCs w:val="24"/>
                            <w:lang w:val="en-GB"/>
                          </w:rPr>
                          <m:t>O</m:t>
                        </m:r>
                      </m:e>
                      <m:sub>
                        <m:r>
                          <m:rPr>
                            <m:sty m:val="p"/>
                          </m:rPr>
                          <w:rPr>
                            <w:rFonts w:ascii="Cambria Math" w:hAnsi="Cambria Math"/>
                            <w:noProof/>
                            <w:szCs w:val="24"/>
                            <w:lang w:val="en-GB"/>
                          </w:rPr>
                          <m:t>2</m:t>
                        </m:r>
                      </m:sub>
                    </m:sSub>
                  </m:sub>
                </m:sSub>
                <m:r>
                  <w:rPr>
                    <w:rFonts w:ascii="Cambria Math" w:hAnsi="Cambria Math"/>
                    <w:noProof/>
                    <w:szCs w:val="24"/>
                    <w:lang w:val="en-GB"/>
                  </w:rPr>
                  <m:t>+</m:t>
                </m:r>
                <m:sSub>
                  <m:sSubPr>
                    <m:ctrlPr>
                      <w:rPr>
                        <w:rFonts w:ascii="Cambria Math" w:hAnsi="Cambria Math"/>
                        <w:szCs w:val="24"/>
                      </w:rPr>
                    </m:ctrlPr>
                  </m:sSubPr>
                  <m:e>
                    <m:r>
                      <w:rPr>
                        <w:rFonts w:ascii="Cambria Math" w:hAnsi="Cambria Math"/>
                        <w:noProof/>
                        <w:szCs w:val="24"/>
                      </w:rPr>
                      <m:t>E</m:t>
                    </m:r>
                  </m:e>
                  <m:sub>
                    <m:r>
                      <w:rPr>
                        <w:rFonts w:ascii="Cambria Math" w:hAnsi="Cambria Math"/>
                        <w:szCs w:val="24"/>
                      </w:rPr>
                      <m:t>Toluene</m:t>
                    </m:r>
                  </m:sub>
                </m:sSub>
                <m:r>
                  <w:rPr>
                    <w:rFonts w:ascii="Cambria Math" w:hAnsi="Cambria Math"/>
                    <w:noProof/>
                    <w:szCs w:val="24"/>
                    <w:lang w:val="en-GB"/>
                  </w:rPr>
                  <m:t xml:space="preserve">+ </m:t>
                </m:r>
                <m:sSub>
                  <m:sSubPr>
                    <m:ctrlPr>
                      <w:rPr>
                        <w:rFonts w:ascii="Cambria Math" w:hAnsi="Cambria Math"/>
                        <w:szCs w:val="24"/>
                      </w:rPr>
                    </m:ctrlPr>
                  </m:sSubPr>
                  <m:e>
                    <m:r>
                      <w:rPr>
                        <w:rFonts w:ascii="Cambria Math" w:hAnsi="Cambria Math"/>
                        <w:noProof/>
                        <w:szCs w:val="24"/>
                      </w:rPr>
                      <m:t>E</m:t>
                    </m:r>
                  </m:e>
                  <m:sub>
                    <m:r>
                      <m:rPr>
                        <m:sty m:val="p"/>
                      </m:rPr>
                      <w:rPr>
                        <w:rFonts w:ascii="Cambria Math" w:hAnsi="Cambria Math"/>
                        <w:noProof/>
                        <w:szCs w:val="24"/>
                        <w:lang w:val="en-GB"/>
                      </w:rPr>
                      <m:t>Dye</m:t>
                    </m:r>
                  </m:sub>
                </m:sSub>
                <m:r>
                  <w:rPr>
                    <w:rFonts w:ascii="Cambria Math" w:hAnsi="Cambria Math"/>
                    <w:szCs w:val="24"/>
                  </w:rPr>
                  <m:t>)</m:t>
                </m:r>
              </m:oMath>
            </m:oMathPara>
          </w:p>
        </w:tc>
        <w:tc>
          <w:tcPr>
            <w:tcW w:w="576" w:type="dxa"/>
          </w:tcPr>
          <w:p w14:paraId="528F8C3D" w14:textId="208B4744" w:rsidR="00985218" w:rsidRPr="009008FF" w:rsidRDefault="0000334F" w:rsidP="00B6491D">
            <w:pPr>
              <w:tabs>
                <w:tab w:val="center" w:pos="4800"/>
                <w:tab w:val="right" w:pos="9500"/>
              </w:tabs>
              <w:spacing w:line="360" w:lineRule="auto"/>
              <w:rPr>
                <w:rFonts w:ascii="Times New Roman" w:hAnsi="Times New Roman" w:cs="Times New Roman"/>
                <w:b/>
                <w:bCs/>
                <w:i/>
                <w:iCs/>
                <w:noProof/>
                <w:szCs w:val="24"/>
                <w:lang w:val="en-GB"/>
              </w:rPr>
            </w:pPr>
            <w:bookmarkStart w:id="5" w:name="_Ref101025988"/>
            <w:r>
              <w:rPr>
                <w:rFonts w:ascii="Times New Roman" w:hAnsi="Times New Roman" w:cs="Times New Roman"/>
                <w:b/>
                <w:bCs/>
                <w:i/>
                <w:iCs/>
                <w:szCs w:val="24"/>
              </w:rPr>
              <w:t>Eq.</w:t>
            </w:r>
            <w:r w:rsidR="00985218" w:rsidRPr="009008FF">
              <w:rPr>
                <w:rFonts w:ascii="Times New Roman" w:hAnsi="Times New Roman" w:cs="Times New Roman"/>
                <w:b/>
                <w:bCs/>
                <w:i/>
                <w:iCs/>
                <w:szCs w:val="24"/>
              </w:rPr>
              <w:t>(</w:t>
            </w:r>
            <w:r w:rsidR="00050318">
              <w:rPr>
                <w:rFonts w:ascii="Times New Roman" w:hAnsi="Times New Roman" w:cs="Times New Roman"/>
                <w:b/>
                <w:bCs/>
                <w:i/>
                <w:iCs/>
                <w:szCs w:val="24"/>
              </w:rPr>
              <w:t>S</w:t>
            </w:r>
            <w:r w:rsidR="00985218" w:rsidRPr="009008FF">
              <w:rPr>
                <w:rFonts w:cs="Times New Roman"/>
                <w:b/>
                <w:bCs/>
                <w:i/>
                <w:iCs/>
                <w:szCs w:val="24"/>
              </w:rPr>
              <w:fldChar w:fldCharType="begin"/>
            </w:r>
            <w:r w:rsidR="00985218" w:rsidRPr="009008FF">
              <w:rPr>
                <w:rFonts w:ascii="Times New Roman" w:hAnsi="Times New Roman" w:cs="Times New Roman"/>
                <w:b/>
                <w:bCs/>
                <w:i/>
                <w:iCs/>
                <w:szCs w:val="24"/>
              </w:rPr>
              <w:instrText xml:space="preserve"> SEQ Equation \* ARABIC </w:instrText>
            </w:r>
            <w:r w:rsidR="00985218" w:rsidRPr="009008FF">
              <w:rPr>
                <w:rFonts w:cs="Times New Roman"/>
                <w:b/>
                <w:bCs/>
                <w:i/>
                <w:iCs/>
                <w:szCs w:val="24"/>
              </w:rPr>
              <w:fldChar w:fldCharType="separate"/>
            </w:r>
            <w:r w:rsidR="00985218">
              <w:rPr>
                <w:rFonts w:ascii="Times New Roman" w:hAnsi="Times New Roman" w:cs="Times New Roman"/>
                <w:b/>
                <w:bCs/>
                <w:i/>
                <w:iCs/>
                <w:noProof/>
                <w:szCs w:val="24"/>
              </w:rPr>
              <w:t>8</w:t>
            </w:r>
            <w:r w:rsidR="00985218" w:rsidRPr="009008FF">
              <w:rPr>
                <w:rFonts w:cs="Times New Roman"/>
                <w:b/>
                <w:bCs/>
                <w:i/>
                <w:iCs/>
                <w:szCs w:val="24"/>
              </w:rPr>
              <w:fldChar w:fldCharType="end"/>
            </w:r>
            <w:r w:rsidR="00985218" w:rsidRPr="009008FF">
              <w:rPr>
                <w:rFonts w:ascii="Times New Roman" w:hAnsi="Times New Roman" w:cs="Times New Roman"/>
                <w:b/>
                <w:bCs/>
                <w:i/>
                <w:iCs/>
                <w:szCs w:val="24"/>
              </w:rPr>
              <w:t>)</w:t>
            </w:r>
            <w:bookmarkEnd w:id="5"/>
          </w:p>
        </w:tc>
      </w:tr>
    </w:tbl>
    <w:p w14:paraId="77225FEB" w14:textId="48CF558E" w:rsidR="00985218" w:rsidRDefault="00000000" w:rsidP="00985218">
      <w:pPr>
        <w:tabs>
          <w:tab w:val="center" w:pos="4800"/>
          <w:tab w:val="right" w:pos="9500"/>
        </w:tabs>
        <w:spacing w:after="0" w:line="360" w:lineRule="auto"/>
        <w:ind w:firstLine="720"/>
        <w:jc w:val="both"/>
        <w:rPr>
          <w:rFonts w:cs="Times New Roman"/>
          <w:noProof/>
          <w:szCs w:val="24"/>
          <w:lang w:val="en-GB"/>
        </w:rPr>
      </w:pPr>
      <m:oMath>
        <m:sSub>
          <m:sSubPr>
            <m:ctrlPr>
              <w:rPr>
                <w:rFonts w:ascii="Cambria Math" w:hAnsi="Cambria Math" w:cs="Times New Roman"/>
                <w:szCs w:val="24"/>
              </w:rPr>
            </m:ctrlPr>
          </m:sSubPr>
          <m:e>
            <m:r>
              <w:rPr>
                <w:rFonts w:ascii="Cambria Math" w:hAnsi="Cambria Math" w:cs="Times New Roman"/>
                <w:noProof/>
                <w:szCs w:val="24"/>
              </w:rPr>
              <m:t>E</m:t>
            </m:r>
          </m:e>
          <m:sub>
            <m:r>
              <m:rPr>
                <m:sty m:val="p"/>
              </m:rPr>
              <w:rPr>
                <w:rFonts w:ascii="Cambria Math" w:hAnsi="Cambria Math" w:cs="Times New Roman"/>
                <w:noProof/>
                <w:szCs w:val="24"/>
                <w:lang w:val="en-GB"/>
              </w:rPr>
              <m:t>Ti</m:t>
            </m:r>
            <m:sSub>
              <m:sSubPr>
                <m:ctrlPr>
                  <w:rPr>
                    <w:rFonts w:ascii="Cambria Math" w:hAnsi="Cambria Math" w:cs="Times New Roman"/>
                    <w:szCs w:val="24"/>
                  </w:rPr>
                </m:ctrlPr>
              </m:sSubPr>
              <m:e>
                <m:r>
                  <m:rPr>
                    <m:sty m:val="p"/>
                  </m:rPr>
                  <w:rPr>
                    <w:rFonts w:ascii="Cambria Math" w:hAnsi="Cambria Math" w:cs="Times New Roman"/>
                    <w:noProof/>
                    <w:szCs w:val="24"/>
                    <w:lang w:val="en-GB"/>
                  </w:rPr>
                  <m:t>O</m:t>
                </m:r>
              </m:e>
              <m:sub>
                <m:r>
                  <m:rPr>
                    <m:sty m:val="p"/>
                  </m:rPr>
                  <w:rPr>
                    <w:rFonts w:ascii="Cambria Math" w:hAnsi="Cambria Math" w:cs="Times New Roman"/>
                    <w:noProof/>
                    <w:szCs w:val="24"/>
                    <w:lang w:val="en-GB"/>
                  </w:rPr>
                  <m:t>2</m:t>
                </m:r>
              </m:sub>
            </m:sSub>
            <m:r>
              <w:rPr>
                <w:rFonts w:ascii="Cambria Math" w:hAnsi="Cambria Math" w:cs="Times New Roman"/>
                <w:noProof/>
                <w:szCs w:val="24"/>
                <w:lang w:val="en-GB"/>
              </w:rPr>
              <m:t>+</m:t>
            </m:r>
            <m:r>
              <m:rPr>
                <m:sty m:val="p"/>
              </m:rPr>
              <w:rPr>
                <w:rFonts w:ascii="Cambria Math" w:hAnsi="Cambria Math" w:cs="Times New Roman"/>
                <w:noProof/>
                <w:szCs w:val="24"/>
                <w:lang w:val="en-GB"/>
              </w:rPr>
              <m:t>Dye+</m:t>
            </m:r>
            <m:r>
              <m:rPr>
                <m:sty m:val="p"/>
              </m:rPr>
              <w:rPr>
                <w:rFonts w:ascii="Cambria Math" w:hAnsi="Cambria Math"/>
                <w:noProof/>
                <w:szCs w:val="24"/>
                <w:lang w:val="en-GB"/>
              </w:rPr>
              <m:t>toluene</m:t>
            </m:r>
          </m:sub>
        </m:sSub>
      </m:oMath>
      <w:r w:rsidR="00985218" w:rsidRPr="009008FF">
        <w:rPr>
          <w:rFonts w:cs="Times New Roman"/>
          <w:noProof/>
          <w:szCs w:val="24"/>
          <w:lang w:val="en-GB"/>
        </w:rPr>
        <w:t xml:space="preserve"> is the total energy of </w:t>
      </w:r>
      <w:r w:rsidR="00985218">
        <w:rPr>
          <w:rFonts w:cs="Times New Roman"/>
          <w:noProof/>
          <w:szCs w:val="24"/>
          <w:lang w:val="en-GB"/>
        </w:rPr>
        <w:t xml:space="preserve">the </w:t>
      </w:r>
      <w:r w:rsidR="00985218" w:rsidRPr="009008FF">
        <w:rPr>
          <w:rFonts w:cs="Times New Roman"/>
          <w:noProof/>
          <w:szCs w:val="24"/>
          <w:lang w:val="en-GB"/>
        </w:rPr>
        <w:t xml:space="preserve">complex, </w:t>
      </w:r>
      <m:oMath>
        <m:sSub>
          <m:sSubPr>
            <m:ctrlPr>
              <w:rPr>
                <w:rFonts w:ascii="Cambria Math" w:hAnsi="Cambria Math" w:cs="Times New Roman"/>
                <w:szCs w:val="24"/>
              </w:rPr>
            </m:ctrlPr>
          </m:sSubPr>
          <m:e>
            <m:r>
              <w:rPr>
                <w:rFonts w:ascii="Cambria Math" w:hAnsi="Cambria Math" w:cs="Times New Roman"/>
                <w:noProof/>
                <w:szCs w:val="24"/>
              </w:rPr>
              <m:t>E</m:t>
            </m:r>
          </m:e>
          <m:sub>
            <m:r>
              <m:rPr>
                <m:sty m:val="p"/>
              </m:rPr>
              <w:rPr>
                <w:rFonts w:ascii="Cambria Math" w:hAnsi="Cambria Math" w:cs="Times New Roman"/>
                <w:noProof/>
                <w:szCs w:val="24"/>
                <w:lang w:val="en-GB"/>
              </w:rPr>
              <m:t>Ti</m:t>
            </m:r>
            <m:sSub>
              <m:sSubPr>
                <m:ctrlPr>
                  <w:rPr>
                    <w:rFonts w:ascii="Cambria Math" w:hAnsi="Cambria Math" w:cs="Times New Roman"/>
                    <w:szCs w:val="24"/>
                  </w:rPr>
                </m:ctrlPr>
              </m:sSubPr>
              <m:e>
                <m:r>
                  <m:rPr>
                    <m:sty m:val="p"/>
                  </m:rPr>
                  <w:rPr>
                    <w:rFonts w:ascii="Cambria Math" w:hAnsi="Cambria Math" w:cs="Times New Roman"/>
                    <w:noProof/>
                    <w:szCs w:val="24"/>
                    <w:lang w:val="en-GB"/>
                  </w:rPr>
                  <m:t>O</m:t>
                </m:r>
              </m:e>
              <m:sub>
                <m:r>
                  <m:rPr>
                    <m:sty m:val="p"/>
                  </m:rPr>
                  <w:rPr>
                    <w:rFonts w:ascii="Cambria Math" w:hAnsi="Cambria Math" w:cs="Times New Roman"/>
                    <w:noProof/>
                    <w:szCs w:val="24"/>
                    <w:lang w:val="en-GB"/>
                  </w:rPr>
                  <m:t>2</m:t>
                </m:r>
              </m:sub>
            </m:sSub>
          </m:sub>
        </m:sSub>
      </m:oMath>
      <w:r w:rsidR="00985218" w:rsidRPr="009008FF">
        <w:rPr>
          <w:rFonts w:cs="Times New Roman"/>
          <w:noProof/>
          <w:szCs w:val="24"/>
          <w:lang w:val="en-GB"/>
        </w:rPr>
        <w:t xml:space="preserve"> </w:t>
      </w:r>
      <w:r w:rsidR="00985218">
        <w:rPr>
          <w:rFonts w:cs="Times New Roman"/>
          <w:noProof/>
          <w:szCs w:val="24"/>
          <w:lang w:val="en-GB"/>
        </w:rPr>
        <w:t>i</w:t>
      </w:r>
      <w:r w:rsidR="00985218" w:rsidRPr="009008FF">
        <w:rPr>
          <w:rFonts w:cs="Times New Roman"/>
          <w:noProof/>
          <w:szCs w:val="24"/>
          <w:lang w:val="en-GB"/>
        </w:rPr>
        <w:t xml:space="preserve">s the energy for the anatase surface model and </w:t>
      </w:r>
      <m:oMath>
        <m:sSub>
          <m:sSubPr>
            <m:ctrlPr>
              <w:rPr>
                <w:rFonts w:ascii="Cambria Math" w:hAnsi="Cambria Math" w:cs="Times New Roman"/>
                <w:szCs w:val="24"/>
              </w:rPr>
            </m:ctrlPr>
          </m:sSubPr>
          <m:e>
            <m:r>
              <w:rPr>
                <w:rFonts w:ascii="Cambria Math" w:hAnsi="Cambria Math" w:cs="Times New Roman"/>
                <w:noProof/>
                <w:szCs w:val="24"/>
              </w:rPr>
              <m:t>E</m:t>
            </m:r>
          </m:e>
          <m:sub>
            <m:r>
              <m:rPr>
                <m:sty m:val="p"/>
              </m:rPr>
              <w:rPr>
                <w:rFonts w:ascii="Cambria Math" w:hAnsi="Cambria Math" w:cs="Times New Roman"/>
                <w:noProof/>
                <w:szCs w:val="24"/>
                <w:lang w:val="en-GB"/>
              </w:rPr>
              <m:t>Dye</m:t>
            </m:r>
          </m:sub>
        </m:sSub>
      </m:oMath>
      <w:r w:rsidR="00985218" w:rsidRPr="009008FF">
        <w:rPr>
          <w:rFonts w:cs="Times New Roman"/>
          <w:noProof/>
          <w:szCs w:val="24"/>
          <w:lang w:val="en-GB"/>
        </w:rPr>
        <w:t xml:space="preserve"> is the energy </w:t>
      </w:r>
      <w:r w:rsidR="00985218">
        <w:rPr>
          <w:rFonts w:cs="Times New Roman"/>
          <w:noProof/>
          <w:szCs w:val="24"/>
          <w:lang w:val="en-GB"/>
        </w:rPr>
        <w:t>of</w:t>
      </w:r>
      <w:r w:rsidR="00985218" w:rsidRPr="009008FF">
        <w:rPr>
          <w:rFonts w:cs="Times New Roman"/>
          <w:noProof/>
          <w:szCs w:val="24"/>
          <w:lang w:val="en-GB"/>
        </w:rPr>
        <w:t xml:space="preserve"> the dye</w:t>
      </w:r>
      <w:r w:rsidR="00985218">
        <w:rPr>
          <w:rFonts w:cs="Times New Roman"/>
          <w:noProof/>
          <w:szCs w:val="24"/>
          <w:lang w:val="en-GB"/>
        </w:rPr>
        <w:t xml:space="preserve"> </w:t>
      </w:r>
      <w:sdt>
        <w:sdtPr>
          <w:rPr>
            <w:rFonts w:cs="Times New Roman"/>
            <w:noProof/>
            <w:color w:val="000000"/>
            <w:szCs w:val="24"/>
            <w:lang w:val="en-GB"/>
          </w:rPr>
          <w:tag w:val="MENDELEY_CITATION_v3_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"/>
          <w:id w:val="557058359"/>
          <w:placeholder>
            <w:docPart w:val="02B7155B0EB943F397E3EE152B19336E"/>
          </w:placeholder>
        </w:sdtPr>
        <w:sdtContent>
          <w:r w:rsidR="00DC186D" w:rsidRPr="00DC186D">
            <w:rPr>
              <w:rFonts w:cs="Times New Roman"/>
              <w:noProof/>
              <w:color w:val="000000"/>
              <w:szCs w:val="24"/>
              <w:lang w:val="en-GB"/>
            </w:rPr>
            <w:t>(Srinivas et al., 2011)</w:t>
          </w:r>
        </w:sdtContent>
      </w:sdt>
      <w:r w:rsidR="00985218" w:rsidRPr="009008FF">
        <w:rPr>
          <w:rFonts w:cs="Times New Roman"/>
          <w:noProof/>
          <w:szCs w:val="24"/>
          <w:lang w:val="en-GB"/>
        </w:rPr>
        <w:t xml:space="preserve">. According to the above expression, a </w:t>
      </w:r>
      <w:r w:rsidR="00985218">
        <w:rPr>
          <w:rFonts w:cs="Times New Roman"/>
          <w:noProof/>
          <w:szCs w:val="24"/>
          <w:lang w:val="en-GB"/>
        </w:rPr>
        <w:t xml:space="preserve">negative </w:t>
      </w:r>
      <w:r w:rsidR="00985218" w:rsidRPr="009008FF">
        <w:rPr>
          <w:rFonts w:cs="Times New Roman"/>
          <w:noProof/>
          <w:szCs w:val="24"/>
          <w:lang w:val="en-GB"/>
        </w:rPr>
        <w:t xml:space="preserve"> value of </w:t>
      </w:r>
      <m:oMath>
        <m:sSub>
          <m:sSubPr>
            <m:ctrlPr>
              <w:rPr>
                <w:rFonts w:ascii="Cambria Math" w:hAnsi="Cambria Math" w:cs="Times New Roman"/>
                <w:szCs w:val="24"/>
              </w:rPr>
            </m:ctrlPr>
          </m:sSubPr>
          <m:e>
            <m:r>
              <w:rPr>
                <w:rFonts w:ascii="Cambria Math" w:hAnsi="Cambria Math" w:cs="Times New Roman"/>
                <w:noProof/>
                <w:szCs w:val="24"/>
              </w:rPr>
              <m:t>E</m:t>
            </m:r>
          </m:e>
          <m:sub>
            <m:r>
              <w:rPr>
                <w:rFonts w:ascii="Cambria Math" w:hAnsi="Cambria Math" w:cs="Times New Roman"/>
                <w:noProof/>
                <w:szCs w:val="24"/>
              </w:rPr>
              <m:t>ads</m:t>
            </m:r>
          </m:sub>
        </m:sSub>
      </m:oMath>
      <w:r w:rsidR="00985218" w:rsidRPr="009008FF">
        <w:rPr>
          <w:rFonts w:cs="Times New Roman"/>
          <w:noProof/>
          <w:szCs w:val="24"/>
          <w:lang w:val="en-GB"/>
        </w:rPr>
        <w:t xml:space="preserve"> means that the adsorption is </w:t>
      </w:r>
      <w:r w:rsidR="00985218">
        <w:rPr>
          <w:rFonts w:cs="Times New Roman"/>
          <w:noProof/>
          <w:szCs w:val="24"/>
          <w:lang w:val="en-GB"/>
        </w:rPr>
        <w:t>favourable.</w:t>
      </w:r>
    </w:p>
    <w:p w14:paraId="66B493EC" w14:textId="77777777" w:rsidR="00084BD0" w:rsidRDefault="00084BD0" w:rsidP="00985218">
      <w:pPr>
        <w:tabs>
          <w:tab w:val="center" w:pos="4800"/>
          <w:tab w:val="right" w:pos="9500"/>
        </w:tabs>
        <w:spacing w:after="0" w:line="360" w:lineRule="auto"/>
        <w:ind w:firstLine="720"/>
        <w:jc w:val="both"/>
        <w:rPr>
          <w:rFonts w:cs="Times New Roman"/>
          <w:noProof/>
          <w:szCs w:val="24"/>
          <w:lang w:val="en-GB"/>
        </w:rPr>
      </w:pPr>
    </w:p>
    <w:p w14:paraId="178AC996" w14:textId="0ECFD429" w:rsidR="00084BD0" w:rsidRDefault="00084BD0" w:rsidP="00765467">
      <w:pPr>
        <w:pStyle w:val="Titre2"/>
        <w:tabs>
          <w:tab w:val="left" w:pos="7950"/>
        </w:tabs>
        <w:ind w:left="360"/>
        <w:rPr>
          <w:b/>
          <w:bCs/>
          <w:lang w:val="en-GB"/>
        </w:rPr>
      </w:pPr>
      <w:r w:rsidRPr="00084BD0">
        <w:rPr>
          <w:b/>
          <w:bCs/>
          <w:lang w:val="en-GB"/>
        </w:rPr>
        <w:t xml:space="preserve">Section </w:t>
      </w:r>
      <w:r>
        <w:rPr>
          <w:b/>
          <w:bCs/>
          <w:lang w:val="en-GB"/>
        </w:rPr>
        <w:t>2</w:t>
      </w:r>
      <w:r w:rsidRPr="00084BD0">
        <w:rPr>
          <w:b/>
          <w:bCs/>
          <w:lang w:val="en-GB"/>
        </w:rPr>
        <w:t xml:space="preserve">: </w:t>
      </w:r>
      <w:r w:rsidR="00436244">
        <w:rPr>
          <w:b/>
          <w:bCs/>
          <w:lang w:val="en-GB"/>
        </w:rPr>
        <w:t xml:space="preserve">Opto-electronic characteristics </w:t>
      </w:r>
    </w:p>
    <w:p w14:paraId="560AF2D9" w14:textId="77777777" w:rsidR="00436244" w:rsidRPr="009008FF" w:rsidRDefault="00436244" w:rsidP="00084BD0">
      <w:pPr>
        <w:tabs>
          <w:tab w:val="center" w:pos="4800"/>
          <w:tab w:val="right" w:pos="9500"/>
        </w:tabs>
        <w:spacing w:after="0" w:line="360" w:lineRule="auto"/>
        <w:jc w:val="both"/>
        <w:rPr>
          <w:rFonts w:cs="Times New Roman"/>
          <w:b/>
          <w:bCs/>
          <w:noProof/>
          <w:lang w:val="en-GB"/>
        </w:rPr>
      </w:pPr>
    </w:p>
    <w:p w14:paraId="34FCF0AC" w14:textId="47DBE600" w:rsidR="00084BD0" w:rsidRPr="00B14CF7" w:rsidRDefault="00084BD0" w:rsidP="005203A8">
      <w:pPr>
        <w:jc w:val="both"/>
        <w:rPr>
          <w:lang w:val="en-US"/>
        </w:rPr>
      </w:pPr>
      <w:r w:rsidRPr="00AF06EA">
        <w:rPr>
          <w:b/>
          <w:bCs/>
          <w:lang w:val="en-US"/>
        </w:rPr>
        <w:t>Table S1</w:t>
      </w:r>
      <w:r w:rsidR="0031016E">
        <w:rPr>
          <w:lang w:val="en-US"/>
        </w:rPr>
        <w:t xml:space="preserve"> : Comparative </w:t>
      </w:r>
      <w:r w:rsidR="00A52C53">
        <w:rPr>
          <w:lang w:val="en-US"/>
        </w:rPr>
        <w:t>a</w:t>
      </w:r>
      <w:r w:rsidR="0031016E">
        <w:rPr>
          <w:lang w:val="en-US"/>
        </w:rPr>
        <w:t xml:space="preserve">nalysis of </w:t>
      </w:r>
      <w:r>
        <w:rPr>
          <w:lang w:val="en-US"/>
        </w:rPr>
        <w:t xml:space="preserve">maximum absorption </w:t>
      </w:r>
      <m:oMath>
        <m:sSubSup>
          <m:sSubSupPr>
            <m:ctrlPr>
              <w:rPr>
                <w:rFonts w:ascii="Cambria Math" w:hAnsi="Cambria Math" w:cs="Times New Roman"/>
              </w:rPr>
            </m:ctrlPr>
          </m:sSubSupPr>
          <m:e>
            <m:r>
              <w:rPr>
                <w:rFonts w:ascii="Cambria Math" w:hAnsi="Cambria Math" w:cs="Times New Roman"/>
              </w:rPr>
              <m:t>λ</m:t>
            </m:r>
          </m:e>
          <m:sub>
            <m:r>
              <w:rPr>
                <w:rFonts w:ascii="Cambria Math" w:hAnsi="Cambria Math" w:cs="Times New Roman"/>
              </w:rPr>
              <m:t>Max</m:t>
            </m:r>
          </m:sub>
          <m:sup>
            <m:r>
              <w:rPr>
                <w:rFonts w:ascii="Cambria Math" w:hAnsi="Cambria Math" w:cs="Times New Roman"/>
                <w:lang w:val="en-US"/>
              </w:rPr>
              <m:t xml:space="preserve"> </m:t>
            </m:r>
          </m:sup>
        </m:sSubSup>
        <m:r>
          <w:rPr>
            <w:rFonts w:ascii="Cambria Math" w:hAnsi="Cambria Math" w:cs="Times New Roman"/>
            <w:lang w:val="en-US"/>
          </w:rPr>
          <m:t xml:space="preserve"> </m:t>
        </m:r>
      </m:oMath>
      <w:r w:rsidR="0031016E">
        <w:rPr>
          <w:lang w:val="en-US"/>
        </w:rPr>
        <w:t>s</w:t>
      </w:r>
      <w:r>
        <w:rPr>
          <w:lang w:val="en-US"/>
        </w:rPr>
        <w:t xml:space="preserve">imulated with </w:t>
      </w:r>
      <w:r w:rsidR="0031016E">
        <w:rPr>
          <w:lang w:val="en-US"/>
        </w:rPr>
        <w:t>d</w:t>
      </w:r>
      <w:r>
        <w:rPr>
          <w:lang w:val="en-US"/>
        </w:rPr>
        <w:t xml:space="preserve">ifferent </w:t>
      </w:r>
      <w:r w:rsidR="0031016E">
        <w:rPr>
          <w:lang w:val="en-US"/>
        </w:rPr>
        <w:t>f</w:t>
      </w:r>
      <w:r>
        <w:rPr>
          <w:lang w:val="en-US"/>
        </w:rPr>
        <w:t xml:space="preserve">unctionals </w:t>
      </w:r>
      <w:r w:rsidR="005203A8">
        <w:rPr>
          <w:lang w:val="en-US"/>
        </w:rPr>
        <w:t>and</w:t>
      </w:r>
      <w:r>
        <w:rPr>
          <w:lang w:val="en-US"/>
        </w:rPr>
        <w:t xml:space="preserve"> a </w:t>
      </w:r>
      <w:r w:rsidR="0031016E">
        <w:rPr>
          <w:lang w:val="en-US"/>
        </w:rPr>
        <w:t>c</w:t>
      </w:r>
      <w:r>
        <w:rPr>
          <w:lang w:val="en-US"/>
        </w:rPr>
        <w:t xml:space="preserve">onsistent </w:t>
      </w:r>
      <w:r w:rsidR="0031016E">
        <w:rPr>
          <w:lang w:val="en-US"/>
        </w:rPr>
        <w:t>b</w:t>
      </w:r>
      <w:r>
        <w:rPr>
          <w:lang w:val="en-US"/>
        </w:rPr>
        <w:t xml:space="preserve">asis </w:t>
      </w:r>
      <w:r w:rsidR="0031016E">
        <w:rPr>
          <w:lang w:val="en-US"/>
        </w:rPr>
        <w:t>set 6-31G</w:t>
      </w:r>
      <w:r>
        <w:rPr>
          <w:lang w:val="en-US"/>
        </w:rPr>
        <w:t>(d,p) in Toluene.</w:t>
      </w:r>
    </w:p>
    <w:tbl>
      <w:tblPr>
        <w:tblStyle w:val="Grilledutableau"/>
        <w:tblpPr w:leftFromText="141" w:rightFromText="141" w:vertAnchor="text"/>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15"/>
        <w:gridCol w:w="979"/>
        <w:gridCol w:w="1133"/>
        <w:gridCol w:w="927"/>
        <w:gridCol w:w="1002"/>
        <w:gridCol w:w="1285"/>
        <w:gridCol w:w="1109"/>
        <w:gridCol w:w="1402"/>
      </w:tblGrid>
      <w:tr w:rsidR="00BD2E05" w:rsidRPr="000F4BE9" w14:paraId="62A1E633" w14:textId="77777777" w:rsidTr="003B41D1">
        <w:trPr>
          <w:trHeight w:val="535"/>
        </w:trPr>
        <w:tc>
          <w:tcPr>
            <w:tcW w:w="1228" w:type="dxa"/>
            <w:tcBorders>
              <w:top w:val="single" w:sz="8" w:space="0" w:color="auto"/>
              <w:left w:val="single" w:sz="8" w:space="0" w:color="auto"/>
              <w:bottom w:val="single" w:sz="8" w:space="0" w:color="auto"/>
              <w:right w:val="single" w:sz="8" w:space="0" w:color="auto"/>
            </w:tcBorders>
            <w:hideMark/>
          </w:tcPr>
          <w:p w14:paraId="66A9B426" w14:textId="77777777" w:rsidR="00BD2E05" w:rsidRPr="000F4BE9" w:rsidRDefault="00BD2E05">
            <w:pPr>
              <w:rPr>
                <w:rFonts w:asciiTheme="majorBidi" w:hAnsiTheme="majorBidi" w:cstheme="majorBidi"/>
              </w:rPr>
            </w:pPr>
            <w:r w:rsidRPr="000F4BE9">
              <w:rPr>
                <w:rFonts w:asciiTheme="majorBidi" w:hAnsiTheme="majorBidi" w:cstheme="majorBidi"/>
                <w:lang w:val="en-US"/>
              </w:rPr>
              <w:t>Functional</w:t>
            </w:r>
          </w:p>
        </w:tc>
        <w:tc>
          <w:tcPr>
            <w:tcW w:w="1003" w:type="dxa"/>
            <w:tcBorders>
              <w:top w:val="single" w:sz="8" w:space="0" w:color="auto"/>
              <w:left w:val="nil"/>
              <w:bottom w:val="single" w:sz="8" w:space="0" w:color="auto"/>
              <w:right w:val="single" w:sz="8" w:space="0" w:color="auto"/>
            </w:tcBorders>
            <w:hideMark/>
          </w:tcPr>
          <w:p w14:paraId="17710274" w14:textId="29815772" w:rsidR="00BD2E05" w:rsidRPr="000F4BE9" w:rsidRDefault="00BD2E05" w:rsidP="00A366CD">
            <w:pPr>
              <w:jc w:val="center"/>
              <w:rPr>
                <w:rFonts w:asciiTheme="majorBidi" w:hAnsiTheme="majorBidi" w:cstheme="majorBidi"/>
              </w:rPr>
            </w:pPr>
            <w:r w:rsidRPr="000F4BE9">
              <w:rPr>
                <w:rFonts w:asciiTheme="majorBidi" w:hAnsiTheme="majorBidi" w:cstheme="majorBidi"/>
              </w:rPr>
              <w:t>M062X</w:t>
            </w:r>
          </w:p>
        </w:tc>
        <w:tc>
          <w:tcPr>
            <w:tcW w:w="1061" w:type="dxa"/>
            <w:tcBorders>
              <w:top w:val="single" w:sz="8" w:space="0" w:color="auto"/>
              <w:left w:val="nil"/>
              <w:bottom w:val="single" w:sz="8" w:space="0" w:color="auto"/>
              <w:right w:val="single" w:sz="8" w:space="0" w:color="auto"/>
            </w:tcBorders>
            <w:hideMark/>
          </w:tcPr>
          <w:p w14:paraId="6577DE27" w14:textId="0F093A50" w:rsidR="00BD2E05" w:rsidRPr="000F4BE9" w:rsidRDefault="00BD2E05" w:rsidP="00A366CD">
            <w:pPr>
              <w:jc w:val="center"/>
              <w:rPr>
                <w:rFonts w:asciiTheme="majorBidi" w:hAnsiTheme="majorBidi" w:cstheme="majorBidi"/>
              </w:rPr>
            </w:pPr>
            <w:r w:rsidRPr="000F4BE9">
              <w:rPr>
                <w:rFonts w:asciiTheme="majorBidi" w:hAnsiTheme="majorBidi" w:cstheme="majorBidi"/>
                <w:lang w:val="en-US"/>
              </w:rPr>
              <w:t>PBE1PBE</w:t>
            </w:r>
          </w:p>
        </w:tc>
        <w:tc>
          <w:tcPr>
            <w:tcW w:w="939" w:type="dxa"/>
            <w:tcBorders>
              <w:top w:val="single" w:sz="8" w:space="0" w:color="auto"/>
              <w:left w:val="nil"/>
              <w:bottom w:val="single" w:sz="8" w:space="0" w:color="auto"/>
              <w:right w:val="single" w:sz="8" w:space="0" w:color="auto"/>
            </w:tcBorders>
            <w:hideMark/>
          </w:tcPr>
          <w:p w14:paraId="429258FB" w14:textId="5E0941E7" w:rsidR="00BD2E05" w:rsidRPr="000F4BE9" w:rsidRDefault="00BD2E05" w:rsidP="00A366CD">
            <w:pPr>
              <w:jc w:val="center"/>
              <w:rPr>
                <w:rFonts w:asciiTheme="majorBidi" w:hAnsiTheme="majorBidi" w:cstheme="majorBidi"/>
              </w:rPr>
            </w:pPr>
            <w:r w:rsidRPr="000F4BE9">
              <w:rPr>
                <w:rFonts w:asciiTheme="majorBidi" w:hAnsiTheme="majorBidi" w:cstheme="majorBidi"/>
                <w:lang w:val="en-US"/>
              </w:rPr>
              <w:t>B</w:t>
            </w:r>
            <w:r w:rsidR="007F3946" w:rsidRPr="000F4BE9">
              <w:rPr>
                <w:rFonts w:asciiTheme="majorBidi" w:hAnsiTheme="majorBidi" w:cstheme="majorBidi"/>
                <w:lang w:val="en-US"/>
              </w:rPr>
              <w:t>3</w:t>
            </w:r>
            <w:r w:rsidRPr="000F4BE9">
              <w:rPr>
                <w:rFonts w:asciiTheme="majorBidi" w:hAnsiTheme="majorBidi" w:cstheme="majorBidi"/>
                <w:lang w:val="en-US"/>
              </w:rPr>
              <w:t>YLP</w:t>
            </w:r>
          </w:p>
        </w:tc>
        <w:tc>
          <w:tcPr>
            <w:tcW w:w="1014" w:type="dxa"/>
            <w:tcBorders>
              <w:top w:val="single" w:sz="8" w:space="0" w:color="auto"/>
              <w:left w:val="nil"/>
              <w:bottom w:val="single" w:sz="8" w:space="0" w:color="auto"/>
              <w:right w:val="single" w:sz="8" w:space="0" w:color="auto"/>
            </w:tcBorders>
            <w:hideMark/>
          </w:tcPr>
          <w:p w14:paraId="263354B1" w14:textId="77777777" w:rsidR="00BD2E05" w:rsidRPr="000F4BE9" w:rsidRDefault="00BD2E05" w:rsidP="00A366CD">
            <w:pPr>
              <w:jc w:val="center"/>
              <w:rPr>
                <w:rFonts w:asciiTheme="majorBidi" w:hAnsiTheme="majorBidi" w:cstheme="majorBidi"/>
                <w:lang w:val="en-US"/>
              </w:rPr>
            </w:pPr>
            <w:r w:rsidRPr="000F4BE9">
              <w:rPr>
                <w:rFonts w:asciiTheme="majorBidi" w:hAnsiTheme="majorBidi" w:cstheme="majorBidi"/>
                <w:lang w:val="en-US"/>
              </w:rPr>
              <w:t>MPW1</w:t>
            </w:r>
          </w:p>
          <w:p w14:paraId="036C74B9" w14:textId="225B5E09" w:rsidR="00BD2E05" w:rsidRPr="000F4BE9" w:rsidRDefault="00BD2E05" w:rsidP="00A366CD">
            <w:pPr>
              <w:jc w:val="center"/>
              <w:rPr>
                <w:rFonts w:asciiTheme="majorBidi" w:hAnsiTheme="majorBidi" w:cstheme="majorBidi"/>
              </w:rPr>
            </w:pPr>
            <w:r w:rsidRPr="000F4BE9">
              <w:rPr>
                <w:rFonts w:asciiTheme="majorBidi" w:hAnsiTheme="majorBidi" w:cstheme="majorBidi"/>
                <w:lang w:val="en-US"/>
              </w:rPr>
              <w:t>MPW91</w:t>
            </w:r>
          </w:p>
        </w:tc>
        <w:tc>
          <w:tcPr>
            <w:tcW w:w="1408" w:type="dxa"/>
            <w:tcBorders>
              <w:top w:val="single" w:sz="8" w:space="0" w:color="auto"/>
              <w:left w:val="nil"/>
              <w:bottom w:val="single" w:sz="8" w:space="0" w:color="auto"/>
              <w:right w:val="single" w:sz="8" w:space="0" w:color="auto"/>
            </w:tcBorders>
            <w:hideMark/>
          </w:tcPr>
          <w:p w14:paraId="72C68105" w14:textId="5CDA0E2E" w:rsidR="00BD2E05" w:rsidRPr="000F4BE9" w:rsidRDefault="00BD2E05" w:rsidP="003B41D1">
            <w:pPr>
              <w:jc w:val="center"/>
              <w:rPr>
                <w:rFonts w:asciiTheme="majorBidi" w:hAnsiTheme="majorBidi" w:cstheme="majorBidi"/>
              </w:rPr>
            </w:pPr>
            <w:r w:rsidRPr="000F4BE9">
              <w:rPr>
                <w:rFonts w:asciiTheme="majorBidi" w:hAnsiTheme="majorBidi" w:cstheme="majorBidi"/>
                <w:lang w:val="en-US"/>
              </w:rPr>
              <w:t>C</w:t>
            </w:r>
            <w:r w:rsidR="003B41D1" w:rsidRPr="000F4BE9">
              <w:rPr>
                <w:rFonts w:asciiTheme="majorBidi" w:hAnsiTheme="majorBidi" w:cstheme="majorBidi"/>
                <w:lang w:val="en-US"/>
              </w:rPr>
              <w:t>AM</w:t>
            </w:r>
            <w:r w:rsidRPr="000F4BE9">
              <w:rPr>
                <w:rFonts w:asciiTheme="majorBidi" w:hAnsiTheme="majorBidi" w:cstheme="majorBidi"/>
                <w:lang w:val="en-US"/>
              </w:rPr>
              <w:t>-B</w:t>
            </w:r>
            <w:r w:rsidR="0009512A" w:rsidRPr="000F4BE9">
              <w:rPr>
                <w:rFonts w:asciiTheme="majorBidi" w:hAnsiTheme="majorBidi" w:cstheme="majorBidi"/>
                <w:lang w:val="en-US"/>
              </w:rPr>
              <w:t>3</w:t>
            </w:r>
            <w:r w:rsidRPr="000F4BE9">
              <w:rPr>
                <w:rFonts w:asciiTheme="majorBidi" w:hAnsiTheme="majorBidi" w:cstheme="majorBidi"/>
                <w:lang w:val="en-US"/>
              </w:rPr>
              <w:t>YLP</w:t>
            </w:r>
          </w:p>
        </w:tc>
        <w:tc>
          <w:tcPr>
            <w:tcW w:w="997" w:type="dxa"/>
            <w:tcBorders>
              <w:top w:val="single" w:sz="8" w:space="0" w:color="auto"/>
              <w:left w:val="nil"/>
              <w:bottom w:val="single" w:sz="8" w:space="0" w:color="auto"/>
              <w:right w:val="single" w:sz="4" w:space="0" w:color="auto"/>
            </w:tcBorders>
          </w:tcPr>
          <w:p w14:paraId="090887E6" w14:textId="18B44C8F" w:rsidR="00BD2E05" w:rsidRPr="000F4BE9" w:rsidRDefault="003B41D1" w:rsidP="003B41D1">
            <w:pPr>
              <w:jc w:val="center"/>
              <w:rPr>
                <w:rFonts w:asciiTheme="majorBidi" w:hAnsiTheme="majorBidi" w:cstheme="majorBidi"/>
                <w:lang w:val="en-US"/>
              </w:rPr>
            </w:pPr>
            <w:r w:rsidRPr="000F4BE9">
              <w:rPr>
                <w:rFonts w:asciiTheme="majorBidi" w:hAnsiTheme="majorBidi" w:cstheme="majorBidi"/>
                <w:lang w:val="en-US"/>
              </w:rPr>
              <w:t>WB</w:t>
            </w:r>
            <w:r w:rsidR="00BD2E05" w:rsidRPr="000F4BE9">
              <w:rPr>
                <w:rFonts w:asciiTheme="majorBidi" w:hAnsiTheme="majorBidi" w:cstheme="majorBidi"/>
                <w:lang w:val="en-US"/>
              </w:rPr>
              <w:t>97</w:t>
            </w:r>
            <w:r w:rsidRPr="000F4BE9">
              <w:rPr>
                <w:rFonts w:asciiTheme="majorBidi" w:hAnsiTheme="majorBidi" w:cstheme="majorBidi"/>
                <w:lang w:val="en-US"/>
              </w:rPr>
              <w:t>XD</w:t>
            </w:r>
          </w:p>
        </w:tc>
        <w:tc>
          <w:tcPr>
            <w:tcW w:w="1402" w:type="dxa"/>
            <w:tcBorders>
              <w:top w:val="single" w:sz="8" w:space="0" w:color="auto"/>
              <w:left w:val="single" w:sz="4" w:space="0" w:color="auto"/>
              <w:bottom w:val="single" w:sz="8" w:space="0" w:color="auto"/>
              <w:right w:val="single" w:sz="8" w:space="0" w:color="auto"/>
            </w:tcBorders>
            <w:hideMark/>
          </w:tcPr>
          <w:p w14:paraId="44509646" w14:textId="06D08846" w:rsidR="00BD2E05" w:rsidRPr="000F4BE9" w:rsidRDefault="00BD2E05" w:rsidP="00A366CD">
            <w:pPr>
              <w:jc w:val="center"/>
              <w:rPr>
                <w:rFonts w:asciiTheme="majorBidi" w:hAnsiTheme="majorBidi" w:cstheme="majorBidi"/>
              </w:rPr>
            </w:pPr>
            <w:r w:rsidRPr="000F4BE9">
              <w:rPr>
                <w:rFonts w:asciiTheme="majorBidi" w:hAnsiTheme="majorBidi" w:cstheme="majorBidi"/>
                <w:lang w:val="en-US"/>
              </w:rPr>
              <w:t>Experimental</w:t>
            </w:r>
          </w:p>
        </w:tc>
      </w:tr>
      <w:tr w:rsidR="00BD2E05" w:rsidRPr="000F4BE9" w14:paraId="4C2A3E09" w14:textId="77777777" w:rsidTr="003B41D1">
        <w:trPr>
          <w:trHeight w:val="410"/>
        </w:trPr>
        <w:tc>
          <w:tcPr>
            <w:tcW w:w="1228" w:type="dxa"/>
            <w:tcBorders>
              <w:top w:val="nil"/>
              <w:left w:val="single" w:sz="8" w:space="0" w:color="auto"/>
              <w:bottom w:val="single" w:sz="8" w:space="0" w:color="auto"/>
              <w:right w:val="single" w:sz="8" w:space="0" w:color="auto"/>
            </w:tcBorders>
            <w:hideMark/>
          </w:tcPr>
          <w:p w14:paraId="78092C82" w14:textId="61B5E9F5" w:rsidR="00BD2E05" w:rsidRPr="000F4BE9" w:rsidRDefault="00BD2E05">
            <w:pPr>
              <w:rPr>
                <w:rFonts w:asciiTheme="majorBidi" w:hAnsiTheme="majorBidi" w:cstheme="majorBidi"/>
              </w:rPr>
            </w:pPr>
            <w:r w:rsidRPr="000F4BE9">
              <w:rPr>
                <w:rFonts w:asciiTheme="majorBidi" w:hAnsiTheme="majorBidi" w:cstheme="majorBidi"/>
                <w:noProof/>
                <w:lang w:eastAsia="fr-FR"/>
              </w:rPr>
              <w:drawing>
                <wp:inline distT="0" distB="0" distL="0" distR="0" wp14:anchorId="69A7A126" wp14:editId="4DF1B662">
                  <wp:extent cx="609600" cy="1809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p>
        </w:tc>
        <w:tc>
          <w:tcPr>
            <w:tcW w:w="1003" w:type="dxa"/>
            <w:tcBorders>
              <w:top w:val="nil"/>
              <w:left w:val="nil"/>
              <w:bottom w:val="single" w:sz="8" w:space="0" w:color="auto"/>
              <w:right w:val="single" w:sz="8" w:space="0" w:color="auto"/>
            </w:tcBorders>
            <w:hideMark/>
          </w:tcPr>
          <w:p w14:paraId="12FD6C58" w14:textId="47A3682D" w:rsidR="00BD2E05" w:rsidRPr="000F4BE9" w:rsidRDefault="00BD2E05" w:rsidP="00A366CD">
            <w:pPr>
              <w:jc w:val="center"/>
              <w:rPr>
                <w:rFonts w:asciiTheme="majorBidi" w:hAnsiTheme="majorBidi" w:cstheme="majorBidi"/>
              </w:rPr>
            </w:pPr>
            <w:r w:rsidRPr="000F4BE9">
              <w:rPr>
                <w:rFonts w:asciiTheme="majorBidi" w:hAnsiTheme="majorBidi" w:cstheme="majorBidi"/>
                <w:lang w:val="en-US"/>
              </w:rPr>
              <w:t>496.49</w:t>
            </w:r>
          </w:p>
        </w:tc>
        <w:tc>
          <w:tcPr>
            <w:tcW w:w="1061" w:type="dxa"/>
            <w:tcBorders>
              <w:top w:val="nil"/>
              <w:left w:val="nil"/>
              <w:bottom w:val="single" w:sz="8" w:space="0" w:color="auto"/>
              <w:right w:val="single" w:sz="8" w:space="0" w:color="auto"/>
            </w:tcBorders>
            <w:hideMark/>
          </w:tcPr>
          <w:p w14:paraId="1F321BDA" w14:textId="77777777" w:rsidR="00BD2E05" w:rsidRPr="000F4BE9" w:rsidRDefault="00BD2E05" w:rsidP="00A366CD">
            <w:pPr>
              <w:jc w:val="center"/>
              <w:rPr>
                <w:rFonts w:asciiTheme="majorBidi" w:hAnsiTheme="majorBidi" w:cstheme="majorBidi"/>
              </w:rPr>
            </w:pPr>
            <w:r w:rsidRPr="000F4BE9">
              <w:rPr>
                <w:rFonts w:asciiTheme="majorBidi" w:hAnsiTheme="majorBidi" w:cstheme="majorBidi"/>
                <w:lang w:val="en-US"/>
              </w:rPr>
              <w:t>494.39</w:t>
            </w:r>
          </w:p>
        </w:tc>
        <w:tc>
          <w:tcPr>
            <w:tcW w:w="939" w:type="dxa"/>
            <w:tcBorders>
              <w:top w:val="nil"/>
              <w:left w:val="nil"/>
              <w:bottom w:val="single" w:sz="8" w:space="0" w:color="auto"/>
              <w:right w:val="single" w:sz="8" w:space="0" w:color="auto"/>
            </w:tcBorders>
            <w:hideMark/>
          </w:tcPr>
          <w:p w14:paraId="6063304B" w14:textId="77777777" w:rsidR="00BD2E05" w:rsidRPr="000F4BE9" w:rsidRDefault="00BD2E05" w:rsidP="00A366CD">
            <w:pPr>
              <w:jc w:val="center"/>
              <w:rPr>
                <w:rFonts w:asciiTheme="majorBidi" w:hAnsiTheme="majorBidi" w:cstheme="majorBidi"/>
              </w:rPr>
            </w:pPr>
            <w:r w:rsidRPr="000F4BE9">
              <w:rPr>
                <w:rFonts w:asciiTheme="majorBidi" w:hAnsiTheme="majorBidi" w:cstheme="majorBidi"/>
                <w:lang w:val="en-US"/>
              </w:rPr>
              <w:t>588.08</w:t>
            </w:r>
          </w:p>
        </w:tc>
        <w:tc>
          <w:tcPr>
            <w:tcW w:w="1014" w:type="dxa"/>
            <w:tcBorders>
              <w:top w:val="nil"/>
              <w:left w:val="nil"/>
              <w:bottom w:val="single" w:sz="8" w:space="0" w:color="auto"/>
              <w:right w:val="single" w:sz="8" w:space="0" w:color="auto"/>
            </w:tcBorders>
            <w:hideMark/>
          </w:tcPr>
          <w:p w14:paraId="58408CA1" w14:textId="77777777" w:rsidR="00BD2E05" w:rsidRPr="000F4BE9" w:rsidRDefault="00BD2E05" w:rsidP="00A366CD">
            <w:pPr>
              <w:jc w:val="center"/>
              <w:rPr>
                <w:rFonts w:asciiTheme="majorBidi" w:hAnsiTheme="majorBidi" w:cstheme="majorBidi"/>
              </w:rPr>
            </w:pPr>
            <w:r w:rsidRPr="000F4BE9">
              <w:rPr>
                <w:rFonts w:asciiTheme="majorBidi" w:hAnsiTheme="majorBidi" w:cstheme="majorBidi"/>
                <w:lang w:val="en-US"/>
              </w:rPr>
              <w:t>564.69</w:t>
            </w:r>
          </w:p>
        </w:tc>
        <w:tc>
          <w:tcPr>
            <w:tcW w:w="1408" w:type="dxa"/>
            <w:tcBorders>
              <w:top w:val="nil"/>
              <w:left w:val="nil"/>
              <w:bottom w:val="single" w:sz="8" w:space="0" w:color="auto"/>
              <w:right w:val="single" w:sz="8" w:space="0" w:color="auto"/>
            </w:tcBorders>
            <w:hideMark/>
          </w:tcPr>
          <w:p w14:paraId="3F5FDF18" w14:textId="77777777" w:rsidR="00BD2E05" w:rsidRPr="000F4BE9" w:rsidRDefault="00BD2E05" w:rsidP="00A366CD">
            <w:pPr>
              <w:jc w:val="center"/>
              <w:rPr>
                <w:rFonts w:asciiTheme="majorBidi" w:hAnsiTheme="majorBidi" w:cstheme="majorBidi"/>
              </w:rPr>
            </w:pPr>
            <w:r w:rsidRPr="000F4BE9">
              <w:rPr>
                <w:rFonts w:asciiTheme="majorBidi" w:hAnsiTheme="majorBidi" w:cstheme="majorBidi"/>
                <w:lang w:val="en-US"/>
              </w:rPr>
              <w:t>497.16</w:t>
            </w:r>
          </w:p>
        </w:tc>
        <w:tc>
          <w:tcPr>
            <w:tcW w:w="997" w:type="dxa"/>
            <w:tcBorders>
              <w:top w:val="single" w:sz="8" w:space="0" w:color="auto"/>
              <w:left w:val="nil"/>
              <w:bottom w:val="single" w:sz="8" w:space="0" w:color="auto"/>
              <w:right w:val="single" w:sz="4" w:space="0" w:color="auto"/>
            </w:tcBorders>
          </w:tcPr>
          <w:p w14:paraId="1B1FFDDA" w14:textId="7A51D32B" w:rsidR="00BD2E05" w:rsidRPr="000F4BE9" w:rsidRDefault="00BD2E05" w:rsidP="00A366CD">
            <w:pPr>
              <w:jc w:val="center"/>
              <w:rPr>
                <w:rFonts w:asciiTheme="majorBidi" w:hAnsiTheme="majorBidi" w:cstheme="majorBidi"/>
                <w:lang w:val="en-US"/>
              </w:rPr>
            </w:pPr>
            <w:r w:rsidRPr="000F4BE9">
              <w:rPr>
                <w:rFonts w:asciiTheme="majorBidi" w:hAnsiTheme="majorBidi" w:cstheme="majorBidi"/>
                <w:lang w:val="en-US"/>
              </w:rPr>
              <w:t>484.38</w:t>
            </w:r>
          </w:p>
        </w:tc>
        <w:tc>
          <w:tcPr>
            <w:tcW w:w="1402" w:type="dxa"/>
            <w:tcBorders>
              <w:top w:val="nil"/>
              <w:left w:val="single" w:sz="4" w:space="0" w:color="auto"/>
              <w:bottom w:val="single" w:sz="8" w:space="0" w:color="auto"/>
              <w:right w:val="single" w:sz="8" w:space="0" w:color="auto"/>
            </w:tcBorders>
            <w:hideMark/>
          </w:tcPr>
          <w:p w14:paraId="5BFE770E" w14:textId="27CBF7AB" w:rsidR="00BD2E05" w:rsidRPr="000F4BE9" w:rsidRDefault="00BD2E05" w:rsidP="00A366CD">
            <w:pPr>
              <w:jc w:val="center"/>
              <w:rPr>
                <w:rFonts w:asciiTheme="majorBidi" w:hAnsiTheme="majorBidi" w:cstheme="majorBidi"/>
              </w:rPr>
            </w:pPr>
            <w:r w:rsidRPr="000F4BE9">
              <w:rPr>
                <w:rFonts w:asciiTheme="majorBidi" w:hAnsiTheme="majorBidi" w:cstheme="majorBidi"/>
                <w:lang w:val="en-US"/>
              </w:rPr>
              <w:t>50</w:t>
            </w:r>
            <w:r w:rsidR="00287A25" w:rsidRPr="000F4BE9">
              <w:rPr>
                <w:rFonts w:asciiTheme="majorBidi" w:hAnsiTheme="majorBidi" w:cstheme="majorBidi"/>
                <w:lang w:val="en-US"/>
              </w:rPr>
              <w:t>2</w:t>
            </w:r>
          </w:p>
        </w:tc>
      </w:tr>
    </w:tbl>
    <w:p w14:paraId="0B9AB2F8" w14:textId="77777777" w:rsidR="00084BD0" w:rsidRPr="000F4BE9" w:rsidRDefault="00084BD0" w:rsidP="00084BD0">
      <w:pPr>
        <w:rPr>
          <w:rFonts w:asciiTheme="majorBidi" w:hAnsiTheme="majorBidi" w:cstheme="majorBidi"/>
        </w:rPr>
      </w:pPr>
      <w:r w:rsidRPr="000F4BE9">
        <w:rPr>
          <w:rFonts w:asciiTheme="majorBidi" w:hAnsiTheme="majorBidi" w:cstheme="majorBidi"/>
          <w:lang w:val="en-US"/>
        </w:rPr>
        <w:t> </w:t>
      </w:r>
    </w:p>
    <w:p w14:paraId="48D08373" w14:textId="3F9E79E3" w:rsidR="00084BD0" w:rsidRPr="000F4BE9" w:rsidRDefault="00084BD0" w:rsidP="001C3520">
      <w:pPr>
        <w:rPr>
          <w:rFonts w:asciiTheme="majorBidi" w:hAnsiTheme="majorBidi" w:cstheme="majorBidi"/>
          <w:lang w:val="en-US"/>
        </w:rPr>
      </w:pPr>
      <w:r w:rsidRPr="000F4BE9">
        <w:rPr>
          <w:rFonts w:asciiTheme="majorBidi" w:hAnsiTheme="majorBidi" w:cstheme="majorBidi"/>
          <w:b/>
          <w:bCs/>
          <w:lang w:val="en-US"/>
        </w:rPr>
        <w:t>Table S2</w:t>
      </w:r>
      <w:r w:rsidRPr="000F4BE9">
        <w:rPr>
          <w:rFonts w:asciiTheme="majorBidi" w:hAnsiTheme="majorBidi" w:cstheme="majorBidi"/>
          <w:lang w:val="en-US"/>
        </w:rPr>
        <w:t xml:space="preserve"> : Basis </w:t>
      </w:r>
      <w:r w:rsidR="001C3520" w:rsidRPr="000F4BE9">
        <w:rPr>
          <w:rFonts w:asciiTheme="majorBidi" w:hAnsiTheme="majorBidi" w:cstheme="majorBidi"/>
          <w:lang w:val="en-US"/>
        </w:rPr>
        <w:t>s</w:t>
      </w:r>
      <w:r w:rsidRPr="000F4BE9">
        <w:rPr>
          <w:rFonts w:asciiTheme="majorBidi" w:hAnsiTheme="majorBidi" w:cstheme="majorBidi"/>
          <w:lang w:val="en-US"/>
        </w:rPr>
        <w:t xml:space="preserve">et </w:t>
      </w:r>
      <w:r w:rsidR="00CC278E" w:rsidRPr="000F4BE9">
        <w:rPr>
          <w:rFonts w:asciiTheme="majorBidi" w:hAnsiTheme="majorBidi" w:cstheme="majorBidi"/>
          <w:lang w:val="en-US"/>
        </w:rPr>
        <w:t>e</w:t>
      </w:r>
      <w:r w:rsidRPr="000F4BE9">
        <w:rPr>
          <w:rFonts w:asciiTheme="majorBidi" w:hAnsiTheme="majorBidi" w:cstheme="majorBidi"/>
          <w:lang w:val="en-US"/>
        </w:rPr>
        <w:t xml:space="preserve">ffect on </w:t>
      </w:r>
      <m:oMath>
        <m:sSubSup>
          <m:sSubSupPr>
            <m:ctrlPr>
              <w:rPr>
                <w:rFonts w:ascii="Cambria Math" w:hAnsi="Cambria Math" w:cstheme="majorBidi"/>
              </w:rPr>
            </m:ctrlPr>
          </m:sSubSupPr>
          <m:e>
            <m:r>
              <w:rPr>
                <w:rFonts w:ascii="Cambria Math" w:hAnsi="Cambria Math" w:cstheme="majorBidi"/>
              </w:rPr>
              <m:t>λ</m:t>
            </m:r>
          </m:e>
          <m:sub>
            <m:r>
              <w:rPr>
                <w:rFonts w:ascii="Cambria Math" w:hAnsi="Cambria Math" w:cstheme="majorBidi"/>
              </w:rPr>
              <m:t>Max</m:t>
            </m:r>
          </m:sub>
          <m:sup>
            <m:r>
              <w:rPr>
                <w:rFonts w:ascii="Cambria Math" w:hAnsi="Cambria Math" w:cstheme="majorBidi"/>
                <w:lang w:val="en-US"/>
              </w:rPr>
              <m:t xml:space="preserve"> </m:t>
            </m:r>
          </m:sup>
        </m:sSubSup>
      </m:oMath>
      <w:r w:rsidR="001C3520" w:rsidRPr="000F4BE9">
        <w:rPr>
          <w:rFonts w:asciiTheme="majorBidi" w:hAnsiTheme="majorBidi" w:cstheme="majorBidi"/>
          <w:lang w:val="en-US"/>
        </w:rPr>
        <w:t xml:space="preserve"> </w:t>
      </w:r>
      <w:r w:rsidRPr="000F4BE9">
        <w:rPr>
          <w:rFonts w:asciiTheme="majorBidi" w:hAnsiTheme="majorBidi" w:cstheme="majorBidi"/>
          <w:lang w:val="en-US"/>
        </w:rPr>
        <w:t>with CAM-3BLYP functional in Toluene.</w:t>
      </w:r>
    </w:p>
    <w:tbl>
      <w:tblPr>
        <w:tblStyle w:val="Grilledutableau"/>
        <w:tblW w:w="906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93"/>
        <w:gridCol w:w="1475"/>
        <w:gridCol w:w="1492"/>
        <w:gridCol w:w="1531"/>
        <w:gridCol w:w="1569"/>
        <w:gridCol w:w="1402"/>
      </w:tblGrid>
      <w:tr w:rsidR="00084BD0" w:rsidRPr="000F4BE9" w14:paraId="2C0D219B" w14:textId="77777777" w:rsidTr="004D609F">
        <w:trPr>
          <w:trHeight w:val="339"/>
        </w:trPr>
        <w:tc>
          <w:tcPr>
            <w:tcW w:w="1610" w:type="dxa"/>
            <w:tcBorders>
              <w:top w:val="single" w:sz="8" w:space="0" w:color="auto"/>
              <w:left w:val="single" w:sz="8" w:space="0" w:color="auto"/>
              <w:bottom w:val="single" w:sz="8" w:space="0" w:color="auto"/>
              <w:right w:val="single" w:sz="8" w:space="0" w:color="auto"/>
            </w:tcBorders>
            <w:hideMark/>
          </w:tcPr>
          <w:p w14:paraId="024FA4D4" w14:textId="77777777" w:rsidR="00084BD0" w:rsidRPr="000F4BE9" w:rsidRDefault="00084BD0">
            <w:pPr>
              <w:rPr>
                <w:rFonts w:asciiTheme="majorBidi" w:hAnsiTheme="majorBidi" w:cstheme="majorBidi"/>
              </w:rPr>
            </w:pPr>
            <w:r w:rsidRPr="000F4BE9">
              <w:rPr>
                <w:rFonts w:asciiTheme="majorBidi" w:hAnsiTheme="majorBidi" w:cstheme="majorBidi"/>
                <w:lang w:val="en-US"/>
              </w:rPr>
              <w:t xml:space="preserve">Basis set </w:t>
            </w:r>
          </w:p>
        </w:tc>
        <w:tc>
          <w:tcPr>
            <w:tcW w:w="1502" w:type="dxa"/>
            <w:tcBorders>
              <w:top w:val="single" w:sz="8" w:space="0" w:color="auto"/>
              <w:left w:val="nil"/>
              <w:bottom w:val="single" w:sz="8" w:space="0" w:color="auto"/>
              <w:right w:val="single" w:sz="8" w:space="0" w:color="auto"/>
            </w:tcBorders>
            <w:hideMark/>
          </w:tcPr>
          <w:p w14:paraId="44730885" w14:textId="66E4477D" w:rsidR="00084BD0" w:rsidRPr="000F4BE9" w:rsidRDefault="00084BD0" w:rsidP="003A0BF3">
            <w:pPr>
              <w:jc w:val="center"/>
              <w:rPr>
                <w:rFonts w:asciiTheme="majorBidi" w:hAnsiTheme="majorBidi" w:cstheme="majorBidi"/>
                <w:lang w:val="en-US"/>
              </w:rPr>
            </w:pPr>
            <w:r w:rsidRPr="000F4BE9">
              <w:rPr>
                <w:rFonts w:asciiTheme="majorBidi" w:hAnsiTheme="majorBidi" w:cstheme="majorBidi"/>
                <w:lang w:val="en-US"/>
              </w:rPr>
              <w:t>6-31</w:t>
            </w:r>
            <w:r w:rsidR="00B14CF7" w:rsidRPr="000F4BE9">
              <w:rPr>
                <w:rFonts w:asciiTheme="majorBidi" w:hAnsiTheme="majorBidi" w:cstheme="majorBidi"/>
                <w:lang w:val="en-US"/>
              </w:rPr>
              <w:t>G</w:t>
            </w:r>
          </w:p>
        </w:tc>
        <w:tc>
          <w:tcPr>
            <w:tcW w:w="1511" w:type="dxa"/>
            <w:tcBorders>
              <w:top w:val="single" w:sz="8" w:space="0" w:color="auto"/>
              <w:left w:val="nil"/>
              <w:bottom w:val="single" w:sz="8" w:space="0" w:color="auto"/>
              <w:right w:val="single" w:sz="8" w:space="0" w:color="auto"/>
            </w:tcBorders>
            <w:hideMark/>
          </w:tcPr>
          <w:p w14:paraId="0C1AB64E" w14:textId="5E977A3F" w:rsidR="00084BD0" w:rsidRPr="000F4BE9" w:rsidRDefault="00084BD0" w:rsidP="003A0BF3">
            <w:pPr>
              <w:jc w:val="center"/>
              <w:rPr>
                <w:rFonts w:asciiTheme="majorBidi" w:hAnsiTheme="majorBidi" w:cstheme="majorBidi"/>
                <w:lang w:val="en-US"/>
              </w:rPr>
            </w:pPr>
            <w:r w:rsidRPr="000F4BE9">
              <w:rPr>
                <w:rFonts w:asciiTheme="majorBidi" w:hAnsiTheme="majorBidi" w:cstheme="majorBidi"/>
                <w:lang w:val="en-US"/>
              </w:rPr>
              <w:t>6-31</w:t>
            </w:r>
            <w:r w:rsidR="00B14CF7" w:rsidRPr="000F4BE9">
              <w:rPr>
                <w:rFonts w:asciiTheme="majorBidi" w:hAnsiTheme="majorBidi" w:cstheme="majorBidi"/>
                <w:lang w:val="en-US"/>
              </w:rPr>
              <w:t>G</w:t>
            </w:r>
            <w:r w:rsidRPr="000F4BE9">
              <w:rPr>
                <w:rFonts w:asciiTheme="majorBidi" w:hAnsiTheme="majorBidi" w:cstheme="majorBidi"/>
                <w:lang w:val="en-US"/>
              </w:rPr>
              <w:t>(d,p)</w:t>
            </w:r>
          </w:p>
        </w:tc>
        <w:tc>
          <w:tcPr>
            <w:tcW w:w="1547" w:type="dxa"/>
            <w:tcBorders>
              <w:top w:val="single" w:sz="8" w:space="0" w:color="auto"/>
              <w:left w:val="nil"/>
              <w:bottom w:val="single" w:sz="8" w:space="0" w:color="auto"/>
              <w:right w:val="single" w:sz="8" w:space="0" w:color="auto"/>
            </w:tcBorders>
            <w:hideMark/>
          </w:tcPr>
          <w:p w14:paraId="77D08C99" w14:textId="7439BC0B" w:rsidR="00084BD0" w:rsidRPr="000F4BE9" w:rsidRDefault="00084BD0" w:rsidP="003A0BF3">
            <w:pPr>
              <w:jc w:val="center"/>
              <w:rPr>
                <w:rFonts w:asciiTheme="majorBidi" w:hAnsiTheme="majorBidi" w:cstheme="majorBidi"/>
                <w:lang w:val="en-US"/>
              </w:rPr>
            </w:pPr>
            <w:r w:rsidRPr="000F4BE9">
              <w:rPr>
                <w:rFonts w:asciiTheme="majorBidi" w:hAnsiTheme="majorBidi" w:cstheme="majorBidi"/>
                <w:lang w:val="en-US"/>
              </w:rPr>
              <w:t>6-31</w:t>
            </w:r>
            <w:r w:rsidR="00B14CF7" w:rsidRPr="000F4BE9">
              <w:rPr>
                <w:rFonts w:asciiTheme="majorBidi" w:hAnsiTheme="majorBidi" w:cstheme="majorBidi"/>
                <w:lang w:val="en-US"/>
              </w:rPr>
              <w:t>G</w:t>
            </w:r>
            <w:r w:rsidRPr="000F4BE9">
              <w:rPr>
                <w:rFonts w:asciiTheme="majorBidi" w:hAnsiTheme="majorBidi" w:cstheme="majorBidi"/>
                <w:lang w:val="en-US"/>
              </w:rPr>
              <w:t>(d,p)+</w:t>
            </w:r>
          </w:p>
        </w:tc>
        <w:tc>
          <w:tcPr>
            <w:tcW w:w="1581" w:type="dxa"/>
            <w:tcBorders>
              <w:top w:val="single" w:sz="8" w:space="0" w:color="auto"/>
              <w:left w:val="nil"/>
              <w:bottom w:val="single" w:sz="8" w:space="0" w:color="auto"/>
              <w:right w:val="single" w:sz="8" w:space="0" w:color="auto"/>
            </w:tcBorders>
            <w:hideMark/>
          </w:tcPr>
          <w:p w14:paraId="16AEC79D" w14:textId="65EFE72F" w:rsidR="00084BD0" w:rsidRPr="000F4BE9" w:rsidRDefault="00084BD0" w:rsidP="003A0BF3">
            <w:pPr>
              <w:jc w:val="center"/>
              <w:rPr>
                <w:rFonts w:asciiTheme="majorBidi" w:hAnsiTheme="majorBidi" w:cstheme="majorBidi"/>
                <w:lang w:val="en-US"/>
              </w:rPr>
            </w:pPr>
            <w:r w:rsidRPr="000F4BE9">
              <w:rPr>
                <w:rFonts w:asciiTheme="majorBidi" w:hAnsiTheme="majorBidi" w:cstheme="majorBidi"/>
                <w:lang w:val="en-US"/>
              </w:rPr>
              <w:t>6-31</w:t>
            </w:r>
            <w:r w:rsidR="00B14CF7" w:rsidRPr="000F4BE9">
              <w:rPr>
                <w:rFonts w:asciiTheme="majorBidi" w:hAnsiTheme="majorBidi" w:cstheme="majorBidi"/>
                <w:lang w:val="en-US"/>
              </w:rPr>
              <w:t>G</w:t>
            </w:r>
            <w:r w:rsidRPr="000F4BE9">
              <w:rPr>
                <w:rFonts w:asciiTheme="majorBidi" w:hAnsiTheme="majorBidi" w:cstheme="majorBidi"/>
                <w:lang w:val="en-US"/>
              </w:rPr>
              <w:t>(d,p)++</w:t>
            </w:r>
          </w:p>
        </w:tc>
        <w:tc>
          <w:tcPr>
            <w:tcW w:w="1311" w:type="dxa"/>
            <w:tcBorders>
              <w:top w:val="single" w:sz="8" w:space="0" w:color="auto"/>
              <w:left w:val="nil"/>
              <w:bottom w:val="single" w:sz="8" w:space="0" w:color="auto"/>
              <w:right w:val="single" w:sz="8" w:space="0" w:color="auto"/>
            </w:tcBorders>
            <w:hideMark/>
          </w:tcPr>
          <w:p w14:paraId="4A2C9997" w14:textId="3A1BB499" w:rsidR="00084BD0" w:rsidRPr="000F4BE9" w:rsidRDefault="00084BD0" w:rsidP="003A0BF3">
            <w:pPr>
              <w:jc w:val="center"/>
              <w:rPr>
                <w:rFonts w:asciiTheme="majorBidi" w:hAnsiTheme="majorBidi" w:cstheme="majorBidi"/>
                <w:lang w:val="en-US"/>
              </w:rPr>
            </w:pPr>
            <w:r w:rsidRPr="000F4BE9">
              <w:rPr>
                <w:rFonts w:asciiTheme="majorBidi" w:hAnsiTheme="majorBidi" w:cstheme="majorBidi"/>
                <w:lang w:val="en-US"/>
              </w:rPr>
              <w:t>Experimental</w:t>
            </w:r>
          </w:p>
        </w:tc>
      </w:tr>
      <w:tr w:rsidR="00084BD0" w:rsidRPr="000F4BE9" w14:paraId="6D7CD5A0" w14:textId="77777777" w:rsidTr="004D609F">
        <w:trPr>
          <w:trHeight w:val="347"/>
        </w:trPr>
        <w:tc>
          <w:tcPr>
            <w:tcW w:w="1610" w:type="dxa"/>
            <w:tcBorders>
              <w:top w:val="nil"/>
              <w:left w:val="single" w:sz="8" w:space="0" w:color="auto"/>
              <w:bottom w:val="single" w:sz="8" w:space="0" w:color="auto"/>
              <w:right w:val="single" w:sz="8" w:space="0" w:color="auto"/>
            </w:tcBorders>
            <w:hideMark/>
          </w:tcPr>
          <w:p w14:paraId="0ECEF26E" w14:textId="6CDC7D0A" w:rsidR="00084BD0" w:rsidRPr="000F4BE9" w:rsidRDefault="00084BD0">
            <w:pPr>
              <w:rPr>
                <w:rFonts w:asciiTheme="majorBidi" w:hAnsiTheme="majorBidi" w:cstheme="majorBidi"/>
                <w:lang w:val="en-US"/>
              </w:rPr>
            </w:pPr>
            <w:r w:rsidRPr="000F4BE9">
              <w:rPr>
                <w:rFonts w:asciiTheme="majorBidi" w:hAnsiTheme="majorBidi" w:cstheme="majorBidi"/>
                <w:noProof/>
                <w:lang w:eastAsia="fr-FR"/>
              </w:rPr>
              <w:drawing>
                <wp:inline distT="0" distB="0" distL="0" distR="0" wp14:anchorId="09F2719B" wp14:editId="67628339">
                  <wp:extent cx="609600" cy="1809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p>
        </w:tc>
        <w:tc>
          <w:tcPr>
            <w:tcW w:w="1502" w:type="dxa"/>
            <w:tcBorders>
              <w:top w:val="nil"/>
              <w:left w:val="nil"/>
              <w:bottom w:val="single" w:sz="8" w:space="0" w:color="auto"/>
              <w:right w:val="single" w:sz="8" w:space="0" w:color="auto"/>
            </w:tcBorders>
            <w:hideMark/>
          </w:tcPr>
          <w:p w14:paraId="34372580" w14:textId="77777777" w:rsidR="00084BD0" w:rsidRPr="000F4BE9" w:rsidRDefault="00084BD0" w:rsidP="003A0BF3">
            <w:pPr>
              <w:jc w:val="center"/>
              <w:rPr>
                <w:rFonts w:asciiTheme="majorBidi" w:hAnsiTheme="majorBidi" w:cstheme="majorBidi"/>
                <w:lang w:val="en-US"/>
              </w:rPr>
            </w:pPr>
            <w:r w:rsidRPr="000F4BE9">
              <w:rPr>
                <w:rFonts w:asciiTheme="majorBidi" w:hAnsiTheme="majorBidi" w:cstheme="majorBidi"/>
                <w:lang w:val="en-US"/>
              </w:rPr>
              <w:t>487.04</w:t>
            </w:r>
          </w:p>
        </w:tc>
        <w:tc>
          <w:tcPr>
            <w:tcW w:w="1511" w:type="dxa"/>
            <w:tcBorders>
              <w:top w:val="nil"/>
              <w:left w:val="nil"/>
              <w:bottom w:val="single" w:sz="8" w:space="0" w:color="auto"/>
              <w:right w:val="single" w:sz="8" w:space="0" w:color="auto"/>
            </w:tcBorders>
            <w:hideMark/>
          </w:tcPr>
          <w:p w14:paraId="42A67A8A" w14:textId="77777777" w:rsidR="00084BD0" w:rsidRPr="000F4BE9" w:rsidRDefault="00084BD0" w:rsidP="003A0BF3">
            <w:pPr>
              <w:jc w:val="center"/>
              <w:rPr>
                <w:rFonts w:asciiTheme="majorBidi" w:hAnsiTheme="majorBidi" w:cstheme="majorBidi"/>
                <w:lang w:val="en-US"/>
              </w:rPr>
            </w:pPr>
            <w:r w:rsidRPr="000F4BE9">
              <w:rPr>
                <w:rFonts w:asciiTheme="majorBidi" w:hAnsiTheme="majorBidi" w:cstheme="majorBidi"/>
                <w:lang w:val="en-US"/>
              </w:rPr>
              <w:t>497.16</w:t>
            </w:r>
          </w:p>
        </w:tc>
        <w:tc>
          <w:tcPr>
            <w:tcW w:w="1547" w:type="dxa"/>
            <w:tcBorders>
              <w:top w:val="nil"/>
              <w:left w:val="nil"/>
              <w:bottom w:val="single" w:sz="8" w:space="0" w:color="auto"/>
              <w:right w:val="single" w:sz="8" w:space="0" w:color="auto"/>
            </w:tcBorders>
            <w:hideMark/>
          </w:tcPr>
          <w:p w14:paraId="07B7CE36" w14:textId="77777777" w:rsidR="00084BD0" w:rsidRPr="000F4BE9" w:rsidRDefault="00084BD0" w:rsidP="003A0BF3">
            <w:pPr>
              <w:jc w:val="center"/>
              <w:rPr>
                <w:rFonts w:asciiTheme="majorBidi" w:hAnsiTheme="majorBidi" w:cstheme="majorBidi"/>
                <w:lang w:val="en-US"/>
              </w:rPr>
            </w:pPr>
            <w:r w:rsidRPr="000F4BE9">
              <w:rPr>
                <w:rFonts w:asciiTheme="majorBidi" w:hAnsiTheme="majorBidi" w:cstheme="majorBidi"/>
                <w:lang w:val="en-US"/>
              </w:rPr>
              <w:t>510.19</w:t>
            </w:r>
          </w:p>
        </w:tc>
        <w:tc>
          <w:tcPr>
            <w:tcW w:w="1581" w:type="dxa"/>
            <w:tcBorders>
              <w:top w:val="nil"/>
              <w:left w:val="nil"/>
              <w:bottom w:val="single" w:sz="8" w:space="0" w:color="auto"/>
              <w:right w:val="single" w:sz="8" w:space="0" w:color="auto"/>
            </w:tcBorders>
            <w:hideMark/>
          </w:tcPr>
          <w:p w14:paraId="316EAB6F" w14:textId="77777777" w:rsidR="00084BD0" w:rsidRPr="000F4BE9" w:rsidRDefault="00084BD0" w:rsidP="003A0BF3">
            <w:pPr>
              <w:jc w:val="center"/>
              <w:rPr>
                <w:rFonts w:asciiTheme="majorBidi" w:hAnsiTheme="majorBidi" w:cstheme="majorBidi"/>
                <w:lang w:val="en-US"/>
              </w:rPr>
            </w:pPr>
            <w:r w:rsidRPr="000F4BE9">
              <w:rPr>
                <w:rFonts w:asciiTheme="majorBidi" w:hAnsiTheme="majorBidi" w:cstheme="majorBidi"/>
                <w:lang w:val="en-US"/>
              </w:rPr>
              <w:t>510.22</w:t>
            </w:r>
          </w:p>
        </w:tc>
        <w:tc>
          <w:tcPr>
            <w:tcW w:w="1311" w:type="dxa"/>
            <w:tcBorders>
              <w:top w:val="nil"/>
              <w:left w:val="nil"/>
              <w:bottom w:val="single" w:sz="8" w:space="0" w:color="auto"/>
              <w:right w:val="single" w:sz="8" w:space="0" w:color="auto"/>
            </w:tcBorders>
            <w:hideMark/>
          </w:tcPr>
          <w:p w14:paraId="7DB3958A" w14:textId="476BA389" w:rsidR="00084BD0" w:rsidRPr="000F4BE9" w:rsidRDefault="00084BD0" w:rsidP="003A0BF3">
            <w:pPr>
              <w:jc w:val="center"/>
              <w:rPr>
                <w:rFonts w:asciiTheme="majorBidi" w:hAnsiTheme="majorBidi" w:cstheme="majorBidi"/>
                <w:lang w:val="en-US"/>
              </w:rPr>
            </w:pPr>
            <w:r w:rsidRPr="000F4BE9">
              <w:rPr>
                <w:rFonts w:asciiTheme="majorBidi" w:hAnsiTheme="majorBidi" w:cstheme="majorBidi"/>
                <w:lang w:val="en-US"/>
              </w:rPr>
              <w:t>50</w:t>
            </w:r>
            <w:r w:rsidR="00287A25" w:rsidRPr="000F4BE9">
              <w:rPr>
                <w:rFonts w:asciiTheme="majorBidi" w:hAnsiTheme="majorBidi" w:cstheme="majorBidi"/>
                <w:lang w:val="en-US"/>
              </w:rPr>
              <w:t>2</w:t>
            </w:r>
          </w:p>
        </w:tc>
      </w:tr>
    </w:tbl>
    <w:p w14:paraId="691C5D20" w14:textId="4703286A" w:rsidR="00084BD0" w:rsidRDefault="00084BD0" w:rsidP="00084BD0">
      <w:pPr>
        <w:rPr>
          <w:rFonts w:asciiTheme="majorBidi" w:hAnsiTheme="majorBidi" w:cstheme="majorBidi"/>
          <w:lang w:val="en-US"/>
        </w:rPr>
      </w:pPr>
      <w:r w:rsidRPr="000F4BE9">
        <w:rPr>
          <w:rFonts w:asciiTheme="majorBidi" w:hAnsiTheme="majorBidi" w:cstheme="majorBidi"/>
          <w:lang w:val="en-US"/>
        </w:rPr>
        <w:t> </w:t>
      </w:r>
    </w:p>
    <w:p w14:paraId="5F323A61" w14:textId="24F68D35" w:rsidR="00765467" w:rsidRDefault="00765467" w:rsidP="00084BD0">
      <w:pPr>
        <w:rPr>
          <w:rFonts w:asciiTheme="majorBidi" w:hAnsiTheme="majorBidi" w:cstheme="majorBidi"/>
          <w:lang w:val="en-US"/>
        </w:rPr>
      </w:pPr>
    </w:p>
    <w:p w14:paraId="2193E84C" w14:textId="5973D4D7" w:rsidR="00765467" w:rsidRDefault="00765467" w:rsidP="00084BD0">
      <w:pPr>
        <w:rPr>
          <w:rFonts w:asciiTheme="majorBidi" w:hAnsiTheme="majorBidi" w:cstheme="majorBidi"/>
          <w:lang w:val="en-US"/>
        </w:rPr>
      </w:pPr>
    </w:p>
    <w:p w14:paraId="4BB93065" w14:textId="64A050E7" w:rsidR="00765467" w:rsidRDefault="00765467" w:rsidP="00084BD0">
      <w:pPr>
        <w:rPr>
          <w:rFonts w:asciiTheme="majorBidi" w:hAnsiTheme="majorBidi" w:cstheme="majorBidi"/>
          <w:lang w:val="en-US"/>
        </w:rPr>
      </w:pPr>
    </w:p>
    <w:p w14:paraId="754C9085" w14:textId="77777777" w:rsidR="00765467" w:rsidRPr="000F4BE9" w:rsidRDefault="00765467" w:rsidP="00084BD0">
      <w:pPr>
        <w:rPr>
          <w:rFonts w:asciiTheme="majorBidi" w:hAnsiTheme="majorBidi" w:cstheme="majorBidi"/>
          <w:lang w:val="en-US"/>
        </w:rPr>
      </w:pPr>
    </w:p>
    <w:p w14:paraId="5864C685" w14:textId="0D5986B4" w:rsidR="00A55443" w:rsidRPr="00F016E5" w:rsidRDefault="00A55443" w:rsidP="003C2C58">
      <w:pPr>
        <w:pStyle w:val="FIG"/>
        <w:ind w:firstLine="0"/>
        <w:jc w:val="both"/>
        <w:rPr>
          <w:szCs w:val="20"/>
          <w:lang w:val="en-GB"/>
        </w:rPr>
      </w:pPr>
      <w:bookmarkStart w:id="6" w:name="_Ref100505064"/>
      <w:r w:rsidRPr="00680CC9">
        <w:rPr>
          <w:b/>
          <w:bCs/>
          <w:szCs w:val="20"/>
          <w:lang w:val="en-GB"/>
        </w:rPr>
        <w:t xml:space="preserve">Table </w:t>
      </w:r>
      <w:bookmarkEnd w:id="6"/>
      <w:r w:rsidRPr="00B14CF7">
        <w:rPr>
          <w:b/>
          <w:bCs/>
          <w:szCs w:val="20"/>
          <w:lang w:val="en-US"/>
        </w:rPr>
        <w:t>S3</w:t>
      </w:r>
      <w:r w:rsidRPr="00680CC9">
        <w:rPr>
          <w:szCs w:val="20"/>
          <w:lang w:val="en-GB"/>
        </w:rPr>
        <w:t>: Values of the HOMO and LUMO energ</w:t>
      </w:r>
      <w:r w:rsidR="003C2C58">
        <w:rPr>
          <w:szCs w:val="20"/>
          <w:lang w:val="en-GB"/>
        </w:rPr>
        <w:t>ies</w:t>
      </w:r>
      <w:r w:rsidRPr="00680CC9">
        <w:rPr>
          <w:szCs w:val="20"/>
          <w:lang w:val="en-GB"/>
        </w:rPr>
        <w:t xml:space="preserve">, and </w:t>
      </w:r>
      <w:r w:rsidR="003C2C58">
        <w:rPr>
          <w:szCs w:val="20"/>
          <w:lang w:val="en-GB"/>
        </w:rPr>
        <w:t xml:space="preserve">the </w:t>
      </w:r>
      <w:r w:rsidRPr="00680CC9">
        <w:rPr>
          <w:szCs w:val="20"/>
          <w:lang w:val="en-GB"/>
        </w:rPr>
        <w:t>energy gap for the studied dyes</w:t>
      </w:r>
      <w:r w:rsidR="003C2C58">
        <w:rPr>
          <w:szCs w:val="20"/>
          <w:lang w:val="en-GB"/>
        </w:rPr>
        <w:t>, a</w:t>
      </w:r>
      <w:r w:rsidR="00B32795">
        <w:rPr>
          <w:szCs w:val="20"/>
          <w:lang w:val="en-GB"/>
        </w:rPr>
        <w:t>s calculated at the B3LYP/6-31G</w:t>
      </w:r>
      <w:r w:rsidRPr="00680CC9">
        <w:rPr>
          <w:szCs w:val="20"/>
          <w:lang w:val="en-GB"/>
        </w:rPr>
        <w:t>(d,p) level</w:t>
      </w:r>
    </w:p>
    <w:tbl>
      <w:tblPr>
        <w:tblStyle w:val="TableGrid"/>
        <w:tblW w:w="8645" w:type="dxa"/>
        <w:tblInd w:w="0" w:type="dxa"/>
        <w:tblLayout w:type="fixed"/>
        <w:tblCellMar>
          <w:top w:w="86" w:type="dxa"/>
          <w:bottom w:w="86" w:type="dxa"/>
          <w:right w:w="115" w:type="dxa"/>
        </w:tblCellMar>
        <w:tblLook w:val="04A0" w:firstRow="1" w:lastRow="0" w:firstColumn="1" w:lastColumn="0" w:noHBand="0" w:noVBand="1"/>
      </w:tblPr>
      <w:tblGrid>
        <w:gridCol w:w="1066"/>
        <w:gridCol w:w="185"/>
        <w:gridCol w:w="876"/>
        <w:gridCol w:w="1134"/>
        <w:gridCol w:w="1152"/>
        <w:gridCol w:w="595"/>
        <w:gridCol w:w="1229"/>
        <w:gridCol w:w="1276"/>
        <w:gridCol w:w="1132"/>
      </w:tblGrid>
      <w:tr w:rsidR="003E0B86" w:rsidRPr="009008FF" w14:paraId="6E0D356C" w14:textId="77777777" w:rsidTr="00336415">
        <w:trPr>
          <w:trHeight w:val="30"/>
        </w:trPr>
        <w:tc>
          <w:tcPr>
            <w:tcW w:w="1066" w:type="dxa"/>
            <w:vMerge w:val="restart"/>
            <w:tcBorders>
              <w:top w:val="single" w:sz="3" w:space="0" w:color="000000"/>
              <w:left w:val="nil"/>
              <w:right w:val="nil"/>
            </w:tcBorders>
          </w:tcPr>
          <w:p w14:paraId="688940C5" w14:textId="77777777" w:rsidR="003E0B86" w:rsidRPr="009008FF" w:rsidRDefault="003E0B86" w:rsidP="00336415">
            <w:pPr>
              <w:spacing w:line="259" w:lineRule="auto"/>
              <w:rPr>
                <w:b/>
                <w:bCs/>
                <w:lang w:val="en-GB"/>
              </w:rPr>
            </w:pPr>
            <w:bookmarkStart w:id="7" w:name="_Hlk100143549"/>
            <w:r w:rsidRPr="009008FF">
              <w:rPr>
                <w:b/>
                <w:bCs/>
                <w:lang w:val="en-GB"/>
              </w:rPr>
              <w:t xml:space="preserve">Dye </w:t>
            </w:r>
          </w:p>
        </w:tc>
        <w:tc>
          <w:tcPr>
            <w:tcW w:w="3347" w:type="dxa"/>
            <w:gridSpan w:val="4"/>
            <w:tcBorders>
              <w:top w:val="single" w:sz="3" w:space="0" w:color="000000"/>
              <w:left w:val="nil"/>
              <w:bottom w:val="single" w:sz="3" w:space="0" w:color="000000"/>
              <w:right w:val="nil"/>
            </w:tcBorders>
          </w:tcPr>
          <w:p w14:paraId="7486BBCD" w14:textId="77777777" w:rsidR="003E0B86" w:rsidRPr="00931EAD" w:rsidRDefault="003E0B86" w:rsidP="00336415">
            <w:pPr>
              <w:spacing w:line="259" w:lineRule="auto"/>
              <w:jc w:val="center"/>
              <w:rPr>
                <w:rFonts w:ascii="Times New Roman" w:hAnsi="Times New Roman" w:cs="Times New Roman"/>
                <w:b/>
                <w:bCs/>
                <w:szCs w:val="24"/>
                <w:lang w:val="en-GB"/>
              </w:rPr>
            </w:pPr>
            <w:r w:rsidRPr="00931EAD">
              <w:rPr>
                <w:rFonts w:ascii="Times New Roman" w:hAnsi="Times New Roman" w:cs="Times New Roman"/>
                <w:b/>
                <w:bCs/>
                <w:szCs w:val="24"/>
                <w:lang w:val="en-GB"/>
              </w:rPr>
              <w:t>Gas</w:t>
            </w:r>
          </w:p>
        </w:tc>
        <w:tc>
          <w:tcPr>
            <w:tcW w:w="595" w:type="dxa"/>
            <w:vMerge w:val="restart"/>
            <w:tcBorders>
              <w:top w:val="single" w:sz="3" w:space="0" w:color="000000"/>
              <w:left w:val="nil"/>
              <w:right w:val="nil"/>
            </w:tcBorders>
          </w:tcPr>
          <w:p w14:paraId="6FDF9970" w14:textId="77777777" w:rsidR="003E0B86" w:rsidRPr="00931EAD" w:rsidRDefault="003E0B86" w:rsidP="00336415">
            <w:pPr>
              <w:spacing w:line="259" w:lineRule="auto"/>
              <w:rPr>
                <w:rFonts w:ascii="Times New Roman" w:hAnsi="Times New Roman" w:cs="Times New Roman"/>
                <w:szCs w:val="24"/>
                <w:lang w:val="en-GB"/>
              </w:rPr>
            </w:pPr>
          </w:p>
        </w:tc>
        <w:tc>
          <w:tcPr>
            <w:tcW w:w="3637" w:type="dxa"/>
            <w:gridSpan w:val="3"/>
            <w:tcBorders>
              <w:top w:val="single" w:sz="3" w:space="0" w:color="000000"/>
              <w:left w:val="nil"/>
              <w:bottom w:val="single" w:sz="3" w:space="0" w:color="000000"/>
              <w:right w:val="nil"/>
            </w:tcBorders>
          </w:tcPr>
          <w:p w14:paraId="700E422A" w14:textId="77777777" w:rsidR="003E0B86" w:rsidRPr="00931EAD" w:rsidRDefault="003E0B86" w:rsidP="00336415">
            <w:pPr>
              <w:spacing w:line="259" w:lineRule="auto"/>
              <w:jc w:val="center"/>
              <w:rPr>
                <w:rFonts w:ascii="Times New Roman" w:hAnsi="Times New Roman" w:cs="Times New Roman"/>
                <w:b/>
                <w:bCs/>
                <w:szCs w:val="24"/>
                <w:lang w:val="en-GB"/>
              </w:rPr>
            </w:pPr>
            <w:r w:rsidRPr="00931EAD">
              <w:rPr>
                <w:rFonts w:ascii="Times New Roman" w:hAnsi="Times New Roman" w:cs="Times New Roman"/>
                <w:b/>
                <w:bCs/>
                <w:szCs w:val="24"/>
              </w:rPr>
              <w:t>Toluene</w:t>
            </w:r>
          </w:p>
        </w:tc>
      </w:tr>
      <w:tr w:rsidR="003E0B86" w:rsidRPr="009008FF" w14:paraId="1018F448" w14:textId="77777777" w:rsidTr="00336415">
        <w:trPr>
          <w:trHeight w:val="61"/>
        </w:trPr>
        <w:tc>
          <w:tcPr>
            <w:tcW w:w="1066" w:type="dxa"/>
            <w:vMerge/>
            <w:tcBorders>
              <w:left w:val="nil"/>
              <w:bottom w:val="single" w:sz="3" w:space="0" w:color="000000"/>
              <w:right w:val="nil"/>
            </w:tcBorders>
            <w:vAlign w:val="bottom"/>
          </w:tcPr>
          <w:p w14:paraId="0BC76D4B" w14:textId="77777777" w:rsidR="003E0B86" w:rsidRPr="009008FF" w:rsidRDefault="003E0B86" w:rsidP="00336415">
            <w:pPr>
              <w:spacing w:line="259" w:lineRule="auto"/>
              <w:ind w:left="120"/>
              <w:rPr>
                <w:lang w:val="en-GB"/>
              </w:rPr>
            </w:pPr>
          </w:p>
        </w:tc>
        <w:tc>
          <w:tcPr>
            <w:tcW w:w="1061" w:type="dxa"/>
            <w:gridSpan w:val="2"/>
            <w:tcBorders>
              <w:top w:val="single" w:sz="3" w:space="0" w:color="000000"/>
              <w:left w:val="nil"/>
              <w:bottom w:val="single" w:sz="3" w:space="0" w:color="000000"/>
              <w:right w:val="nil"/>
            </w:tcBorders>
            <w:vAlign w:val="bottom"/>
          </w:tcPr>
          <w:p w14:paraId="7CB88FDD" w14:textId="77777777" w:rsidR="003E0B86" w:rsidRPr="009008FF" w:rsidRDefault="003E0B86" w:rsidP="00336415">
            <w:pPr>
              <w:spacing w:line="259" w:lineRule="auto"/>
              <w:rPr>
                <w:rFonts w:ascii="Cambria" w:eastAsia="Cambria" w:hAnsi="Cambria" w:cs="Cambria"/>
                <w:i/>
              </w:rPr>
            </w:pPr>
            <w:r w:rsidRPr="009008FF">
              <w:rPr>
                <w:rFonts w:ascii="Cambria" w:eastAsia="Cambria" w:hAnsi="Cambria" w:cs="Cambria"/>
                <w:i/>
              </w:rPr>
              <w:t>E</w:t>
            </w:r>
            <w:r w:rsidRPr="009008FF">
              <w:rPr>
                <w:rFonts w:ascii="Cambria" w:eastAsia="Cambria" w:hAnsi="Cambria" w:cs="Cambria"/>
                <w:i/>
                <w:vertAlign w:val="subscript"/>
              </w:rPr>
              <w:t>HOMO</w:t>
            </w:r>
            <w:r w:rsidRPr="009008FF">
              <w:t>(eV)</w:t>
            </w:r>
          </w:p>
        </w:tc>
        <w:tc>
          <w:tcPr>
            <w:tcW w:w="1134" w:type="dxa"/>
            <w:tcBorders>
              <w:top w:val="single" w:sz="3" w:space="0" w:color="000000"/>
              <w:left w:val="nil"/>
              <w:bottom w:val="single" w:sz="3" w:space="0" w:color="000000"/>
              <w:right w:val="nil"/>
            </w:tcBorders>
            <w:vAlign w:val="bottom"/>
          </w:tcPr>
          <w:p w14:paraId="4F740546" w14:textId="77777777" w:rsidR="003E0B86" w:rsidRPr="009008FF" w:rsidRDefault="003E0B86" w:rsidP="00336415">
            <w:pPr>
              <w:spacing w:line="259" w:lineRule="auto"/>
              <w:jc w:val="center"/>
              <w:rPr>
                <w:rFonts w:ascii="Cambria" w:eastAsia="Cambria" w:hAnsi="Cambria" w:cs="Cambria"/>
                <w:i/>
              </w:rPr>
            </w:pPr>
            <w:r w:rsidRPr="009008FF">
              <w:rPr>
                <w:rFonts w:ascii="Cambria" w:eastAsia="Cambria" w:hAnsi="Cambria" w:cs="Cambria"/>
                <w:i/>
              </w:rPr>
              <w:t>E</w:t>
            </w:r>
            <w:r w:rsidRPr="009008FF">
              <w:rPr>
                <w:rFonts w:ascii="Cambria" w:eastAsia="Cambria" w:hAnsi="Cambria" w:cs="Cambria"/>
                <w:i/>
                <w:vertAlign w:val="subscript"/>
              </w:rPr>
              <w:t xml:space="preserve">LUMO </w:t>
            </w:r>
            <w:r w:rsidRPr="009008FF">
              <w:t>(eV)</w:t>
            </w:r>
          </w:p>
        </w:tc>
        <w:tc>
          <w:tcPr>
            <w:tcW w:w="1152" w:type="dxa"/>
            <w:tcBorders>
              <w:top w:val="single" w:sz="3" w:space="0" w:color="000000"/>
              <w:left w:val="nil"/>
              <w:bottom w:val="single" w:sz="3" w:space="0" w:color="000000"/>
              <w:right w:val="nil"/>
            </w:tcBorders>
            <w:vAlign w:val="bottom"/>
          </w:tcPr>
          <w:p w14:paraId="30FB2F2A" w14:textId="77777777" w:rsidR="003E0B86" w:rsidRPr="009008FF" w:rsidRDefault="003E0B86" w:rsidP="00336415">
            <w:pPr>
              <w:spacing w:line="259" w:lineRule="auto"/>
              <w:jc w:val="center"/>
              <w:rPr>
                <w:rFonts w:ascii="Cambria" w:eastAsia="Cambria" w:hAnsi="Cambria" w:cs="Cambria"/>
                <w:i/>
              </w:rPr>
            </w:pPr>
            <w:r w:rsidRPr="009008FF">
              <w:rPr>
                <w:rFonts w:ascii="Cambria" w:eastAsia="Cambria" w:hAnsi="Cambria" w:cs="Cambria"/>
                <w:i/>
              </w:rPr>
              <w:t>E</w:t>
            </w:r>
            <w:r w:rsidRPr="009008FF">
              <w:rPr>
                <w:rFonts w:ascii="Cambria" w:eastAsia="Cambria" w:hAnsi="Cambria" w:cs="Cambria"/>
                <w:i/>
                <w:vertAlign w:val="subscript"/>
              </w:rPr>
              <w:t xml:space="preserve">gap </w:t>
            </w:r>
            <w:r w:rsidRPr="009008FF">
              <w:t>(eV)</w:t>
            </w:r>
          </w:p>
        </w:tc>
        <w:tc>
          <w:tcPr>
            <w:tcW w:w="595" w:type="dxa"/>
            <w:vMerge/>
            <w:tcBorders>
              <w:left w:val="nil"/>
              <w:bottom w:val="single" w:sz="3" w:space="0" w:color="000000"/>
              <w:right w:val="nil"/>
            </w:tcBorders>
          </w:tcPr>
          <w:p w14:paraId="2F4D24D7" w14:textId="77777777" w:rsidR="003E0B86" w:rsidRPr="009008FF" w:rsidRDefault="003E0B86" w:rsidP="00336415">
            <w:pPr>
              <w:spacing w:line="259" w:lineRule="auto"/>
              <w:rPr>
                <w:rFonts w:ascii="Cambria" w:eastAsia="Cambria" w:hAnsi="Cambria" w:cs="Cambria"/>
                <w:i/>
              </w:rPr>
            </w:pPr>
          </w:p>
        </w:tc>
        <w:tc>
          <w:tcPr>
            <w:tcW w:w="1229" w:type="dxa"/>
            <w:tcBorders>
              <w:top w:val="single" w:sz="3" w:space="0" w:color="000000"/>
              <w:left w:val="nil"/>
              <w:bottom w:val="single" w:sz="3" w:space="0" w:color="000000"/>
              <w:right w:val="nil"/>
            </w:tcBorders>
          </w:tcPr>
          <w:p w14:paraId="3D8B29FE" w14:textId="77777777" w:rsidR="003E0B86" w:rsidRPr="009008FF" w:rsidRDefault="003E0B86" w:rsidP="00336415">
            <w:pPr>
              <w:spacing w:line="259" w:lineRule="auto"/>
              <w:jc w:val="center"/>
              <w:rPr>
                <w:rFonts w:ascii="Cambria" w:eastAsia="Cambria" w:hAnsi="Cambria" w:cs="Cambria"/>
                <w:i/>
              </w:rPr>
            </w:pPr>
            <w:r w:rsidRPr="009008FF">
              <w:rPr>
                <w:rFonts w:ascii="Cambria" w:eastAsia="Cambria" w:hAnsi="Cambria" w:cs="Cambria"/>
                <w:i/>
              </w:rPr>
              <w:t>E</w:t>
            </w:r>
            <w:r w:rsidRPr="009008FF">
              <w:rPr>
                <w:rFonts w:ascii="Cambria" w:eastAsia="Cambria" w:hAnsi="Cambria" w:cs="Cambria"/>
                <w:i/>
                <w:vertAlign w:val="subscript"/>
              </w:rPr>
              <w:t>HOMO</w:t>
            </w:r>
            <w:r w:rsidRPr="009008FF">
              <w:t>(eV)</w:t>
            </w:r>
          </w:p>
        </w:tc>
        <w:tc>
          <w:tcPr>
            <w:tcW w:w="1276" w:type="dxa"/>
            <w:tcBorders>
              <w:top w:val="single" w:sz="3" w:space="0" w:color="000000"/>
              <w:left w:val="nil"/>
              <w:bottom w:val="single" w:sz="3" w:space="0" w:color="000000"/>
              <w:right w:val="nil"/>
            </w:tcBorders>
          </w:tcPr>
          <w:p w14:paraId="1ED6BF9B" w14:textId="77777777" w:rsidR="003E0B86" w:rsidRPr="009008FF" w:rsidRDefault="003E0B86" w:rsidP="00336415">
            <w:pPr>
              <w:spacing w:line="259" w:lineRule="auto"/>
              <w:jc w:val="center"/>
              <w:rPr>
                <w:rFonts w:ascii="Cambria" w:eastAsia="Cambria" w:hAnsi="Cambria" w:cs="Cambria"/>
                <w:i/>
              </w:rPr>
            </w:pPr>
            <w:r w:rsidRPr="009008FF">
              <w:rPr>
                <w:rFonts w:ascii="Cambria" w:eastAsia="Cambria" w:hAnsi="Cambria" w:cs="Cambria"/>
                <w:i/>
              </w:rPr>
              <w:t>E</w:t>
            </w:r>
            <w:r w:rsidRPr="009008FF">
              <w:rPr>
                <w:rFonts w:ascii="Cambria" w:eastAsia="Cambria" w:hAnsi="Cambria" w:cs="Cambria"/>
                <w:i/>
                <w:vertAlign w:val="subscript"/>
              </w:rPr>
              <w:t xml:space="preserve">LUMO </w:t>
            </w:r>
            <w:r w:rsidRPr="009008FF">
              <w:t>(eV)</w:t>
            </w:r>
          </w:p>
        </w:tc>
        <w:tc>
          <w:tcPr>
            <w:tcW w:w="1132" w:type="dxa"/>
            <w:tcBorders>
              <w:top w:val="single" w:sz="3" w:space="0" w:color="000000"/>
              <w:left w:val="nil"/>
              <w:bottom w:val="single" w:sz="3" w:space="0" w:color="000000"/>
              <w:right w:val="nil"/>
            </w:tcBorders>
          </w:tcPr>
          <w:p w14:paraId="2F8157FB" w14:textId="77777777" w:rsidR="003E0B86" w:rsidRPr="009008FF" w:rsidRDefault="003E0B86" w:rsidP="00336415">
            <w:pPr>
              <w:spacing w:line="259" w:lineRule="auto"/>
              <w:jc w:val="center"/>
              <w:rPr>
                <w:rFonts w:ascii="Cambria" w:eastAsia="Cambria" w:hAnsi="Cambria" w:cs="Cambria"/>
                <w:i/>
              </w:rPr>
            </w:pPr>
            <w:r w:rsidRPr="009008FF">
              <w:rPr>
                <w:rFonts w:ascii="Cambria" w:eastAsia="Cambria" w:hAnsi="Cambria" w:cs="Cambria"/>
                <w:i/>
              </w:rPr>
              <w:t>E</w:t>
            </w:r>
            <w:r w:rsidRPr="009008FF">
              <w:rPr>
                <w:rFonts w:ascii="Cambria" w:eastAsia="Cambria" w:hAnsi="Cambria" w:cs="Cambria"/>
                <w:i/>
                <w:vertAlign w:val="subscript"/>
              </w:rPr>
              <w:t xml:space="preserve">gap </w:t>
            </w:r>
            <w:r w:rsidRPr="009008FF">
              <w:t>(eV)</w:t>
            </w:r>
          </w:p>
        </w:tc>
      </w:tr>
      <w:tr w:rsidR="003E0B86" w:rsidRPr="009008FF" w14:paraId="71F59904" w14:textId="77777777" w:rsidTr="00336415">
        <w:trPr>
          <w:trHeight w:val="85"/>
        </w:trPr>
        <w:tc>
          <w:tcPr>
            <w:tcW w:w="1251" w:type="dxa"/>
            <w:gridSpan w:val="2"/>
            <w:tcBorders>
              <w:top w:val="single" w:sz="3" w:space="0" w:color="000000"/>
              <w:left w:val="nil"/>
              <w:bottom w:val="nil"/>
              <w:right w:val="nil"/>
            </w:tcBorders>
            <w:vAlign w:val="bottom"/>
          </w:tcPr>
          <w:p w14:paraId="28601532" w14:textId="77777777" w:rsidR="003E0B86" w:rsidRPr="009008FF" w:rsidRDefault="003E0B86" w:rsidP="00336415">
            <w:pPr>
              <w:spacing w:line="259" w:lineRule="auto"/>
              <w:ind w:left="120"/>
              <w:rPr>
                <w:rFonts w:ascii="Times New Roman" w:hAnsi="Times New Roman" w:cs="Times New Roman"/>
              </w:rPr>
            </w:pPr>
            <w:r w:rsidRPr="009008FF">
              <w:rPr>
                <w:rFonts w:ascii="Times New Roman" w:hAnsi="Times New Roman" w:cs="Times New Roman"/>
              </w:rPr>
              <w:t>D1</w:t>
            </w:r>
          </w:p>
        </w:tc>
        <w:tc>
          <w:tcPr>
            <w:tcW w:w="876" w:type="dxa"/>
            <w:tcBorders>
              <w:top w:val="single" w:sz="3" w:space="0" w:color="000000"/>
              <w:left w:val="nil"/>
              <w:bottom w:val="nil"/>
              <w:right w:val="nil"/>
            </w:tcBorders>
            <w:vAlign w:val="bottom"/>
          </w:tcPr>
          <w:p w14:paraId="0919EAFF" w14:textId="77777777" w:rsidR="003E0B86" w:rsidRPr="009008FF" w:rsidRDefault="003E0B86" w:rsidP="00336415">
            <w:pPr>
              <w:spacing w:line="259" w:lineRule="auto"/>
              <w:rPr>
                <w:rFonts w:ascii="Times New Roman" w:hAnsi="Times New Roman" w:cs="Times New Roman"/>
                <w:szCs w:val="20"/>
              </w:rPr>
            </w:pPr>
            <w:r w:rsidRPr="009008FF">
              <w:rPr>
                <w:rFonts w:ascii="Times New Roman" w:hAnsi="Times New Roman" w:cs="Times New Roman"/>
                <w:szCs w:val="20"/>
              </w:rPr>
              <w:t>-5</w:t>
            </w:r>
            <w:r>
              <w:rPr>
                <w:rFonts w:ascii="Times New Roman" w:hAnsi="Times New Roman" w:cs="Times New Roman"/>
                <w:szCs w:val="20"/>
              </w:rPr>
              <w:t>.</w:t>
            </w:r>
            <w:r w:rsidRPr="009008FF">
              <w:rPr>
                <w:rFonts w:ascii="Times New Roman" w:hAnsi="Times New Roman" w:cs="Times New Roman"/>
                <w:szCs w:val="20"/>
              </w:rPr>
              <w:t>3</w:t>
            </w:r>
            <w:r>
              <w:rPr>
                <w:rFonts w:ascii="Times New Roman" w:hAnsi="Times New Roman" w:cs="Times New Roman"/>
                <w:szCs w:val="20"/>
              </w:rPr>
              <w:t>6</w:t>
            </w:r>
          </w:p>
        </w:tc>
        <w:tc>
          <w:tcPr>
            <w:tcW w:w="1134" w:type="dxa"/>
            <w:tcBorders>
              <w:top w:val="single" w:sz="3" w:space="0" w:color="000000"/>
              <w:left w:val="nil"/>
              <w:bottom w:val="nil"/>
              <w:right w:val="nil"/>
            </w:tcBorders>
            <w:vAlign w:val="bottom"/>
          </w:tcPr>
          <w:p w14:paraId="4258E538" w14:textId="77777777" w:rsidR="003E0B86" w:rsidRPr="009008FF" w:rsidRDefault="003E0B86" w:rsidP="00336415">
            <w:pPr>
              <w:spacing w:line="259" w:lineRule="auto"/>
              <w:jc w:val="center"/>
              <w:rPr>
                <w:rFonts w:ascii="Times New Roman" w:hAnsi="Times New Roman" w:cs="Times New Roman"/>
                <w:szCs w:val="20"/>
              </w:rPr>
            </w:pPr>
            <w:r w:rsidRPr="009008FF">
              <w:rPr>
                <w:rFonts w:ascii="Times New Roman" w:hAnsi="Times New Roman" w:cs="Times New Roman"/>
                <w:szCs w:val="20"/>
              </w:rPr>
              <w:t>-2</w:t>
            </w:r>
            <w:r>
              <w:rPr>
                <w:rFonts w:ascii="Times New Roman" w:hAnsi="Times New Roman" w:cs="Times New Roman"/>
                <w:szCs w:val="20"/>
              </w:rPr>
              <w:t>.63</w:t>
            </w:r>
          </w:p>
        </w:tc>
        <w:tc>
          <w:tcPr>
            <w:tcW w:w="1152" w:type="dxa"/>
            <w:tcBorders>
              <w:top w:val="single" w:sz="3" w:space="0" w:color="000000"/>
              <w:left w:val="nil"/>
              <w:bottom w:val="nil"/>
              <w:right w:val="nil"/>
            </w:tcBorders>
            <w:vAlign w:val="bottom"/>
          </w:tcPr>
          <w:p w14:paraId="675E721A" w14:textId="77777777" w:rsidR="003E0B86" w:rsidRPr="009008FF" w:rsidRDefault="003E0B86" w:rsidP="00336415">
            <w:pPr>
              <w:spacing w:line="259" w:lineRule="auto"/>
              <w:jc w:val="center"/>
              <w:rPr>
                <w:rFonts w:ascii="Times New Roman" w:hAnsi="Times New Roman" w:cs="Times New Roman"/>
                <w:szCs w:val="20"/>
              </w:rPr>
            </w:pPr>
            <w:r w:rsidRPr="009008FF">
              <w:rPr>
                <w:rFonts w:ascii="Times New Roman" w:hAnsi="Times New Roman" w:cs="Times New Roman"/>
                <w:szCs w:val="20"/>
              </w:rPr>
              <w:t>2</w:t>
            </w:r>
            <w:r>
              <w:rPr>
                <w:rFonts w:ascii="Times New Roman" w:hAnsi="Times New Roman" w:cs="Times New Roman"/>
                <w:szCs w:val="20"/>
              </w:rPr>
              <w:t>.73</w:t>
            </w:r>
          </w:p>
        </w:tc>
        <w:tc>
          <w:tcPr>
            <w:tcW w:w="595" w:type="dxa"/>
            <w:tcBorders>
              <w:top w:val="single" w:sz="3" w:space="0" w:color="000000"/>
              <w:left w:val="nil"/>
              <w:bottom w:val="nil"/>
              <w:right w:val="nil"/>
            </w:tcBorders>
          </w:tcPr>
          <w:p w14:paraId="2D4C4AB4" w14:textId="77777777" w:rsidR="003E0B86" w:rsidRPr="009008FF" w:rsidRDefault="003E0B86" w:rsidP="00336415">
            <w:pPr>
              <w:spacing w:line="259" w:lineRule="auto"/>
              <w:rPr>
                <w:rFonts w:ascii="Times New Roman" w:hAnsi="Times New Roman" w:cs="Times New Roman"/>
                <w:szCs w:val="20"/>
              </w:rPr>
            </w:pPr>
          </w:p>
        </w:tc>
        <w:tc>
          <w:tcPr>
            <w:tcW w:w="1229" w:type="dxa"/>
            <w:tcBorders>
              <w:top w:val="single" w:sz="3" w:space="0" w:color="000000"/>
              <w:left w:val="nil"/>
              <w:bottom w:val="nil"/>
              <w:right w:val="nil"/>
            </w:tcBorders>
          </w:tcPr>
          <w:p w14:paraId="62DAAD83" w14:textId="77777777" w:rsidR="003E0B86" w:rsidRPr="009008FF" w:rsidRDefault="003E0B86" w:rsidP="00336415">
            <w:pPr>
              <w:spacing w:line="259" w:lineRule="auto"/>
              <w:jc w:val="center"/>
              <w:rPr>
                <w:rFonts w:ascii="Times New Roman" w:hAnsi="Times New Roman" w:cs="Times New Roman"/>
                <w:szCs w:val="20"/>
              </w:rPr>
            </w:pPr>
            <w:r w:rsidRPr="009008FF">
              <w:rPr>
                <w:rFonts w:ascii="Times New Roman" w:hAnsi="Times New Roman" w:cs="Times New Roman"/>
                <w:szCs w:val="20"/>
              </w:rPr>
              <w:t>-5</w:t>
            </w:r>
            <w:r>
              <w:rPr>
                <w:rFonts w:ascii="Times New Roman" w:hAnsi="Times New Roman" w:cs="Times New Roman"/>
                <w:szCs w:val="20"/>
              </w:rPr>
              <w:t>.39</w:t>
            </w:r>
          </w:p>
        </w:tc>
        <w:tc>
          <w:tcPr>
            <w:tcW w:w="1276" w:type="dxa"/>
            <w:tcBorders>
              <w:top w:val="single" w:sz="3" w:space="0" w:color="000000"/>
              <w:left w:val="nil"/>
              <w:bottom w:val="nil"/>
              <w:right w:val="nil"/>
            </w:tcBorders>
          </w:tcPr>
          <w:p w14:paraId="7A3F576C" w14:textId="77777777" w:rsidR="003E0B86" w:rsidRPr="009008FF" w:rsidRDefault="003E0B86" w:rsidP="00336415">
            <w:pPr>
              <w:spacing w:line="259" w:lineRule="auto"/>
              <w:jc w:val="center"/>
              <w:rPr>
                <w:rFonts w:ascii="Times New Roman" w:hAnsi="Times New Roman" w:cs="Times New Roman"/>
                <w:szCs w:val="20"/>
              </w:rPr>
            </w:pPr>
            <w:r w:rsidRPr="009008FF">
              <w:rPr>
                <w:rFonts w:ascii="Times New Roman" w:hAnsi="Times New Roman" w:cs="Times New Roman"/>
                <w:szCs w:val="20"/>
              </w:rPr>
              <w:t>-2</w:t>
            </w:r>
            <w:r>
              <w:rPr>
                <w:rFonts w:ascii="Times New Roman" w:hAnsi="Times New Roman" w:cs="Times New Roman"/>
                <w:szCs w:val="20"/>
              </w:rPr>
              <w:t>.71</w:t>
            </w:r>
          </w:p>
        </w:tc>
        <w:tc>
          <w:tcPr>
            <w:tcW w:w="1132" w:type="dxa"/>
            <w:tcBorders>
              <w:top w:val="single" w:sz="3" w:space="0" w:color="000000"/>
              <w:left w:val="nil"/>
              <w:bottom w:val="nil"/>
              <w:right w:val="nil"/>
            </w:tcBorders>
          </w:tcPr>
          <w:p w14:paraId="6B09CC75" w14:textId="77777777" w:rsidR="003E0B86" w:rsidRPr="009008FF" w:rsidRDefault="003E0B86" w:rsidP="00336415">
            <w:pPr>
              <w:spacing w:line="259" w:lineRule="auto"/>
              <w:jc w:val="center"/>
              <w:rPr>
                <w:rFonts w:ascii="Times New Roman" w:hAnsi="Times New Roman" w:cs="Times New Roman"/>
                <w:szCs w:val="20"/>
              </w:rPr>
            </w:pPr>
            <w:r w:rsidRPr="009008FF">
              <w:rPr>
                <w:rFonts w:ascii="Times New Roman" w:hAnsi="Times New Roman" w:cs="Times New Roman"/>
                <w:szCs w:val="20"/>
              </w:rPr>
              <w:t>2</w:t>
            </w:r>
            <w:r>
              <w:rPr>
                <w:rFonts w:ascii="Times New Roman" w:hAnsi="Times New Roman" w:cs="Times New Roman"/>
                <w:szCs w:val="20"/>
              </w:rPr>
              <w:t>.68</w:t>
            </w:r>
          </w:p>
        </w:tc>
      </w:tr>
      <w:tr w:rsidR="003E0B86" w:rsidRPr="009008FF" w14:paraId="19F308C6" w14:textId="77777777" w:rsidTr="00336415">
        <w:trPr>
          <w:trHeight w:val="73"/>
        </w:trPr>
        <w:tc>
          <w:tcPr>
            <w:tcW w:w="1251" w:type="dxa"/>
            <w:gridSpan w:val="2"/>
            <w:tcBorders>
              <w:top w:val="nil"/>
              <w:left w:val="nil"/>
              <w:bottom w:val="nil"/>
              <w:right w:val="nil"/>
            </w:tcBorders>
          </w:tcPr>
          <w:p w14:paraId="75FC19AC" w14:textId="77777777" w:rsidR="003E0B86" w:rsidRPr="009008FF" w:rsidRDefault="003E0B86" w:rsidP="00336415">
            <w:pPr>
              <w:spacing w:line="259" w:lineRule="auto"/>
              <w:ind w:left="120"/>
              <w:rPr>
                <w:rFonts w:ascii="Times New Roman" w:hAnsi="Times New Roman" w:cs="Times New Roman"/>
              </w:rPr>
            </w:pPr>
            <w:r w:rsidRPr="009008FF">
              <w:rPr>
                <w:rFonts w:ascii="Times New Roman" w:hAnsi="Times New Roman" w:cs="Times New Roman"/>
              </w:rPr>
              <w:t>D2</w:t>
            </w:r>
          </w:p>
        </w:tc>
        <w:tc>
          <w:tcPr>
            <w:tcW w:w="876" w:type="dxa"/>
            <w:tcBorders>
              <w:top w:val="nil"/>
              <w:left w:val="nil"/>
              <w:bottom w:val="nil"/>
              <w:right w:val="nil"/>
            </w:tcBorders>
          </w:tcPr>
          <w:p w14:paraId="6371D8FD" w14:textId="77777777" w:rsidR="003E0B86" w:rsidRPr="009008FF" w:rsidRDefault="003E0B86" w:rsidP="00336415">
            <w:pPr>
              <w:spacing w:line="259" w:lineRule="auto"/>
              <w:rPr>
                <w:rFonts w:ascii="Times New Roman" w:hAnsi="Times New Roman" w:cs="Times New Roman"/>
                <w:szCs w:val="20"/>
              </w:rPr>
            </w:pPr>
            <w:r w:rsidRPr="009008FF">
              <w:rPr>
                <w:rFonts w:ascii="Times New Roman" w:hAnsi="Times New Roman" w:cs="Times New Roman"/>
                <w:szCs w:val="20"/>
              </w:rPr>
              <w:t>-5</w:t>
            </w:r>
            <w:r>
              <w:rPr>
                <w:rFonts w:ascii="Times New Roman" w:hAnsi="Times New Roman" w:cs="Times New Roman"/>
                <w:szCs w:val="20"/>
              </w:rPr>
              <w:t>.19</w:t>
            </w:r>
          </w:p>
        </w:tc>
        <w:tc>
          <w:tcPr>
            <w:tcW w:w="1134" w:type="dxa"/>
            <w:tcBorders>
              <w:top w:val="nil"/>
              <w:left w:val="nil"/>
              <w:bottom w:val="nil"/>
              <w:right w:val="nil"/>
            </w:tcBorders>
          </w:tcPr>
          <w:p w14:paraId="219E4558" w14:textId="77777777" w:rsidR="003E0B86" w:rsidRPr="009008FF" w:rsidRDefault="003E0B86" w:rsidP="00336415">
            <w:pPr>
              <w:spacing w:line="259" w:lineRule="auto"/>
              <w:jc w:val="center"/>
              <w:rPr>
                <w:rFonts w:ascii="Times New Roman" w:hAnsi="Times New Roman" w:cs="Times New Roman"/>
                <w:szCs w:val="20"/>
              </w:rPr>
            </w:pPr>
            <w:r w:rsidRPr="009008FF">
              <w:rPr>
                <w:rFonts w:ascii="Times New Roman" w:hAnsi="Times New Roman" w:cs="Times New Roman"/>
                <w:szCs w:val="20"/>
              </w:rPr>
              <w:t>-</w:t>
            </w:r>
            <w:r>
              <w:rPr>
                <w:rFonts w:ascii="Times New Roman" w:hAnsi="Times New Roman" w:cs="Times New Roman"/>
                <w:szCs w:val="20"/>
              </w:rPr>
              <w:t>2.71</w:t>
            </w:r>
          </w:p>
        </w:tc>
        <w:tc>
          <w:tcPr>
            <w:tcW w:w="1152" w:type="dxa"/>
            <w:tcBorders>
              <w:top w:val="nil"/>
              <w:left w:val="nil"/>
              <w:bottom w:val="nil"/>
              <w:right w:val="nil"/>
            </w:tcBorders>
          </w:tcPr>
          <w:p w14:paraId="4FD6F5DE" w14:textId="77777777" w:rsidR="003E0B86" w:rsidRPr="009008FF" w:rsidRDefault="003E0B86" w:rsidP="00336415">
            <w:pPr>
              <w:spacing w:line="259" w:lineRule="auto"/>
              <w:jc w:val="center"/>
              <w:rPr>
                <w:rFonts w:ascii="Times New Roman" w:hAnsi="Times New Roman" w:cs="Times New Roman"/>
                <w:szCs w:val="20"/>
              </w:rPr>
            </w:pPr>
            <w:r w:rsidRPr="009008FF">
              <w:rPr>
                <w:rFonts w:ascii="Times New Roman" w:hAnsi="Times New Roman" w:cs="Times New Roman"/>
                <w:szCs w:val="20"/>
              </w:rPr>
              <w:t>2</w:t>
            </w:r>
            <w:r>
              <w:rPr>
                <w:rFonts w:ascii="Times New Roman" w:hAnsi="Times New Roman" w:cs="Times New Roman"/>
                <w:szCs w:val="20"/>
              </w:rPr>
              <w:t>.48</w:t>
            </w:r>
          </w:p>
        </w:tc>
        <w:tc>
          <w:tcPr>
            <w:tcW w:w="595" w:type="dxa"/>
            <w:tcBorders>
              <w:top w:val="nil"/>
              <w:left w:val="nil"/>
              <w:bottom w:val="nil"/>
              <w:right w:val="nil"/>
            </w:tcBorders>
          </w:tcPr>
          <w:p w14:paraId="04A328A2" w14:textId="77777777" w:rsidR="003E0B86" w:rsidRPr="009008FF" w:rsidRDefault="003E0B86" w:rsidP="00336415">
            <w:pPr>
              <w:spacing w:line="259" w:lineRule="auto"/>
              <w:rPr>
                <w:rFonts w:ascii="Times New Roman" w:hAnsi="Times New Roman" w:cs="Times New Roman"/>
                <w:szCs w:val="20"/>
              </w:rPr>
            </w:pPr>
          </w:p>
        </w:tc>
        <w:tc>
          <w:tcPr>
            <w:tcW w:w="1229" w:type="dxa"/>
            <w:tcBorders>
              <w:top w:val="nil"/>
              <w:left w:val="nil"/>
              <w:bottom w:val="nil"/>
              <w:right w:val="nil"/>
            </w:tcBorders>
          </w:tcPr>
          <w:p w14:paraId="025A804F" w14:textId="77777777" w:rsidR="003E0B86" w:rsidRPr="009008FF" w:rsidRDefault="003E0B86" w:rsidP="00336415">
            <w:pPr>
              <w:spacing w:line="259" w:lineRule="auto"/>
              <w:jc w:val="center"/>
              <w:rPr>
                <w:rFonts w:ascii="Times New Roman" w:hAnsi="Times New Roman" w:cs="Times New Roman"/>
                <w:szCs w:val="20"/>
              </w:rPr>
            </w:pPr>
            <w:r w:rsidRPr="009008FF">
              <w:rPr>
                <w:rFonts w:ascii="Times New Roman" w:hAnsi="Times New Roman" w:cs="Times New Roman"/>
                <w:szCs w:val="20"/>
              </w:rPr>
              <w:t>-5</w:t>
            </w:r>
            <w:r>
              <w:rPr>
                <w:rFonts w:ascii="Times New Roman" w:hAnsi="Times New Roman" w:cs="Times New Roman"/>
                <w:szCs w:val="20"/>
              </w:rPr>
              <w:t>.</w:t>
            </w:r>
            <w:r w:rsidRPr="009008FF">
              <w:rPr>
                <w:rFonts w:ascii="Times New Roman" w:hAnsi="Times New Roman" w:cs="Times New Roman"/>
                <w:szCs w:val="20"/>
              </w:rPr>
              <w:t>2</w:t>
            </w:r>
            <w:r>
              <w:rPr>
                <w:rFonts w:ascii="Times New Roman" w:hAnsi="Times New Roman" w:cs="Times New Roman"/>
                <w:szCs w:val="20"/>
              </w:rPr>
              <w:t>3</w:t>
            </w:r>
          </w:p>
        </w:tc>
        <w:tc>
          <w:tcPr>
            <w:tcW w:w="1276" w:type="dxa"/>
            <w:tcBorders>
              <w:top w:val="nil"/>
              <w:left w:val="nil"/>
              <w:bottom w:val="nil"/>
              <w:right w:val="nil"/>
            </w:tcBorders>
          </w:tcPr>
          <w:p w14:paraId="64F905AD" w14:textId="77777777" w:rsidR="003E0B86" w:rsidRPr="009008FF" w:rsidRDefault="003E0B86" w:rsidP="00336415">
            <w:pPr>
              <w:spacing w:line="259" w:lineRule="auto"/>
              <w:jc w:val="center"/>
              <w:rPr>
                <w:rFonts w:ascii="Times New Roman" w:hAnsi="Times New Roman" w:cs="Times New Roman"/>
                <w:szCs w:val="20"/>
              </w:rPr>
            </w:pPr>
            <w:r w:rsidRPr="009008FF">
              <w:rPr>
                <w:rFonts w:ascii="Times New Roman" w:hAnsi="Times New Roman" w:cs="Times New Roman"/>
                <w:szCs w:val="20"/>
              </w:rPr>
              <w:t>-</w:t>
            </w:r>
            <w:r>
              <w:rPr>
                <w:rFonts w:ascii="Times New Roman" w:hAnsi="Times New Roman" w:cs="Times New Roman"/>
                <w:szCs w:val="20"/>
              </w:rPr>
              <w:t>2.73</w:t>
            </w:r>
          </w:p>
        </w:tc>
        <w:tc>
          <w:tcPr>
            <w:tcW w:w="1132" w:type="dxa"/>
            <w:tcBorders>
              <w:top w:val="nil"/>
              <w:left w:val="nil"/>
              <w:bottom w:val="nil"/>
              <w:right w:val="nil"/>
            </w:tcBorders>
          </w:tcPr>
          <w:p w14:paraId="405BB9C8" w14:textId="77777777" w:rsidR="003E0B86" w:rsidRPr="009008FF" w:rsidRDefault="003E0B86" w:rsidP="00336415">
            <w:pPr>
              <w:spacing w:line="259" w:lineRule="auto"/>
              <w:jc w:val="center"/>
              <w:rPr>
                <w:rFonts w:ascii="Times New Roman" w:hAnsi="Times New Roman" w:cs="Times New Roman"/>
                <w:szCs w:val="20"/>
              </w:rPr>
            </w:pPr>
            <w:r w:rsidRPr="009008FF">
              <w:rPr>
                <w:rFonts w:ascii="Times New Roman" w:hAnsi="Times New Roman" w:cs="Times New Roman"/>
                <w:szCs w:val="20"/>
              </w:rPr>
              <w:t>2</w:t>
            </w:r>
            <w:r>
              <w:rPr>
                <w:rFonts w:ascii="Times New Roman" w:hAnsi="Times New Roman" w:cs="Times New Roman"/>
                <w:szCs w:val="20"/>
              </w:rPr>
              <w:t>.43</w:t>
            </w:r>
          </w:p>
        </w:tc>
      </w:tr>
      <w:tr w:rsidR="003E0B86" w:rsidRPr="009008FF" w14:paraId="43FC7211" w14:textId="77777777" w:rsidTr="00336415">
        <w:trPr>
          <w:trHeight w:val="4"/>
        </w:trPr>
        <w:tc>
          <w:tcPr>
            <w:tcW w:w="1251" w:type="dxa"/>
            <w:gridSpan w:val="2"/>
            <w:tcBorders>
              <w:top w:val="nil"/>
              <w:left w:val="nil"/>
              <w:bottom w:val="nil"/>
              <w:right w:val="nil"/>
            </w:tcBorders>
          </w:tcPr>
          <w:p w14:paraId="1BA4429D" w14:textId="77777777" w:rsidR="003E0B86" w:rsidRPr="009008FF" w:rsidRDefault="003E0B86" w:rsidP="00336415">
            <w:pPr>
              <w:spacing w:line="259" w:lineRule="auto"/>
              <w:ind w:left="120"/>
              <w:rPr>
                <w:rFonts w:ascii="Times New Roman" w:hAnsi="Times New Roman" w:cs="Times New Roman"/>
              </w:rPr>
            </w:pPr>
            <w:r w:rsidRPr="009008FF">
              <w:rPr>
                <w:rFonts w:ascii="Times New Roman" w:hAnsi="Times New Roman" w:cs="Times New Roman"/>
              </w:rPr>
              <w:t>D3</w:t>
            </w:r>
          </w:p>
        </w:tc>
        <w:tc>
          <w:tcPr>
            <w:tcW w:w="876" w:type="dxa"/>
            <w:tcBorders>
              <w:top w:val="nil"/>
              <w:left w:val="nil"/>
              <w:bottom w:val="nil"/>
              <w:right w:val="nil"/>
            </w:tcBorders>
          </w:tcPr>
          <w:p w14:paraId="079C3ABC" w14:textId="77777777" w:rsidR="003E0B86" w:rsidRPr="009008FF" w:rsidRDefault="003E0B86" w:rsidP="00336415">
            <w:pPr>
              <w:spacing w:line="259" w:lineRule="auto"/>
              <w:rPr>
                <w:rFonts w:ascii="Times New Roman" w:hAnsi="Times New Roman" w:cs="Times New Roman"/>
                <w:szCs w:val="20"/>
              </w:rPr>
            </w:pPr>
            <w:r w:rsidRPr="009008FF">
              <w:rPr>
                <w:rFonts w:ascii="Times New Roman" w:hAnsi="Times New Roman" w:cs="Times New Roman"/>
                <w:szCs w:val="20"/>
              </w:rPr>
              <w:t>-5</w:t>
            </w:r>
            <w:r>
              <w:rPr>
                <w:rFonts w:ascii="Times New Roman" w:hAnsi="Times New Roman" w:cs="Times New Roman"/>
                <w:szCs w:val="20"/>
              </w:rPr>
              <w:t>.12</w:t>
            </w:r>
          </w:p>
        </w:tc>
        <w:tc>
          <w:tcPr>
            <w:tcW w:w="1134" w:type="dxa"/>
            <w:tcBorders>
              <w:top w:val="nil"/>
              <w:left w:val="nil"/>
              <w:bottom w:val="nil"/>
              <w:right w:val="nil"/>
            </w:tcBorders>
          </w:tcPr>
          <w:p w14:paraId="0F85EC88" w14:textId="77777777" w:rsidR="003E0B86" w:rsidRPr="009008FF" w:rsidRDefault="003E0B86" w:rsidP="00336415">
            <w:pPr>
              <w:spacing w:line="259" w:lineRule="auto"/>
              <w:jc w:val="center"/>
              <w:rPr>
                <w:rFonts w:ascii="Times New Roman" w:hAnsi="Times New Roman" w:cs="Times New Roman"/>
                <w:szCs w:val="20"/>
              </w:rPr>
            </w:pPr>
            <w:r w:rsidRPr="009008FF">
              <w:rPr>
                <w:rFonts w:ascii="Times New Roman" w:hAnsi="Times New Roman" w:cs="Times New Roman"/>
                <w:szCs w:val="20"/>
              </w:rPr>
              <w:t>-</w:t>
            </w:r>
            <w:r>
              <w:rPr>
                <w:rFonts w:ascii="Times New Roman" w:hAnsi="Times New Roman" w:cs="Times New Roman"/>
                <w:szCs w:val="20"/>
              </w:rPr>
              <w:t>2.6</w:t>
            </w:r>
            <w:r w:rsidRPr="009008FF">
              <w:rPr>
                <w:rFonts w:ascii="Times New Roman" w:hAnsi="Times New Roman" w:cs="Times New Roman"/>
                <w:szCs w:val="20"/>
              </w:rPr>
              <w:t>9</w:t>
            </w:r>
          </w:p>
        </w:tc>
        <w:tc>
          <w:tcPr>
            <w:tcW w:w="1152" w:type="dxa"/>
            <w:tcBorders>
              <w:top w:val="nil"/>
              <w:left w:val="nil"/>
              <w:bottom w:val="nil"/>
              <w:right w:val="nil"/>
            </w:tcBorders>
          </w:tcPr>
          <w:p w14:paraId="1FCFD3A8" w14:textId="77777777" w:rsidR="003E0B86" w:rsidRPr="009008FF" w:rsidRDefault="003E0B86" w:rsidP="00336415">
            <w:pPr>
              <w:spacing w:line="259" w:lineRule="auto"/>
              <w:jc w:val="center"/>
              <w:rPr>
                <w:rFonts w:ascii="Times New Roman" w:hAnsi="Times New Roman" w:cs="Times New Roman"/>
                <w:szCs w:val="20"/>
              </w:rPr>
            </w:pPr>
            <w:r w:rsidRPr="009008FF">
              <w:rPr>
                <w:rFonts w:ascii="Times New Roman" w:hAnsi="Times New Roman" w:cs="Times New Roman"/>
                <w:szCs w:val="20"/>
              </w:rPr>
              <w:t>2</w:t>
            </w:r>
            <w:r>
              <w:rPr>
                <w:rFonts w:ascii="Times New Roman" w:hAnsi="Times New Roman" w:cs="Times New Roman"/>
                <w:szCs w:val="20"/>
              </w:rPr>
              <w:t>.43</w:t>
            </w:r>
          </w:p>
        </w:tc>
        <w:tc>
          <w:tcPr>
            <w:tcW w:w="595" w:type="dxa"/>
            <w:tcBorders>
              <w:top w:val="nil"/>
              <w:left w:val="nil"/>
              <w:bottom w:val="nil"/>
              <w:right w:val="nil"/>
            </w:tcBorders>
          </w:tcPr>
          <w:p w14:paraId="02F79AFE" w14:textId="77777777" w:rsidR="003E0B86" w:rsidRPr="009008FF" w:rsidRDefault="003E0B86" w:rsidP="00336415">
            <w:pPr>
              <w:spacing w:line="259" w:lineRule="auto"/>
              <w:rPr>
                <w:rFonts w:ascii="Times New Roman" w:hAnsi="Times New Roman" w:cs="Times New Roman"/>
                <w:szCs w:val="20"/>
              </w:rPr>
            </w:pPr>
          </w:p>
        </w:tc>
        <w:tc>
          <w:tcPr>
            <w:tcW w:w="1229" w:type="dxa"/>
            <w:tcBorders>
              <w:top w:val="nil"/>
              <w:left w:val="nil"/>
              <w:bottom w:val="nil"/>
              <w:right w:val="nil"/>
            </w:tcBorders>
          </w:tcPr>
          <w:p w14:paraId="7001B645" w14:textId="77777777" w:rsidR="003E0B86" w:rsidRPr="009008FF" w:rsidRDefault="003E0B86" w:rsidP="00336415">
            <w:pPr>
              <w:spacing w:line="259" w:lineRule="auto"/>
              <w:jc w:val="center"/>
              <w:rPr>
                <w:rFonts w:ascii="Times New Roman" w:hAnsi="Times New Roman" w:cs="Times New Roman"/>
                <w:szCs w:val="20"/>
              </w:rPr>
            </w:pPr>
            <w:r w:rsidRPr="009008FF">
              <w:rPr>
                <w:rFonts w:ascii="Times New Roman" w:hAnsi="Times New Roman" w:cs="Times New Roman"/>
                <w:szCs w:val="20"/>
              </w:rPr>
              <w:t>-5</w:t>
            </w:r>
            <w:r>
              <w:rPr>
                <w:rFonts w:ascii="Times New Roman" w:hAnsi="Times New Roman" w:cs="Times New Roman"/>
                <w:szCs w:val="20"/>
              </w:rPr>
              <w:t>.10</w:t>
            </w:r>
          </w:p>
        </w:tc>
        <w:tc>
          <w:tcPr>
            <w:tcW w:w="1276" w:type="dxa"/>
            <w:tcBorders>
              <w:top w:val="nil"/>
              <w:left w:val="nil"/>
              <w:bottom w:val="nil"/>
              <w:right w:val="nil"/>
            </w:tcBorders>
          </w:tcPr>
          <w:p w14:paraId="0CBA7786" w14:textId="77777777" w:rsidR="003E0B86" w:rsidRPr="009008FF" w:rsidRDefault="003E0B86" w:rsidP="00336415">
            <w:pPr>
              <w:spacing w:line="259" w:lineRule="auto"/>
              <w:jc w:val="center"/>
              <w:rPr>
                <w:rFonts w:ascii="Times New Roman" w:hAnsi="Times New Roman" w:cs="Times New Roman"/>
                <w:szCs w:val="20"/>
              </w:rPr>
            </w:pPr>
            <w:r w:rsidRPr="009008FF">
              <w:rPr>
                <w:rFonts w:ascii="Times New Roman" w:hAnsi="Times New Roman" w:cs="Times New Roman"/>
                <w:szCs w:val="20"/>
              </w:rPr>
              <w:t>-</w:t>
            </w:r>
            <w:r>
              <w:rPr>
                <w:rFonts w:ascii="Times New Roman" w:hAnsi="Times New Roman" w:cs="Times New Roman"/>
                <w:szCs w:val="20"/>
              </w:rPr>
              <w:t>2.73</w:t>
            </w:r>
          </w:p>
        </w:tc>
        <w:tc>
          <w:tcPr>
            <w:tcW w:w="1132" w:type="dxa"/>
            <w:tcBorders>
              <w:top w:val="nil"/>
              <w:left w:val="nil"/>
              <w:bottom w:val="nil"/>
              <w:right w:val="nil"/>
            </w:tcBorders>
          </w:tcPr>
          <w:p w14:paraId="6887FCDC" w14:textId="77777777" w:rsidR="003E0B86" w:rsidRPr="009008FF" w:rsidRDefault="003E0B86" w:rsidP="00336415">
            <w:pPr>
              <w:spacing w:line="259" w:lineRule="auto"/>
              <w:jc w:val="center"/>
              <w:rPr>
                <w:rFonts w:ascii="Times New Roman" w:hAnsi="Times New Roman" w:cs="Times New Roman"/>
                <w:szCs w:val="20"/>
              </w:rPr>
            </w:pPr>
            <w:r w:rsidRPr="009008FF">
              <w:rPr>
                <w:rFonts w:ascii="Times New Roman" w:hAnsi="Times New Roman" w:cs="Times New Roman"/>
                <w:szCs w:val="20"/>
              </w:rPr>
              <w:t>2</w:t>
            </w:r>
            <w:r>
              <w:rPr>
                <w:rFonts w:ascii="Times New Roman" w:hAnsi="Times New Roman" w:cs="Times New Roman"/>
                <w:szCs w:val="20"/>
              </w:rPr>
              <w:t>.37</w:t>
            </w:r>
          </w:p>
        </w:tc>
      </w:tr>
      <w:tr w:rsidR="003E0B86" w:rsidRPr="009008FF" w14:paraId="725259B9" w14:textId="77777777" w:rsidTr="00336415">
        <w:trPr>
          <w:trHeight w:val="129"/>
        </w:trPr>
        <w:tc>
          <w:tcPr>
            <w:tcW w:w="1251" w:type="dxa"/>
            <w:gridSpan w:val="2"/>
            <w:tcBorders>
              <w:top w:val="nil"/>
              <w:left w:val="nil"/>
              <w:bottom w:val="nil"/>
              <w:right w:val="nil"/>
            </w:tcBorders>
          </w:tcPr>
          <w:p w14:paraId="46B0D077" w14:textId="77777777" w:rsidR="003E0B86" w:rsidRPr="009008FF" w:rsidRDefault="003E0B86" w:rsidP="00336415">
            <w:pPr>
              <w:spacing w:line="259" w:lineRule="auto"/>
              <w:ind w:left="120"/>
              <w:rPr>
                <w:rFonts w:ascii="Times New Roman" w:hAnsi="Times New Roman" w:cs="Times New Roman"/>
              </w:rPr>
            </w:pPr>
            <w:r w:rsidRPr="009008FF">
              <w:rPr>
                <w:rFonts w:ascii="Times New Roman" w:hAnsi="Times New Roman" w:cs="Times New Roman"/>
              </w:rPr>
              <w:t>D4</w:t>
            </w:r>
          </w:p>
        </w:tc>
        <w:tc>
          <w:tcPr>
            <w:tcW w:w="876" w:type="dxa"/>
            <w:tcBorders>
              <w:top w:val="nil"/>
              <w:left w:val="nil"/>
              <w:bottom w:val="nil"/>
              <w:right w:val="nil"/>
            </w:tcBorders>
          </w:tcPr>
          <w:p w14:paraId="083A3A5A" w14:textId="77777777" w:rsidR="003E0B86" w:rsidRPr="009008FF" w:rsidRDefault="003E0B86" w:rsidP="00336415">
            <w:pPr>
              <w:spacing w:line="259" w:lineRule="auto"/>
              <w:rPr>
                <w:rFonts w:ascii="Times New Roman" w:hAnsi="Times New Roman" w:cs="Times New Roman"/>
                <w:szCs w:val="20"/>
              </w:rPr>
            </w:pPr>
            <w:r w:rsidRPr="009008FF">
              <w:rPr>
                <w:rFonts w:ascii="Times New Roman" w:hAnsi="Times New Roman" w:cs="Times New Roman"/>
                <w:szCs w:val="20"/>
              </w:rPr>
              <w:t>-5</w:t>
            </w:r>
            <w:r>
              <w:rPr>
                <w:rFonts w:ascii="Times New Roman" w:hAnsi="Times New Roman" w:cs="Times New Roman"/>
                <w:szCs w:val="20"/>
              </w:rPr>
              <w:t>.21</w:t>
            </w:r>
          </w:p>
        </w:tc>
        <w:tc>
          <w:tcPr>
            <w:tcW w:w="1134" w:type="dxa"/>
            <w:tcBorders>
              <w:top w:val="nil"/>
              <w:left w:val="nil"/>
              <w:bottom w:val="nil"/>
              <w:right w:val="nil"/>
            </w:tcBorders>
          </w:tcPr>
          <w:p w14:paraId="3CDD4F5C" w14:textId="77777777" w:rsidR="003E0B86" w:rsidRPr="009008FF" w:rsidRDefault="003E0B86" w:rsidP="00336415">
            <w:pPr>
              <w:spacing w:line="259" w:lineRule="auto"/>
              <w:jc w:val="center"/>
              <w:rPr>
                <w:rFonts w:ascii="Times New Roman" w:hAnsi="Times New Roman" w:cs="Times New Roman"/>
                <w:szCs w:val="20"/>
              </w:rPr>
            </w:pPr>
            <w:r w:rsidRPr="009008FF">
              <w:rPr>
                <w:rFonts w:ascii="Times New Roman" w:hAnsi="Times New Roman" w:cs="Times New Roman"/>
                <w:szCs w:val="20"/>
              </w:rPr>
              <w:t>-</w:t>
            </w:r>
            <w:r>
              <w:rPr>
                <w:rFonts w:ascii="Times New Roman" w:hAnsi="Times New Roman" w:cs="Times New Roman"/>
                <w:szCs w:val="20"/>
              </w:rPr>
              <w:t>2.89</w:t>
            </w:r>
          </w:p>
        </w:tc>
        <w:tc>
          <w:tcPr>
            <w:tcW w:w="1152" w:type="dxa"/>
            <w:tcBorders>
              <w:top w:val="nil"/>
              <w:left w:val="nil"/>
              <w:bottom w:val="nil"/>
              <w:right w:val="nil"/>
            </w:tcBorders>
          </w:tcPr>
          <w:p w14:paraId="113A4CE6" w14:textId="77777777" w:rsidR="003E0B86" w:rsidRPr="009008FF" w:rsidRDefault="003E0B86" w:rsidP="00336415">
            <w:pPr>
              <w:spacing w:line="259" w:lineRule="auto"/>
              <w:jc w:val="center"/>
              <w:rPr>
                <w:rFonts w:ascii="Times New Roman" w:hAnsi="Times New Roman" w:cs="Times New Roman"/>
                <w:szCs w:val="20"/>
              </w:rPr>
            </w:pPr>
            <w:r w:rsidRPr="009008FF">
              <w:rPr>
                <w:rFonts w:ascii="Times New Roman" w:hAnsi="Times New Roman" w:cs="Times New Roman"/>
                <w:szCs w:val="20"/>
              </w:rPr>
              <w:t>2</w:t>
            </w:r>
            <w:r>
              <w:rPr>
                <w:rFonts w:ascii="Times New Roman" w:hAnsi="Times New Roman" w:cs="Times New Roman"/>
                <w:szCs w:val="20"/>
              </w:rPr>
              <w:t>.32</w:t>
            </w:r>
          </w:p>
        </w:tc>
        <w:tc>
          <w:tcPr>
            <w:tcW w:w="595" w:type="dxa"/>
            <w:tcBorders>
              <w:top w:val="nil"/>
              <w:left w:val="nil"/>
              <w:bottom w:val="nil"/>
              <w:right w:val="nil"/>
            </w:tcBorders>
          </w:tcPr>
          <w:p w14:paraId="04A4CA2E" w14:textId="77777777" w:rsidR="003E0B86" w:rsidRPr="009008FF" w:rsidRDefault="003E0B86" w:rsidP="00336415">
            <w:pPr>
              <w:spacing w:line="259" w:lineRule="auto"/>
              <w:rPr>
                <w:rFonts w:ascii="Times New Roman" w:hAnsi="Times New Roman" w:cs="Times New Roman"/>
                <w:szCs w:val="20"/>
              </w:rPr>
            </w:pPr>
          </w:p>
        </w:tc>
        <w:tc>
          <w:tcPr>
            <w:tcW w:w="1229" w:type="dxa"/>
            <w:tcBorders>
              <w:top w:val="nil"/>
              <w:left w:val="nil"/>
              <w:bottom w:val="nil"/>
              <w:right w:val="nil"/>
            </w:tcBorders>
          </w:tcPr>
          <w:p w14:paraId="40ED0A26" w14:textId="77777777" w:rsidR="003E0B86" w:rsidRPr="009008FF" w:rsidRDefault="003E0B86" w:rsidP="00336415">
            <w:pPr>
              <w:spacing w:line="259" w:lineRule="auto"/>
              <w:jc w:val="center"/>
              <w:rPr>
                <w:rFonts w:ascii="Times New Roman" w:hAnsi="Times New Roman" w:cs="Times New Roman"/>
                <w:szCs w:val="20"/>
              </w:rPr>
            </w:pPr>
            <w:r w:rsidRPr="009008FF">
              <w:rPr>
                <w:rFonts w:ascii="Times New Roman" w:hAnsi="Times New Roman" w:cs="Times New Roman"/>
                <w:szCs w:val="20"/>
              </w:rPr>
              <w:t>-5</w:t>
            </w:r>
            <w:r>
              <w:rPr>
                <w:rFonts w:ascii="Times New Roman" w:hAnsi="Times New Roman" w:cs="Times New Roman"/>
                <w:szCs w:val="20"/>
              </w:rPr>
              <w:t>.19</w:t>
            </w:r>
          </w:p>
        </w:tc>
        <w:tc>
          <w:tcPr>
            <w:tcW w:w="1276" w:type="dxa"/>
            <w:tcBorders>
              <w:top w:val="nil"/>
              <w:left w:val="nil"/>
              <w:bottom w:val="nil"/>
              <w:right w:val="nil"/>
            </w:tcBorders>
          </w:tcPr>
          <w:p w14:paraId="60AB1990" w14:textId="77777777" w:rsidR="003E0B86" w:rsidRPr="009008FF" w:rsidRDefault="003E0B86" w:rsidP="00336415">
            <w:pPr>
              <w:spacing w:line="259" w:lineRule="auto"/>
              <w:jc w:val="center"/>
              <w:rPr>
                <w:rFonts w:ascii="Times New Roman" w:hAnsi="Times New Roman" w:cs="Times New Roman"/>
                <w:szCs w:val="20"/>
              </w:rPr>
            </w:pPr>
            <w:r w:rsidRPr="009008FF">
              <w:rPr>
                <w:rFonts w:ascii="Times New Roman" w:hAnsi="Times New Roman" w:cs="Times New Roman"/>
                <w:szCs w:val="20"/>
              </w:rPr>
              <w:t>-</w:t>
            </w:r>
            <w:r>
              <w:rPr>
                <w:rFonts w:ascii="Times New Roman" w:hAnsi="Times New Roman" w:cs="Times New Roman"/>
                <w:szCs w:val="20"/>
              </w:rPr>
              <w:t>2.90</w:t>
            </w:r>
          </w:p>
        </w:tc>
        <w:tc>
          <w:tcPr>
            <w:tcW w:w="1132" w:type="dxa"/>
            <w:tcBorders>
              <w:top w:val="nil"/>
              <w:left w:val="nil"/>
              <w:bottom w:val="nil"/>
              <w:right w:val="nil"/>
            </w:tcBorders>
          </w:tcPr>
          <w:p w14:paraId="1F008746" w14:textId="77777777" w:rsidR="003E0B86" w:rsidRPr="009008FF" w:rsidRDefault="003E0B86" w:rsidP="00336415">
            <w:pPr>
              <w:spacing w:line="259" w:lineRule="auto"/>
              <w:jc w:val="center"/>
              <w:rPr>
                <w:rFonts w:ascii="Times New Roman" w:hAnsi="Times New Roman" w:cs="Times New Roman"/>
                <w:szCs w:val="20"/>
              </w:rPr>
            </w:pPr>
            <w:r w:rsidRPr="009008FF">
              <w:rPr>
                <w:rFonts w:ascii="Times New Roman" w:hAnsi="Times New Roman" w:cs="Times New Roman"/>
                <w:szCs w:val="20"/>
              </w:rPr>
              <w:t>2</w:t>
            </w:r>
            <w:r>
              <w:rPr>
                <w:rFonts w:ascii="Times New Roman" w:hAnsi="Times New Roman" w:cs="Times New Roman"/>
                <w:szCs w:val="20"/>
              </w:rPr>
              <w:t>.29</w:t>
            </w:r>
          </w:p>
        </w:tc>
      </w:tr>
      <w:tr w:rsidR="003E0B86" w:rsidRPr="009008FF" w14:paraId="4D53C00F" w14:textId="77777777" w:rsidTr="00336415">
        <w:trPr>
          <w:trHeight w:val="129"/>
        </w:trPr>
        <w:tc>
          <w:tcPr>
            <w:tcW w:w="1251" w:type="dxa"/>
            <w:gridSpan w:val="2"/>
            <w:tcBorders>
              <w:top w:val="nil"/>
              <w:left w:val="nil"/>
              <w:right w:val="nil"/>
            </w:tcBorders>
          </w:tcPr>
          <w:p w14:paraId="5C49117B" w14:textId="77777777" w:rsidR="003E0B86" w:rsidRPr="009008FF" w:rsidRDefault="003E0B86" w:rsidP="00336415">
            <w:pPr>
              <w:spacing w:line="259" w:lineRule="auto"/>
              <w:ind w:left="120"/>
              <w:rPr>
                <w:rFonts w:ascii="Times New Roman" w:hAnsi="Times New Roman" w:cs="Times New Roman"/>
              </w:rPr>
            </w:pPr>
            <w:r w:rsidRPr="009008FF">
              <w:rPr>
                <w:rFonts w:ascii="Times New Roman" w:hAnsi="Times New Roman" w:cs="Times New Roman"/>
              </w:rPr>
              <w:t>D5</w:t>
            </w:r>
          </w:p>
        </w:tc>
        <w:tc>
          <w:tcPr>
            <w:tcW w:w="876" w:type="dxa"/>
            <w:tcBorders>
              <w:top w:val="nil"/>
              <w:left w:val="nil"/>
              <w:right w:val="nil"/>
            </w:tcBorders>
          </w:tcPr>
          <w:p w14:paraId="7A307E83" w14:textId="77777777" w:rsidR="003E0B86" w:rsidRPr="009008FF" w:rsidRDefault="003E0B86" w:rsidP="00336415">
            <w:pPr>
              <w:spacing w:line="259" w:lineRule="auto"/>
              <w:rPr>
                <w:rFonts w:ascii="Times New Roman" w:hAnsi="Times New Roman" w:cs="Times New Roman"/>
                <w:szCs w:val="20"/>
              </w:rPr>
            </w:pPr>
            <w:r w:rsidRPr="009008FF">
              <w:rPr>
                <w:rFonts w:ascii="Times New Roman" w:hAnsi="Times New Roman" w:cs="Times New Roman"/>
                <w:szCs w:val="20"/>
              </w:rPr>
              <w:t>-5</w:t>
            </w:r>
            <w:r>
              <w:rPr>
                <w:rFonts w:ascii="Times New Roman" w:hAnsi="Times New Roman" w:cs="Times New Roman"/>
                <w:szCs w:val="20"/>
              </w:rPr>
              <w:t>.32</w:t>
            </w:r>
          </w:p>
        </w:tc>
        <w:tc>
          <w:tcPr>
            <w:tcW w:w="1134" w:type="dxa"/>
            <w:tcBorders>
              <w:top w:val="nil"/>
              <w:left w:val="nil"/>
              <w:right w:val="nil"/>
            </w:tcBorders>
          </w:tcPr>
          <w:p w14:paraId="317257D5" w14:textId="77777777" w:rsidR="003E0B86" w:rsidRPr="009008FF" w:rsidRDefault="003E0B86" w:rsidP="00336415">
            <w:pPr>
              <w:spacing w:line="259" w:lineRule="auto"/>
              <w:jc w:val="center"/>
              <w:rPr>
                <w:rFonts w:ascii="Times New Roman" w:hAnsi="Times New Roman" w:cs="Times New Roman"/>
                <w:szCs w:val="20"/>
              </w:rPr>
            </w:pPr>
            <w:r w:rsidRPr="009008FF">
              <w:rPr>
                <w:rFonts w:ascii="Times New Roman" w:hAnsi="Times New Roman" w:cs="Times New Roman"/>
                <w:szCs w:val="20"/>
              </w:rPr>
              <w:t>-</w:t>
            </w:r>
            <w:r>
              <w:rPr>
                <w:rFonts w:ascii="Times New Roman" w:hAnsi="Times New Roman" w:cs="Times New Roman"/>
                <w:szCs w:val="20"/>
              </w:rPr>
              <w:t>3.33</w:t>
            </w:r>
          </w:p>
        </w:tc>
        <w:tc>
          <w:tcPr>
            <w:tcW w:w="1152" w:type="dxa"/>
            <w:tcBorders>
              <w:top w:val="nil"/>
              <w:left w:val="nil"/>
              <w:right w:val="nil"/>
            </w:tcBorders>
          </w:tcPr>
          <w:p w14:paraId="0AA0641E" w14:textId="77777777" w:rsidR="003E0B86" w:rsidRPr="009008FF" w:rsidRDefault="003E0B86" w:rsidP="00336415">
            <w:pPr>
              <w:spacing w:line="259" w:lineRule="auto"/>
              <w:jc w:val="center"/>
              <w:rPr>
                <w:rFonts w:ascii="Times New Roman" w:hAnsi="Times New Roman" w:cs="Times New Roman"/>
                <w:szCs w:val="20"/>
              </w:rPr>
            </w:pPr>
            <w:r>
              <w:rPr>
                <w:rFonts w:ascii="Times New Roman" w:hAnsi="Times New Roman" w:cs="Times New Roman"/>
                <w:szCs w:val="20"/>
              </w:rPr>
              <w:t>1.99</w:t>
            </w:r>
          </w:p>
        </w:tc>
        <w:tc>
          <w:tcPr>
            <w:tcW w:w="595" w:type="dxa"/>
            <w:tcBorders>
              <w:top w:val="nil"/>
              <w:left w:val="nil"/>
              <w:right w:val="nil"/>
            </w:tcBorders>
          </w:tcPr>
          <w:p w14:paraId="462D8F4A" w14:textId="77777777" w:rsidR="003E0B86" w:rsidRPr="009008FF" w:rsidRDefault="003E0B86" w:rsidP="00336415">
            <w:pPr>
              <w:spacing w:line="259" w:lineRule="auto"/>
              <w:rPr>
                <w:rFonts w:ascii="Times New Roman" w:hAnsi="Times New Roman" w:cs="Times New Roman"/>
                <w:szCs w:val="20"/>
              </w:rPr>
            </w:pPr>
          </w:p>
        </w:tc>
        <w:tc>
          <w:tcPr>
            <w:tcW w:w="1229" w:type="dxa"/>
            <w:tcBorders>
              <w:top w:val="nil"/>
              <w:left w:val="nil"/>
              <w:right w:val="nil"/>
            </w:tcBorders>
          </w:tcPr>
          <w:p w14:paraId="5CDEF328" w14:textId="77777777" w:rsidR="003E0B86" w:rsidRPr="009008FF" w:rsidRDefault="003E0B86" w:rsidP="00336415">
            <w:pPr>
              <w:spacing w:line="259" w:lineRule="auto"/>
              <w:jc w:val="center"/>
              <w:rPr>
                <w:rFonts w:ascii="Times New Roman" w:hAnsi="Times New Roman" w:cs="Times New Roman"/>
                <w:szCs w:val="20"/>
              </w:rPr>
            </w:pPr>
            <w:r w:rsidRPr="009008FF">
              <w:rPr>
                <w:rFonts w:ascii="Times New Roman" w:hAnsi="Times New Roman" w:cs="Times New Roman"/>
                <w:szCs w:val="20"/>
              </w:rPr>
              <w:t>-5</w:t>
            </w:r>
            <w:r>
              <w:rPr>
                <w:rFonts w:ascii="Times New Roman" w:hAnsi="Times New Roman" w:cs="Times New Roman"/>
                <w:szCs w:val="20"/>
              </w:rPr>
              <w:t>.27</w:t>
            </w:r>
          </w:p>
        </w:tc>
        <w:tc>
          <w:tcPr>
            <w:tcW w:w="1276" w:type="dxa"/>
            <w:tcBorders>
              <w:top w:val="nil"/>
              <w:left w:val="nil"/>
              <w:right w:val="nil"/>
            </w:tcBorders>
          </w:tcPr>
          <w:p w14:paraId="7023273C" w14:textId="77777777" w:rsidR="003E0B86" w:rsidRPr="009008FF" w:rsidRDefault="003E0B86" w:rsidP="00336415">
            <w:pPr>
              <w:spacing w:line="259" w:lineRule="auto"/>
              <w:jc w:val="center"/>
              <w:rPr>
                <w:rFonts w:ascii="Times New Roman" w:hAnsi="Times New Roman" w:cs="Times New Roman"/>
                <w:szCs w:val="20"/>
              </w:rPr>
            </w:pPr>
            <w:r w:rsidRPr="009008FF">
              <w:rPr>
                <w:rFonts w:ascii="Times New Roman" w:hAnsi="Times New Roman" w:cs="Times New Roman"/>
                <w:szCs w:val="20"/>
              </w:rPr>
              <w:t>-</w:t>
            </w:r>
            <w:r>
              <w:rPr>
                <w:rFonts w:ascii="Times New Roman" w:hAnsi="Times New Roman" w:cs="Times New Roman"/>
                <w:szCs w:val="20"/>
              </w:rPr>
              <w:t>3.34</w:t>
            </w:r>
          </w:p>
        </w:tc>
        <w:tc>
          <w:tcPr>
            <w:tcW w:w="1132" w:type="dxa"/>
            <w:tcBorders>
              <w:top w:val="nil"/>
              <w:left w:val="nil"/>
              <w:right w:val="nil"/>
            </w:tcBorders>
          </w:tcPr>
          <w:p w14:paraId="0FA5239C" w14:textId="77777777" w:rsidR="003E0B86" w:rsidRPr="009008FF" w:rsidRDefault="003E0B86" w:rsidP="00336415">
            <w:pPr>
              <w:spacing w:line="259" w:lineRule="auto"/>
              <w:jc w:val="center"/>
              <w:rPr>
                <w:rFonts w:ascii="Times New Roman" w:hAnsi="Times New Roman" w:cs="Times New Roman"/>
                <w:szCs w:val="20"/>
              </w:rPr>
            </w:pPr>
            <w:r>
              <w:rPr>
                <w:rFonts w:ascii="Times New Roman" w:hAnsi="Times New Roman" w:cs="Times New Roman"/>
                <w:szCs w:val="20"/>
              </w:rPr>
              <w:t>1.93</w:t>
            </w:r>
          </w:p>
        </w:tc>
      </w:tr>
      <w:tr w:rsidR="003E0B86" w:rsidRPr="009008FF" w14:paraId="3CB73A84" w14:textId="77777777" w:rsidTr="00336415">
        <w:trPr>
          <w:trHeight w:val="129"/>
        </w:trPr>
        <w:tc>
          <w:tcPr>
            <w:tcW w:w="1251" w:type="dxa"/>
            <w:gridSpan w:val="2"/>
            <w:tcBorders>
              <w:top w:val="nil"/>
              <w:left w:val="nil"/>
              <w:bottom w:val="single" w:sz="4" w:space="0" w:color="auto"/>
              <w:right w:val="nil"/>
            </w:tcBorders>
          </w:tcPr>
          <w:p w14:paraId="20FBD59E" w14:textId="516314AB" w:rsidR="003E0B86" w:rsidRDefault="003E0B86" w:rsidP="00336415">
            <w:pPr>
              <w:spacing w:line="259" w:lineRule="auto"/>
              <w:ind w:left="120"/>
              <w:rPr>
                <w:rFonts w:ascii="Times New Roman" w:hAnsi="Times New Roman" w:cs="Times New Roman"/>
                <w:szCs w:val="20"/>
              </w:rPr>
            </w:pPr>
            <w:r w:rsidRPr="00A349A8">
              <w:rPr>
                <w:rFonts w:ascii="Times New Roman" w:hAnsi="Times New Roman" w:cs="Times New Roman"/>
                <w:szCs w:val="20"/>
              </w:rPr>
              <w:t>MKZ-</w:t>
            </w:r>
            <w:r w:rsidR="006D7BAA">
              <w:rPr>
                <w:rFonts w:ascii="Times New Roman" w:hAnsi="Times New Roman" w:cs="Times New Roman"/>
                <w:szCs w:val="20"/>
              </w:rPr>
              <w:t>39</w:t>
            </w:r>
          </w:p>
          <w:p w14:paraId="783EE3E3" w14:textId="1614AE3E" w:rsidR="003E0B86" w:rsidRPr="009008FF" w:rsidRDefault="003E0B86" w:rsidP="00336415">
            <w:pPr>
              <w:spacing w:line="259" w:lineRule="auto"/>
              <w:ind w:left="120"/>
              <w:rPr>
                <w:rFonts w:ascii="Times New Roman" w:hAnsi="Times New Roman" w:cs="Times New Roman"/>
              </w:rPr>
            </w:pPr>
          </w:p>
        </w:tc>
        <w:tc>
          <w:tcPr>
            <w:tcW w:w="876" w:type="dxa"/>
            <w:tcBorders>
              <w:top w:val="nil"/>
              <w:left w:val="nil"/>
              <w:bottom w:val="single" w:sz="4" w:space="0" w:color="auto"/>
              <w:right w:val="nil"/>
            </w:tcBorders>
          </w:tcPr>
          <w:p w14:paraId="1FB98556" w14:textId="77777777" w:rsidR="003E0B86" w:rsidRPr="009008FF" w:rsidRDefault="003E0B86" w:rsidP="00336415">
            <w:pPr>
              <w:spacing w:line="259" w:lineRule="auto"/>
              <w:rPr>
                <w:rFonts w:ascii="Times New Roman" w:hAnsi="Times New Roman" w:cs="Times New Roman"/>
                <w:szCs w:val="20"/>
              </w:rPr>
            </w:pPr>
            <w:r w:rsidRPr="009008FF">
              <w:rPr>
                <w:rFonts w:ascii="Times New Roman" w:hAnsi="Times New Roman" w:cs="Times New Roman"/>
                <w:szCs w:val="20"/>
              </w:rPr>
              <w:t>-</w:t>
            </w:r>
            <w:r>
              <w:rPr>
                <w:rFonts w:ascii="Times New Roman" w:hAnsi="Times New Roman" w:cs="Times New Roman"/>
                <w:szCs w:val="20"/>
              </w:rPr>
              <w:t>5.18</w:t>
            </w:r>
          </w:p>
        </w:tc>
        <w:tc>
          <w:tcPr>
            <w:tcW w:w="1134" w:type="dxa"/>
            <w:tcBorders>
              <w:top w:val="nil"/>
              <w:left w:val="nil"/>
              <w:bottom w:val="single" w:sz="4" w:space="0" w:color="auto"/>
              <w:right w:val="nil"/>
            </w:tcBorders>
          </w:tcPr>
          <w:p w14:paraId="2B3CF01D" w14:textId="77777777" w:rsidR="003E0B86" w:rsidRPr="009008FF" w:rsidRDefault="003E0B86" w:rsidP="00336415">
            <w:pPr>
              <w:spacing w:line="259" w:lineRule="auto"/>
              <w:jc w:val="center"/>
              <w:rPr>
                <w:rFonts w:ascii="Times New Roman" w:hAnsi="Times New Roman" w:cs="Times New Roman"/>
                <w:szCs w:val="20"/>
              </w:rPr>
            </w:pPr>
            <w:r w:rsidRPr="009008FF">
              <w:rPr>
                <w:rFonts w:ascii="Times New Roman" w:hAnsi="Times New Roman" w:cs="Times New Roman"/>
                <w:szCs w:val="20"/>
              </w:rPr>
              <w:t>-</w:t>
            </w:r>
            <w:r>
              <w:rPr>
                <w:rFonts w:ascii="Times New Roman" w:hAnsi="Times New Roman" w:cs="Times New Roman"/>
                <w:szCs w:val="20"/>
              </w:rPr>
              <w:t>2.75</w:t>
            </w:r>
          </w:p>
        </w:tc>
        <w:tc>
          <w:tcPr>
            <w:tcW w:w="1152" w:type="dxa"/>
            <w:tcBorders>
              <w:top w:val="nil"/>
              <w:left w:val="nil"/>
              <w:bottom w:val="single" w:sz="4" w:space="0" w:color="auto"/>
              <w:right w:val="nil"/>
            </w:tcBorders>
          </w:tcPr>
          <w:p w14:paraId="5BD44108" w14:textId="77777777" w:rsidR="003E0B86" w:rsidRPr="009008FF" w:rsidRDefault="003E0B86" w:rsidP="00336415">
            <w:pPr>
              <w:spacing w:line="259" w:lineRule="auto"/>
              <w:jc w:val="center"/>
              <w:rPr>
                <w:rFonts w:ascii="Times New Roman" w:hAnsi="Times New Roman" w:cs="Times New Roman"/>
                <w:szCs w:val="20"/>
              </w:rPr>
            </w:pPr>
            <w:r w:rsidRPr="009008FF">
              <w:rPr>
                <w:rFonts w:ascii="Times New Roman" w:hAnsi="Times New Roman" w:cs="Times New Roman"/>
                <w:szCs w:val="20"/>
              </w:rPr>
              <w:t>2</w:t>
            </w:r>
            <w:r>
              <w:rPr>
                <w:rFonts w:ascii="Times New Roman" w:hAnsi="Times New Roman" w:cs="Times New Roman"/>
                <w:szCs w:val="20"/>
              </w:rPr>
              <w:t>.</w:t>
            </w:r>
            <w:r w:rsidRPr="009008FF">
              <w:rPr>
                <w:rFonts w:ascii="Times New Roman" w:hAnsi="Times New Roman" w:cs="Times New Roman"/>
                <w:szCs w:val="20"/>
              </w:rPr>
              <w:t>4</w:t>
            </w:r>
            <w:r>
              <w:rPr>
                <w:rFonts w:ascii="Times New Roman" w:hAnsi="Times New Roman" w:cs="Times New Roman"/>
                <w:szCs w:val="20"/>
              </w:rPr>
              <w:t>3</w:t>
            </w:r>
          </w:p>
        </w:tc>
        <w:tc>
          <w:tcPr>
            <w:tcW w:w="595" w:type="dxa"/>
            <w:tcBorders>
              <w:top w:val="nil"/>
              <w:left w:val="nil"/>
              <w:bottom w:val="single" w:sz="4" w:space="0" w:color="auto"/>
              <w:right w:val="nil"/>
            </w:tcBorders>
          </w:tcPr>
          <w:p w14:paraId="78CFA818" w14:textId="77777777" w:rsidR="003E0B86" w:rsidRPr="009008FF" w:rsidRDefault="003E0B86" w:rsidP="00336415">
            <w:pPr>
              <w:spacing w:line="259" w:lineRule="auto"/>
              <w:rPr>
                <w:rFonts w:ascii="Times New Roman" w:hAnsi="Times New Roman" w:cs="Times New Roman"/>
                <w:szCs w:val="20"/>
              </w:rPr>
            </w:pPr>
          </w:p>
        </w:tc>
        <w:tc>
          <w:tcPr>
            <w:tcW w:w="1229" w:type="dxa"/>
            <w:tcBorders>
              <w:top w:val="nil"/>
              <w:left w:val="nil"/>
              <w:bottom w:val="single" w:sz="4" w:space="0" w:color="auto"/>
              <w:right w:val="nil"/>
            </w:tcBorders>
          </w:tcPr>
          <w:p w14:paraId="517098E7" w14:textId="77777777" w:rsidR="003E0B86" w:rsidRPr="009008FF" w:rsidRDefault="003E0B86" w:rsidP="00336415">
            <w:pPr>
              <w:spacing w:line="259" w:lineRule="auto"/>
              <w:jc w:val="center"/>
              <w:rPr>
                <w:rFonts w:ascii="Times New Roman" w:hAnsi="Times New Roman" w:cs="Times New Roman"/>
                <w:szCs w:val="20"/>
              </w:rPr>
            </w:pPr>
            <w:r w:rsidRPr="009008FF">
              <w:rPr>
                <w:rFonts w:ascii="Times New Roman" w:hAnsi="Times New Roman" w:cs="Times New Roman"/>
                <w:szCs w:val="20"/>
              </w:rPr>
              <w:t>-5</w:t>
            </w:r>
            <w:r>
              <w:rPr>
                <w:rFonts w:ascii="Times New Roman" w:hAnsi="Times New Roman" w:cs="Times New Roman"/>
                <w:szCs w:val="20"/>
              </w:rPr>
              <w:t>.18</w:t>
            </w:r>
          </w:p>
        </w:tc>
        <w:tc>
          <w:tcPr>
            <w:tcW w:w="1276" w:type="dxa"/>
            <w:tcBorders>
              <w:top w:val="nil"/>
              <w:left w:val="nil"/>
              <w:bottom w:val="single" w:sz="4" w:space="0" w:color="auto"/>
              <w:right w:val="nil"/>
            </w:tcBorders>
          </w:tcPr>
          <w:p w14:paraId="67A6BD3E" w14:textId="77777777" w:rsidR="003E0B86" w:rsidRPr="009008FF" w:rsidRDefault="003E0B86" w:rsidP="00336415">
            <w:pPr>
              <w:spacing w:line="259" w:lineRule="auto"/>
              <w:jc w:val="center"/>
              <w:rPr>
                <w:rFonts w:ascii="Times New Roman" w:hAnsi="Times New Roman" w:cs="Times New Roman"/>
                <w:szCs w:val="20"/>
              </w:rPr>
            </w:pPr>
            <w:r w:rsidRPr="009008FF">
              <w:rPr>
                <w:rFonts w:ascii="Times New Roman" w:hAnsi="Times New Roman" w:cs="Times New Roman"/>
                <w:szCs w:val="20"/>
              </w:rPr>
              <w:t>-</w:t>
            </w:r>
            <w:r>
              <w:rPr>
                <w:rFonts w:ascii="Times New Roman" w:hAnsi="Times New Roman" w:cs="Times New Roman"/>
                <w:szCs w:val="20"/>
              </w:rPr>
              <w:t>2.80</w:t>
            </w:r>
          </w:p>
        </w:tc>
        <w:tc>
          <w:tcPr>
            <w:tcW w:w="1132" w:type="dxa"/>
            <w:tcBorders>
              <w:top w:val="nil"/>
              <w:left w:val="nil"/>
              <w:bottom w:val="single" w:sz="4" w:space="0" w:color="auto"/>
              <w:right w:val="nil"/>
            </w:tcBorders>
          </w:tcPr>
          <w:p w14:paraId="02B6DFE0" w14:textId="77777777" w:rsidR="003E0B86" w:rsidRPr="009008FF" w:rsidRDefault="003E0B86" w:rsidP="00336415">
            <w:pPr>
              <w:spacing w:line="259" w:lineRule="auto"/>
              <w:jc w:val="center"/>
              <w:rPr>
                <w:rFonts w:ascii="Times New Roman" w:hAnsi="Times New Roman" w:cs="Times New Roman"/>
                <w:szCs w:val="20"/>
              </w:rPr>
            </w:pPr>
            <w:r w:rsidRPr="009008FF">
              <w:rPr>
                <w:rFonts w:ascii="Times New Roman" w:hAnsi="Times New Roman" w:cs="Times New Roman"/>
                <w:szCs w:val="20"/>
              </w:rPr>
              <w:t>2</w:t>
            </w:r>
            <w:r>
              <w:rPr>
                <w:rFonts w:ascii="Times New Roman" w:hAnsi="Times New Roman" w:cs="Times New Roman"/>
                <w:szCs w:val="20"/>
              </w:rPr>
              <w:t>.37</w:t>
            </w:r>
          </w:p>
        </w:tc>
      </w:tr>
      <w:bookmarkEnd w:id="7"/>
    </w:tbl>
    <w:p w14:paraId="7CC6B5B3" w14:textId="6CDD5190" w:rsidR="00985218" w:rsidRDefault="00985218" w:rsidP="00985218">
      <w:pPr>
        <w:jc w:val="center"/>
        <w:rPr>
          <w:sz w:val="32"/>
          <w:szCs w:val="32"/>
          <w:lang w:val="en-GB"/>
        </w:rPr>
      </w:pPr>
    </w:p>
    <w:p w14:paraId="018EF7EE" w14:textId="4336D1DD" w:rsidR="00727832" w:rsidRDefault="00CC22EE" w:rsidP="00985218">
      <w:pPr>
        <w:jc w:val="center"/>
        <w:rPr>
          <w:sz w:val="32"/>
          <w:szCs w:val="32"/>
          <w:lang w:val="en-GB"/>
        </w:rPr>
      </w:pPr>
      <w:r>
        <w:rPr>
          <w:noProof/>
        </w:rPr>
        <w:drawing>
          <wp:anchor distT="0" distB="0" distL="114300" distR="114300" simplePos="0" relativeHeight="251659264" behindDoc="0" locked="0" layoutInCell="1" allowOverlap="1" wp14:anchorId="19F067E3" wp14:editId="291DD577">
            <wp:simplePos x="0" y="0"/>
            <wp:positionH relativeFrom="margin">
              <wp:align>right</wp:align>
            </wp:positionH>
            <wp:positionV relativeFrom="paragraph">
              <wp:posOffset>349250</wp:posOffset>
            </wp:positionV>
            <wp:extent cx="5760720" cy="4014470"/>
            <wp:effectExtent l="0" t="0" r="0" b="508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014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51F62" w14:textId="6253D72E" w:rsidR="00727832" w:rsidRDefault="00CC22EE" w:rsidP="00CC22EE">
      <w:pPr>
        <w:rPr>
          <w:rFonts w:asciiTheme="majorBidi" w:hAnsiTheme="majorBidi" w:cstheme="majorBidi"/>
          <w:color w:val="000000" w:themeColor="text1"/>
          <w:lang w:val="en-US"/>
        </w:rPr>
      </w:pPr>
      <w:r>
        <w:rPr>
          <w:b/>
          <w:bCs/>
          <w:szCs w:val="20"/>
          <w:lang w:val="en-GB"/>
        </w:rPr>
        <w:t xml:space="preserve">Figure </w:t>
      </w:r>
      <w:r w:rsidRPr="00B14CF7">
        <w:rPr>
          <w:b/>
          <w:bCs/>
          <w:szCs w:val="20"/>
          <w:lang w:val="en-US"/>
        </w:rPr>
        <w:t>S</w:t>
      </w:r>
      <w:r>
        <w:rPr>
          <w:b/>
          <w:bCs/>
          <w:szCs w:val="20"/>
          <w:lang w:val="en-US"/>
        </w:rPr>
        <w:t xml:space="preserve">1: </w:t>
      </w:r>
      <w:r w:rsidRPr="00CC22EE">
        <w:rPr>
          <w:rFonts w:asciiTheme="majorBidi" w:hAnsiTheme="majorBidi" w:cstheme="majorBidi"/>
          <w:color w:val="000000" w:themeColor="text1"/>
          <w:lang w:val="en-US"/>
        </w:rPr>
        <w:t xml:space="preserve">Simulated </w:t>
      </w:r>
      <w:r w:rsidRPr="00CC22EE">
        <w:rPr>
          <w:rFonts w:asciiTheme="majorBidi" w:hAnsiTheme="majorBidi" w:cstheme="majorBidi"/>
          <w:color w:val="000000" w:themeColor="text1"/>
          <w:shd w:val="clear" w:color="auto" w:fill="FFFFFF"/>
          <w:lang w:val="en-US"/>
        </w:rPr>
        <w:t xml:space="preserve">TDM and EDD for the investigated dyes </w:t>
      </w:r>
      <w:r w:rsidRPr="00CC22EE">
        <w:rPr>
          <w:rFonts w:asciiTheme="majorBidi" w:hAnsiTheme="majorBidi" w:cstheme="majorBidi"/>
          <w:b/>
          <w:bCs/>
          <w:color w:val="000000" w:themeColor="text1"/>
          <w:shd w:val="clear" w:color="auto" w:fill="FFFFFF"/>
          <w:lang w:val="en-US"/>
        </w:rPr>
        <w:t>Di (i = 1, 5)</w:t>
      </w:r>
      <w:r w:rsidRPr="00CC22EE">
        <w:rPr>
          <w:rFonts w:asciiTheme="majorBidi" w:hAnsiTheme="majorBidi" w:cstheme="majorBidi"/>
          <w:color w:val="000000" w:themeColor="text1"/>
          <w:shd w:val="clear" w:color="auto" w:fill="FFFFFF"/>
          <w:lang w:val="en-US"/>
        </w:rPr>
        <w:t xml:space="preserve"> and the reference molecule</w:t>
      </w:r>
      <w:r>
        <w:rPr>
          <w:rFonts w:asciiTheme="majorBidi" w:hAnsiTheme="majorBidi" w:cstheme="majorBidi"/>
          <w:color w:val="000000" w:themeColor="text1"/>
          <w:shd w:val="clear" w:color="auto" w:fill="FFFFFF"/>
          <w:lang w:val="en-US"/>
        </w:rPr>
        <w:t xml:space="preserve"> MKZ-39</w:t>
      </w:r>
      <w:r w:rsidRPr="00CC22EE">
        <w:rPr>
          <w:rFonts w:asciiTheme="majorBidi" w:hAnsiTheme="majorBidi" w:cstheme="majorBidi"/>
          <w:color w:val="000000" w:themeColor="text1"/>
          <w:shd w:val="clear" w:color="auto" w:fill="FFFFFF"/>
          <w:lang w:val="en-US"/>
        </w:rPr>
        <w:t xml:space="preserve"> in </w:t>
      </w:r>
      <w:r>
        <w:rPr>
          <w:rFonts w:asciiTheme="majorBidi" w:hAnsiTheme="majorBidi" w:cstheme="majorBidi"/>
          <w:color w:val="000000" w:themeColor="text1"/>
          <w:shd w:val="clear" w:color="auto" w:fill="FFFFFF"/>
          <w:lang w:val="en-US"/>
        </w:rPr>
        <w:t xml:space="preserve">gas phase </w:t>
      </w:r>
      <w:r w:rsidRPr="00CC22EE">
        <w:rPr>
          <w:rFonts w:asciiTheme="majorBidi" w:hAnsiTheme="majorBidi" w:cstheme="majorBidi"/>
          <w:color w:val="000000" w:themeColor="text1"/>
          <w:shd w:val="clear" w:color="auto" w:fill="FFFFFF"/>
          <w:lang w:val="en-US"/>
        </w:rPr>
        <w:t>at S</w:t>
      </w:r>
      <w:r w:rsidRPr="00CC22EE">
        <w:rPr>
          <w:rFonts w:asciiTheme="majorBidi" w:hAnsiTheme="majorBidi" w:cstheme="majorBidi"/>
          <w:color w:val="000000" w:themeColor="text1"/>
          <w:shd w:val="clear" w:color="auto" w:fill="FFFFFF"/>
          <w:vertAlign w:val="subscript"/>
          <w:lang w:val="en-US"/>
        </w:rPr>
        <w:t>1</w:t>
      </w:r>
      <w:r w:rsidRPr="00CC22EE">
        <w:rPr>
          <w:rFonts w:asciiTheme="majorBidi" w:hAnsiTheme="majorBidi" w:cstheme="majorBidi"/>
          <w:color w:val="000000" w:themeColor="text1"/>
          <w:shd w:val="clear" w:color="auto" w:fill="FFFFFF"/>
          <w:lang w:val="en-US"/>
        </w:rPr>
        <w:t xml:space="preserve"> </w:t>
      </w:r>
      <w:r w:rsidRPr="00CC22EE">
        <w:rPr>
          <w:rStyle w:val="Titre1Car"/>
          <w:rFonts w:asciiTheme="majorBidi" w:hAnsiTheme="majorBidi"/>
          <w:color w:val="000000" w:themeColor="text1"/>
          <w:sz w:val="22"/>
          <w:szCs w:val="22"/>
          <w:lang w:val="en-US"/>
        </w:rPr>
        <w:t xml:space="preserve">Donor (D), </w:t>
      </w:r>
      <w:r w:rsidRPr="00CC22EE">
        <w:rPr>
          <w:rFonts w:asciiTheme="majorBidi" w:hAnsiTheme="majorBidi" w:cstheme="majorBidi"/>
          <w:color w:val="000000" w:themeColor="text1"/>
          <w:lang w:val="en-US"/>
        </w:rPr>
        <w:t>Bridge (P) and Acceptor (A).</w:t>
      </w:r>
    </w:p>
    <w:p w14:paraId="42205C19" w14:textId="1FA15FC1" w:rsidR="00CC22EE" w:rsidRDefault="00CC22EE" w:rsidP="00CC22EE">
      <w:pPr>
        <w:rPr>
          <w:rFonts w:asciiTheme="majorBidi" w:hAnsiTheme="majorBidi" w:cstheme="majorBidi"/>
          <w:color w:val="000000" w:themeColor="text1"/>
          <w:lang w:val="en-GB"/>
        </w:rPr>
      </w:pPr>
    </w:p>
    <w:p w14:paraId="0FC3430F" w14:textId="77777777" w:rsidR="00E04FD5" w:rsidRPr="00CC22EE" w:rsidRDefault="00E04FD5" w:rsidP="00CC22EE">
      <w:pPr>
        <w:rPr>
          <w:rFonts w:asciiTheme="majorBidi" w:hAnsiTheme="majorBidi" w:cstheme="majorBidi"/>
          <w:color w:val="000000" w:themeColor="text1"/>
          <w:lang w:val="en-GB"/>
        </w:rPr>
      </w:pPr>
    </w:p>
    <w:p w14:paraId="6E3593A1" w14:textId="77777777" w:rsidR="00985218" w:rsidRPr="00985218" w:rsidRDefault="00985218" w:rsidP="00985218">
      <w:pPr>
        <w:rPr>
          <w:b/>
          <w:bCs/>
          <w:sz w:val="24"/>
          <w:szCs w:val="24"/>
          <w:lang w:val="en-GB"/>
        </w:rPr>
      </w:pPr>
      <w:r w:rsidRPr="00985218">
        <w:rPr>
          <w:b/>
          <w:bCs/>
          <w:sz w:val="24"/>
          <w:szCs w:val="24"/>
          <w:lang w:val="en-GB"/>
        </w:rPr>
        <w:lastRenderedPageBreak/>
        <w:t>References</w:t>
      </w:r>
    </w:p>
    <w:sdt>
      <w:sdtPr>
        <w:rPr>
          <w:lang w:val="en-GB"/>
        </w:rPr>
        <w:tag w:val="MENDELEY_BIBLIOGRAPHY"/>
        <w:id w:val="-2041586476"/>
        <w:placeholder>
          <w:docPart w:val="804D8A4937D34988A89CFBEB254FE31F"/>
        </w:placeholder>
      </w:sdtPr>
      <w:sdtEndPr>
        <w:rPr>
          <w:sz w:val="20"/>
          <w:szCs w:val="20"/>
        </w:rPr>
      </w:sdtEndPr>
      <w:sdtContent>
        <w:p w14:paraId="220BF4E4" w14:textId="7E9DF85B" w:rsidR="00DC186D" w:rsidRDefault="00DC186D">
          <w:pPr>
            <w:autoSpaceDE w:val="0"/>
            <w:autoSpaceDN w:val="0"/>
            <w:ind w:hanging="480"/>
            <w:divId w:val="1954439155"/>
            <w:rPr>
              <w:rFonts w:eastAsia="Times New Roman"/>
            </w:rPr>
          </w:pPr>
          <w:r>
            <w:rPr>
              <w:rFonts w:eastAsia="Times New Roman"/>
            </w:rPr>
            <w:t xml:space="preserve">Babu, D.D., Gachumale, S.R., Anandan, S., Adhikari, A.V., 2015. New D-π-A type indole based chromogens for DSSC: Design, synthesis and performance studies. Dyes and Pigments 112, 183–191. </w:t>
          </w:r>
          <w:hyperlink r:id="rId10" w:history="1">
            <w:r w:rsidRPr="00E1411D">
              <w:rPr>
                <w:rStyle w:val="Lienhypertexte"/>
                <w:rFonts w:eastAsia="Times New Roman"/>
              </w:rPr>
              <w:t>https://doi.org/10.1016/j.dyepig.2014.07.006</w:t>
            </w:r>
          </w:hyperlink>
        </w:p>
        <w:p w14:paraId="3FBEA4EC" w14:textId="2D8725ED" w:rsidR="00DC186D" w:rsidRDefault="00DC186D">
          <w:pPr>
            <w:autoSpaceDE w:val="0"/>
            <w:autoSpaceDN w:val="0"/>
            <w:ind w:hanging="480"/>
            <w:divId w:val="489491518"/>
            <w:rPr>
              <w:rFonts w:eastAsia="Times New Roman"/>
            </w:rPr>
          </w:pPr>
          <w:r>
            <w:rPr>
              <w:rFonts w:eastAsia="Times New Roman"/>
            </w:rPr>
            <w:t xml:space="preserve">Boschloo, G., Hagfeldt, A., 2009. Characteristics of the Iodide/Triiodide Redox Mediator in Dye-Sensitized Solar Cells. Acc Chem Res 42, 1819–1826. </w:t>
          </w:r>
          <w:hyperlink r:id="rId11" w:history="1">
            <w:r w:rsidRPr="00E1411D">
              <w:rPr>
                <w:rStyle w:val="Lienhypertexte"/>
                <w:rFonts w:eastAsia="Times New Roman"/>
              </w:rPr>
              <w:t>https://doi.org/10.1021/ar900138m</w:t>
            </w:r>
          </w:hyperlink>
        </w:p>
        <w:p w14:paraId="0FC9C043" w14:textId="6CB28324" w:rsidR="00DC186D" w:rsidRDefault="00DC186D">
          <w:pPr>
            <w:autoSpaceDE w:val="0"/>
            <w:autoSpaceDN w:val="0"/>
            <w:ind w:hanging="480"/>
            <w:divId w:val="1160121464"/>
            <w:rPr>
              <w:rFonts w:eastAsia="Times New Roman"/>
            </w:rPr>
          </w:pPr>
          <w:r>
            <w:rPr>
              <w:rFonts w:eastAsia="Times New Roman"/>
            </w:rPr>
            <w:t xml:space="preserve">Deng, W.F. and W., 2013. Incorporation of Thiadiazole Derivatives as π-Spacer to Construct Efficient Metal-free Organic Dye Sensitizers for Dye-sensitized Solar Cells: A Theoretical Study. Communications in Computational Chemistry 1, 152–170. </w:t>
          </w:r>
          <w:hyperlink r:id="rId12" w:history="1">
            <w:r w:rsidRPr="00E1411D">
              <w:rPr>
                <w:rStyle w:val="Lienhypertexte"/>
                <w:rFonts w:eastAsia="Times New Roman"/>
              </w:rPr>
              <w:t>https://doi.org/10.4208/CICC.2013.V1.N2.6</w:t>
            </w:r>
          </w:hyperlink>
        </w:p>
        <w:p w14:paraId="49E18B9A" w14:textId="26AB7735" w:rsidR="00DC186D" w:rsidRDefault="00DC186D">
          <w:pPr>
            <w:autoSpaceDE w:val="0"/>
            <w:autoSpaceDN w:val="0"/>
            <w:ind w:hanging="480"/>
            <w:divId w:val="1910461711"/>
            <w:rPr>
              <w:rFonts w:eastAsia="Times New Roman"/>
            </w:rPr>
          </w:pPr>
          <w:r>
            <w:rPr>
              <w:rFonts w:eastAsia="Times New Roman"/>
            </w:rPr>
            <w:t xml:space="preserve">Katoh, R., Furube, A., Yoshihara, T., Hara, K., Fujihashi, G., Takano, S., Murata, S., Arakawa, H., Tachiya, M., 2004. Efficiencies of Electron Injection from Excited N3 Dye into Nanocrystalline Semiconductor (ZrO2, TiO2, ZnO, Nb2O5, SnO2, In2O3) Films. J Phys Chem B 108, 4818–4822. </w:t>
          </w:r>
          <w:hyperlink r:id="rId13" w:history="1">
            <w:r w:rsidRPr="00E1411D">
              <w:rPr>
                <w:rStyle w:val="Lienhypertexte"/>
                <w:rFonts w:eastAsia="Times New Roman"/>
              </w:rPr>
              <w:t>https://doi.org/10.1021/jp031260g</w:t>
            </w:r>
          </w:hyperlink>
        </w:p>
        <w:p w14:paraId="6CB574CD" w14:textId="3ADA324C" w:rsidR="00DC186D" w:rsidRDefault="00DC186D">
          <w:pPr>
            <w:autoSpaceDE w:val="0"/>
            <w:autoSpaceDN w:val="0"/>
            <w:ind w:hanging="480"/>
            <w:divId w:val="927888847"/>
            <w:rPr>
              <w:rFonts w:eastAsia="Times New Roman"/>
            </w:rPr>
          </w:pPr>
          <w:r>
            <w:rPr>
              <w:rFonts w:eastAsia="Times New Roman"/>
            </w:rPr>
            <w:t xml:space="preserve">Menzel, R., Ogermann, D., Kupfer, S., Weiß, D., Görls, H., Kleinermanns, K., González, L., Beckert, R., 2012. 4-Methoxy-1,3-thiazole based donor-acceptor dyes: Characterization, X-ray structure, DFT calculations and test as sensitizers for DSSC. Dyes and Pigments 94, 512–524. </w:t>
          </w:r>
          <w:hyperlink r:id="rId14" w:history="1">
            <w:r w:rsidRPr="00E1411D">
              <w:rPr>
                <w:rStyle w:val="Lienhypertexte"/>
                <w:rFonts w:eastAsia="Times New Roman"/>
              </w:rPr>
              <w:t>https://doi.org/10.1016/j.dyepig.2012.02.014</w:t>
            </w:r>
          </w:hyperlink>
        </w:p>
        <w:p w14:paraId="084EBEDB" w14:textId="27247353" w:rsidR="00DC186D" w:rsidRDefault="00DC186D">
          <w:pPr>
            <w:autoSpaceDE w:val="0"/>
            <w:autoSpaceDN w:val="0"/>
            <w:ind w:hanging="480"/>
            <w:divId w:val="685375642"/>
            <w:rPr>
              <w:rFonts w:eastAsia="Times New Roman"/>
            </w:rPr>
          </w:pPr>
          <w:r>
            <w:rPr>
              <w:rFonts w:eastAsia="Times New Roman"/>
            </w:rPr>
            <w:t xml:space="preserve">Ning, Z., Fu, Y., Tian, H., 2010. Improvement of dye-sensitized solar cells: what we know and what we need to know. Energy Environ. Sci. 3, 1170–1181. </w:t>
          </w:r>
          <w:hyperlink r:id="rId15" w:history="1">
            <w:r w:rsidRPr="00E1411D">
              <w:rPr>
                <w:rStyle w:val="Lienhypertexte"/>
                <w:rFonts w:eastAsia="Times New Roman"/>
              </w:rPr>
              <w:t>https://doi.org/10.1039/C003841E</w:t>
            </w:r>
          </w:hyperlink>
        </w:p>
        <w:p w14:paraId="4FFC9E11" w14:textId="55DD53C8" w:rsidR="00DC186D" w:rsidRDefault="00DC186D">
          <w:pPr>
            <w:autoSpaceDE w:val="0"/>
            <w:autoSpaceDN w:val="0"/>
            <w:ind w:hanging="480"/>
            <w:divId w:val="344938102"/>
            <w:rPr>
              <w:rFonts w:eastAsia="Times New Roman"/>
            </w:rPr>
          </w:pPr>
          <w:r>
            <w:rPr>
              <w:rFonts w:eastAsia="Times New Roman"/>
            </w:rPr>
            <w:t xml:space="preserve">sang-aroon, W., Saekow, S., Amornkitbamrung, V., 2013. Density functional theory study on the electronic structure of Monascus dyes as photosensitizer for dye-sensitized solar cells. J Photochem Photobiol A Chem 236, 35–40. </w:t>
          </w:r>
          <w:hyperlink r:id="rId16" w:history="1">
            <w:r w:rsidRPr="00E1411D">
              <w:rPr>
                <w:rStyle w:val="Lienhypertexte"/>
                <w:rFonts w:eastAsia="Times New Roman"/>
              </w:rPr>
              <w:t>https://doi.org/10.1016/j.jphotochem.2012.03.014</w:t>
            </w:r>
          </w:hyperlink>
        </w:p>
        <w:p w14:paraId="2948C918" w14:textId="3E8D8556" w:rsidR="00DC186D" w:rsidRDefault="00DC186D">
          <w:pPr>
            <w:autoSpaceDE w:val="0"/>
            <w:autoSpaceDN w:val="0"/>
            <w:ind w:hanging="480"/>
            <w:divId w:val="518003857"/>
            <w:rPr>
              <w:rFonts w:eastAsia="Times New Roman"/>
            </w:rPr>
          </w:pPr>
          <w:r>
            <w:rPr>
              <w:rFonts w:eastAsia="Times New Roman"/>
            </w:rPr>
            <w:t xml:space="preserve">Srinivas, K., Kumar, C.R., Reddy, M.A., Bhanuprakash, K., Rao, V.J., Giribabu, L., 2011. D-Ï€-A organic dyes with carbazole as donor for dye-sensitized solar cells. Synth Met 161, 96–105. </w:t>
          </w:r>
          <w:hyperlink r:id="rId17" w:history="1">
            <w:r w:rsidRPr="00E1411D">
              <w:rPr>
                <w:rStyle w:val="Lienhypertexte"/>
                <w:rFonts w:eastAsia="Times New Roman"/>
              </w:rPr>
              <w:t>https://doi.org/10.1016/j.synthmet.2010.11.004</w:t>
            </w:r>
          </w:hyperlink>
        </w:p>
        <w:p w14:paraId="68576C2B" w14:textId="083E6FFF" w:rsidR="00DC186D" w:rsidRDefault="00DC186D">
          <w:pPr>
            <w:autoSpaceDE w:val="0"/>
            <w:autoSpaceDN w:val="0"/>
            <w:ind w:hanging="480"/>
            <w:divId w:val="1802843302"/>
            <w:rPr>
              <w:rFonts w:eastAsia="Times New Roman"/>
            </w:rPr>
          </w:pPr>
          <w:r>
            <w:rPr>
              <w:rFonts w:eastAsia="Times New Roman"/>
            </w:rPr>
            <w:t xml:space="preserve">Yang, Z., Liu, Y., Liu, C., Lin, C., Shao, C., 2016. TDDFT screening auxiliary withdrawing group and design the novel D-A-Ï€-A organic dyes based on indoline dye for highly efficient dye-sensitized solar cells. Spectrochim Acta A Mol Biomol Spectrosc 167, 127–133. </w:t>
          </w:r>
          <w:hyperlink r:id="rId18" w:history="1">
            <w:r w:rsidRPr="00E1411D">
              <w:rPr>
                <w:rStyle w:val="Lienhypertexte"/>
                <w:rFonts w:eastAsia="Times New Roman"/>
              </w:rPr>
              <w:t>https://doi.org/10.1016/j.saa.2016.05.041</w:t>
            </w:r>
          </w:hyperlink>
        </w:p>
        <w:p w14:paraId="2EFDF11C" w14:textId="7CDD8E46" w:rsidR="00985218" w:rsidRPr="00774A23" w:rsidRDefault="00DC186D" w:rsidP="00985218">
          <w:pPr>
            <w:autoSpaceDE w:val="0"/>
            <w:autoSpaceDN w:val="0"/>
            <w:spacing w:after="0" w:line="360" w:lineRule="auto"/>
            <w:ind w:hanging="640"/>
            <w:jc w:val="both"/>
            <w:rPr>
              <w:sz w:val="20"/>
              <w:szCs w:val="20"/>
              <w:lang w:val="en-GB"/>
            </w:rPr>
          </w:pPr>
          <w:r>
            <w:rPr>
              <w:rFonts w:eastAsia="Times New Roman"/>
            </w:rPr>
            <w:t> </w:t>
          </w:r>
        </w:p>
      </w:sdtContent>
    </w:sdt>
    <w:p w14:paraId="5F178DD8" w14:textId="77777777" w:rsidR="00582737" w:rsidRPr="00985218" w:rsidRDefault="00582737" w:rsidP="00985218"/>
    <w:sectPr w:rsidR="00582737" w:rsidRPr="009852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6F2A2" w14:textId="77777777" w:rsidR="006722AB" w:rsidRDefault="006722AB" w:rsidP="003A0BF3">
      <w:pPr>
        <w:spacing w:after="0" w:line="240" w:lineRule="auto"/>
      </w:pPr>
      <w:r>
        <w:separator/>
      </w:r>
    </w:p>
  </w:endnote>
  <w:endnote w:type="continuationSeparator" w:id="0">
    <w:p w14:paraId="2AB6FD06" w14:textId="77777777" w:rsidR="006722AB" w:rsidRDefault="006722AB" w:rsidP="003A0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1711C" w14:textId="77777777" w:rsidR="006722AB" w:rsidRDefault="006722AB" w:rsidP="003A0BF3">
      <w:pPr>
        <w:spacing w:after="0" w:line="240" w:lineRule="auto"/>
      </w:pPr>
      <w:r>
        <w:separator/>
      </w:r>
    </w:p>
  </w:footnote>
  <w:footnote w:type="continuationSeparator" w:id="0">
    <w:p w14:paraId="1978D71F" w14:textId="77777777" w:rsidR="006722AB" w:rsidRDefault="006722AB" w:rsidP="003A0B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5606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40A03B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FAF053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6873A17"/>
    <w:multiLevelType w:val="hybridMultilevel"/>
    <w:tmpl w:val="66E4CB5A"/>
    <w:lvl w:ilvl="0" w:tplc="59CEC02C">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E9645D4"/>
    <w:multiLevelType w:val="multilevel"/>
    <w:tmpl w:val="1CC40E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645932118">
    <w:abstractNumId w:val="2"/>
  </w:num>
  <w:num w:numId="2" w16cid:durableId="676463412">
    <w:abstractNumId w:val="0"/>
  </w:num>
  <w:num w:numId="3" w16cid:durableId="1798138598">
    <w:abstractNumId w:val="4"/>
  </w:num>
  <w:num w:numId="4" w16cid:durableId="1826973761">
    <w:abstractNumId w:val="1"/>
  </w:num>
  <w:num w:numId="5" w16cid:durableId="19577839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M1MTc2MTE0MjewNDdQ0lEKTi0uzszPAykwtKgFADNIeKktAAAA"/>
  </w:docVars>
  <w:rsids>
    <w:rsidRoot w:val="00582737"/>
    <w:rsid w:val="0000334F"/>
    <w:rsid w:val="00050318"/>
    <w:rsid w:val="00084BD0"/>
    <w:rsid w:val="0009512A"/>
    <w:rsid w:val="000F4BE9"/>
    <w:rsid w:val="00124ADB"/>
    <w:rsid w:val="001722FA"/>
    <w:rsid w:val="001C0166"/>
    <w:rsid w:val="001C3520"/>
    <w:rsid w:val="00287A25"/>
    <w:rsid w:val="0031016E"/>
    <w:rsid w:val="0035125A"/>
    <w:rsid w:val="00374EB3"/>
    <w:rsid w:val="00386B9E"/>
    <w:rsid w:val="003878C8"/>
    <w:rsid w:val="003A0BF3"/>
    <w:rsid w:val="003A2702"/>
    <w:rsid w:val="003B41D1"/>
    <w:rsid w:val="003C2C58"/>
    <w:rsid w:val="003E0B86"/>
    <w:rsid w:val="00436244"/>
    <w:rsid w:val="004D609F"/>
    <w:rsid w:val="005203A8"/>
    <w:rsid w:val="00546147"/>
    <w:rsid w:val="00550162"/>
    <w:rsid w:val="00581002"/>
    <w:rsid w:val="00582737"/>
    <w:rsid w:val="00614ACE"/>
    <w:rsid w:val="006722AB"/>
    <w:rsid w:val="006D7BAA"/>
    <w:rsid w:val="006D7DA2"/>
    <w:rsid w:val="007231B8"/>
    <w:rsid w:val="00727832"/>
    <w:rsid w:val="00752FB5"/>
    <w:rsid w:val="00765467"/>
    <w:rsid w:val="00774A23"/>
    <w:rsid w:val="00784480"/>
    <w:rsid w:val="007B3554"/>
    <w:rsid w:val="007F3946"/>
    <w:rsid w:val="0087715D"/>
    <w:rsid w:val="0095230E"/>
    <w:rsid w:val="00985218"/>
    <w:rsid w:val="009C2BF3"/>
    <w:rsid w:val="00A366CD"/>
    <w:rsid w:val="00A52C53"/>
    <w:rsid w:val="00A54B45"/>
    <w:rsid w:val="00A55443"/>
    <w:rsid w:val="00AA6517"/>
    <w:rsid w:val="00AF06EA"/>
    <w:rsid w:val="00AF405D"/>
    <w:rsid w:val="00AF6D28"/>
    <w:rsid w:val="00AF6D40"/>
    <w:rsid w:val="00B14CF7"/>
    <w:rsid w:val="00B3245A"/>
    <w:rsid w:val="00B32795"/>
    <w:rsid w:val="00B964BA"/>
    <w:rsid w:val="00BD2E05"/>
    <w:rsid w:val="00C170FD"/>
    <w:rsid w:val="00C8141D"/>
    <w:rsid w:val="00CC22EE"/>
    <w:rsid w:val="00CC278E"/>
    <w:rsid w:val="00D611F1"/>
    <w:rsid w:val="00D775D4"/>
    <w:rsid w:val="00DA0006"/>
    <w:rsid w:val="00DC186D"/>
    <w:rsid w:val="00E04FD5"/>
    <w:rsid w:val="00E33F34"/>
    <w:rsid w:val="00F727C3"/>
    <w:rsid w:val="00F8611C"/>
    <w:rsid w:val="00FB267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44585"/>
  <w15:chartTrackingRefBased/>
  <w15:docId w15:val="{730BD647-03BF-410E-9B9F-9E18B2DB1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218"/>
  </w:style>
  <w:style w:type="paragraph" w:styleId="Titre1">
    <w:name w:val="heading 1"/>
    <w:basedOn w:val="Normal"/>
    <w:next w:val="Normal"/>
    <w:link w:val="Titre1Car"/>
    <w:uiPriority w:val="9"/>
    <w:qFormat/>
    <w:rsid w:val="00CC22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084BD0"/>
    <w:pPr>
      <w:keepNext/>
      <w:keepLines/>
      <w:spacing w:before="40" w:after="0" w:line="360" w:lineRule="auto"/>
      <w:outlineLvl w:val="1"/>
    </w:pPr>
    <w:rPr>
      <w:rFonts w:asciiTheme="majorBidi" w:eastAsiaTheme="majorEastAsia" w:hAnsiTheme="majorBidi" w:cstheme="majorBidi"/>
      <w:color w:val="000000" w:themeColor="text1"/>
      <w:sz w:val="24"/>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82737"/>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582737"/>
    <w:rPr>
      <w:color w:val="808080"/>
    </w:rPr>
  </w:style>
  <w:style w:type="character" w:styleId="Lienhypertexte">
    <w:name w:val="Hyperlink"/>
    <w:basedOn w:val="Policepardfaut"/>
    <w:uiPriority w:val="99"/>
    <w:unhideWhenUsed/>
    <w:rsid w:val="00E33F34"/>
    <w:rPr>
      <w:color w:val="0563C1" w:themeColor="hyperlink"/>
      <w:u w:val="single"/>
    </w:rPr>
  </w:style>
  <w:style w:type="character" w:customStyle="1" w:styleId="Mentionnonrsolue1">
    <w:name w:val="Mention non résolue1"/>
    <w:basedOn w:val="Policepardfaut"/>
    <w:uiPriority w:val="99"/>
    <w:semiHidden/>
    <w:unhideWhenUsed/>
    <w:rsid w:val="00E33F34"/>
    <w:rPr>
      <w:color w:val="605E5C"/>
      <w:shd w:val="clear" w:color="auto" w:fill="E1DFDD"/>
    </w:rPr>
  </w:style>
  <w:style w:type="character" w:styleId="Lienhypertextesuivivisit">
    <w:name w:val="FollowedHyperlink"/>
    <w:basedOn w:val="Policepardfaut"/>
    <w:uiPriority w:val="99"/>
    <w:semiHidden/>
    <w:unhideWhenUsed/>
    <w:rsid w:val="00DA0006"/>
    <w:rPr>
      <w:color w:val="954F72" w:themeColor="followedHyperlink"/>
      <w:u w:val="single"/>
    </w:rPr>
  </w:style>
  <w:style w:type="character" w:customStyle="1" w:styleId="Titre2Car">
    <w:name w:val="Titre 2 Car"/>
    <w:basedOn w:val="Policepardfaut"/>
    <w:link w:val="Titre2"/>
    <w:uiPriority w:val="9"/>
    <w:rsid w:val="00084BD0"/>
    <w:rPr>
      <w:rFonts w:asciiTheme="majorBidi" w:eastAsiaTheme="majorEastAsia" w:hAnsiTheme="majorBidi" w:cstheme="majorBidi"/>
      <w:color w:val="000000" w:themeColor="text1"/>
      <w:sz w:val="24"/>
      <w:szCs w:val="26"/>
    </w:rPr>
  </w:style>
  <w:style w:type="paragraph" w:styleId="Paragraphedeliste">
    <w:name w:val="List Paragraph"/>
    <w:basedOn w:val="Normal"/>
    <w:uiPriority w:val="34"/>
    <w:qFormat/>
    <w:rsid w:val="00084BD0"/>
    <w:pPr>
      <w:ind w:left="720"/>
      <w:contextualSpacing/>
    </w:pPr>
  </w:style>
  <w:style w:type="table" w:customStyle="1" w:styleId="TableGrid">
    <w:name w:val="TableGrid"/>
    <w:rsid w:val="00A55443"/>
    <w:pPr>
      <w:spacing w:after="0" w:line="240" w:lineRule="auto"/>
    </w:pPr>
    <w:rPr>
      <w:rFonts w:asciiTheme="minorHAnsi" w:eastAsiaTheme="minorEastAsia" w:hAnsiTheme="minorHAnsi"/>
      <w:lang w:eastAsia="fr-FR"/>
    </w:rPr>
    <w:tblPr>
      <w:tblCellMar>
        <w:top w:w="0" w:type="dxa"/>
        <w:left w:w="0" w:type="dxa"/>
        <w:bottom w:w="0" w:type="dxa"/>
        <w:right w:w="0" w:type="dxa"/>
      </w:tblCellMar>
    </w:tblPr>
  </w:style>
  <w:style w:type="paragraph" w:customStyle="1" w:styleId="FIG">
    <w:name w:val="FIG"/>
    <w:basedOn w:val="Lgende"/>
    <w:link w:val="FIGCar"/>
    <w:qFormat/>
    <w:rsid w:val="00A55443"/>
    <w:pPr>
      <w:ind w:right="103" w:firstLine="329"/>
    </w:pPr>
    <w:rPr>
      <w:rFonts w:eastAsia="Calibri" w:cs="Calibri"/>
      <w:i w:val="0"/>
      <w:color w:val="000000" w:themeColor="text1"/>
      <w:sz w:val="22"/>
      <w:lang w:eastAsia="fr-FR"/>
    </w:rPr>
  </w:style>
  <w:style w:type="character" w:customStyle="1" w:styleId="FIGCar">
    <w:name w:val="FIG Car"/>
    <w:basedOn w:val="Policepardfaut"/>
    <w:link w:val="FIG"/>
    <w:rsid w:val="00A55443"/>
    <w:rPr>
      <w:rFonts w:eastAsia="Calibri" w:cs="Calibri"/>
      <w:iCs/>
      <w:color w:val="000000" w:themeColor="text1"/>
      <w:szCs w:val="18"/>
      <w:lang w:eastAsia="fr-FR"/>
    </w:rPr>
  </w:style>
  <w:style w:type="paragraph" w:styleId="Lgende">
    <w:name w:val="caption"/>
    <w:basedOn w:val="Normal"/>
    <w:next w:val="Normal"/>
    <w:uiPriority w:val="35"/>
    <w:semiHidden/>
    <w:unhideWhenUsed/>
    <w:qFormat/>
    <w:rsid w:val="00A55443"/>
    <w:pPr>
      <w:spacing w:after="200" w:line="240" w:lineRule="auto"/>
    </w:pPr>
    <w:rPr>
      <w:i/>
      <w:iCs/>
      <w:color w:val="44546A" w:themeColor="text2"/>
      <w:sz w:val="18"/>
      <w:szCs w:val="18"/>
    </w:rPr>
  </w:style>
  <w:style w:type="paragraph" w:styleId="En-tte">
    <w:name w:val="header"/>
    <w:basedOn w:val="Normal"/>
    <w:link w:val="En-tteCar"/>
    <w:uiPriority w:val="99"/>
    <w:unhideWhenUsed/>
    <w:rsid w:val="003A0BF3"/>
    <w:pPr>
      <w:tabs>
        <w:tab w:val="center" w:pos="4153"/>
        <w:tab w:val="right" w:pos="8306"/>
      </w:tabs>
      <w:spacing w:after="0" w:line="240" w:lineRule="auto"/>
    </w:pPr>
  </w:style>
  <w:style w:type="character" w:customStyle="1" w:styleId="En-tteCar">
    <w:name w:val="En-tête Car"/>
    <w:basedOn w:val="Policepardfaut"/>
    <w:link w:val="En-tte"/>
    <w:uiPriority w:val="99"/>
    <w:rsid w:val="003A0BF3"/>
  </w:style>
  <w:style w:type="paragraph" w:styleId="Pieddepage">
    <w:name w:val="footer"/>
    <w:basedOn w:val="Normal"/>
    <w:link w:val="PieddepageCar"/>
    <w:uiPriority w:val="99"/>
    <w:unhideWhenUsed/>
    <w:rsid w:val="003A0BF3"/>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3A0BF3"/>
  </w:style>
  <w:style w:type="character" w:styleId="Mentionnonrsolue">
    <w:name w:val="Unresolved Mention"/>
    <w:basedOn w:val="Policepardfaut"/>
    <w:uiPriority w:val="99"/>
    <w:semiHidden/>
    <w:unhideWhenUsed/>
    <w:rsid w:val="00DC186D"/>
    <w:rPr>
      <w:color w:val="605E5C"/>
      <w:shd w:val="clear" w:color="auto" w:fill="E1DFDD"/>
    </w:rPr>
  </w:style>
  <w:style w:type="character" w:customStyle="1" w:styleId="Titre1Car">
    <w:name w:val="Titre 1 Car"/>
    <w:basedOn w:val="Policepardfaut"/>
    <w:link w:val="Titre1"/>
    <w:uiPriority w:val="9"/>
    <w:rsid w:val="00CC22E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955180">
      <w:bodyDiv w:val="1"/>
      <w:marLeft w:val="0"/>
      <w:marRight w:val="0"/>
      <w:marTop w:val="0"/>
      <w:marBottom w:val="0"/>
      <w:divBdr>
        <w:top w:val="none" w:sz="0" w:space="0" w:color="auto"/>
        <w:left w:val="none" w:sz="0" w:space="0" w:color="auto"/>
        <w:bottom w:val="none" w:sz="0" w:space="0" w:color="auto"/>
        <w:right w:val="none" w:sz="0" w:space="0" w:color="auto"/>
      </w:divBdr>
      <w:divsChild>
        <w:div w:id="1247495903">
          <w:marLeft w:val="640"/>
          <w:marRight w:val="0"/>
          <w:marTop w:val="0"/>
          <w:marBottom w:val="0"/>
          <w:divBdr>
            <w:top w:val="none" w:sz="0" w:space="0" w:color="auto"/>
            <w:left w:val="none" w:sz="0" w:space="0" w:color="auto"/>
            <w:bottom w:val="none" w:sz="0" w:space="0" w:color="auto"/>
            <w:right w:val="none" w:sz="0" w:space="0" w:color="auto"/>
          </w:divBdr>
        </w:div>
        <w:div w:id="127555830">
          <w:marLeft w:val="640"/>
          <w:marRight w:val="0"/>
          <w:marTop w:val="0"/>
          <w:marBottom w:val="0"/>
          <w:divBdr>
            <w:top w:val="none" w:sz="0" w:space="0" w:color="auto"/>
            <w:left w:val="none" w:sz="0" w:space="0" w:color="auto"/>
            <w:bottom w:val="none" w:sz="0" w:space="0" w:color="auto"/>
            <w:right w:val="none" w:sz="0" w:space="0" w:color="auto"/>
          </w:divBdr>
        </w:div>
        <w:div w:id="1912500230">
          <w:marLeft w:val="640"/>
          <w:marRight w:val="0"/>
          <w:marTop w:val="0"/>
          <w:marBottom w:val="0"/>
          <w:divBdr>
            <w:top w:val="none" w:sz="0" w:space="0" w:color="auto"/>
            <w:left w:val="none" w:sz="0" w:space="0" w:color="auto"/>
            <w:bottom w:val="none" w:sz="0" w:space="0" w:color="auto"/>
            <w:right w:val="none" w:sz="0" w:space="0" w:color="auto"/>
          </w:divBdr>
        </w:div>
        <w:div w:id="1167481480">
          <w:marLeft w:val="640"/>
          <w:marRight w:val="0"/>
          <w:marTop w:val="0"/>
          <w:marBottom w:val="0"/>
          <w:divBdr>
            <w:top w:val="none" w:sz="0" w:space="0" w:color="auto"/>
            <w:left w:val="none" w:sz="0" w:space="0" w:color="auto"/>
            <w:bottom w:val="none" w:sz="0" w:space="0" w:color="auto"/>
            <w:right w:val="none" w:sz="0" w:space="0" w:color="auto"/>
          </w:divBdr>
        </w:div>
        <w:div w:id="1173571479">
          <w:marLeft w:val="640"/>
          <w:marRight w:val="0"/>
          <w:marTop w:val="0"/>
          <w:marBottom w:val="0"/>
          <w:divBdr>
            <w:top w:val="none" w:sz="0" w:space="0" w:color="auto"/>
            <w:left w:val="none" w:sz="0" w:space="0" w:color="auto"/>
            <w:bottom w:val="none" w:sz="0" w:space="0" w:color="auto"/>
            <w:right w:val="none" w:sz="0" w:space="0" w:color="auto"/>
          </w:divBdr>
        </w:div>
        <w:div w:id="42363648">
          <w:marLeft w:val="640"/>
          <w:marRight w:val="0"/>
          <w:marTop w:val="0"/>
          <w:marBottom w:val="0"/>
          <w:divBdr>
            <w:top w:val="none" w:sz="0" w:space="0" w:color="auto"/>
            <w:left w:val="none" w:sz="0" w:space="0" w:color="auto"/>
            <w:bottom w:val="none" w:sz="0" w:space="0" w:color="auto"/>
            <w:right w:val="none" w:sz="0" w:space="0" w:color="auto"/>
          </w:divBdr>
        </w:div>
        <w:div w:id="220362786">
          <w:marLeft w:val="640"/>
          <w:marRight w:val="0"/>
          <w:marTop w:val="0"/>
          <w:marBottom w:val="0"/>
          <w:divBdr>
            <w:top w:val="none" w:sz="0" w:space="0" w:color="auto"/>
            <w:left w:val="none" w:sz="0" w:space="0" w:color="auto"/>
            <w:bottom w:val="none" w:sz="0" w:space="0" w:color="auto"/>
            <w:right w:val="none" w:sz="0" w:space="0" w:color="auto"/>
          </w:divBdr>
        </w:div>
        <w:div w:id="1788238958">
          <w:marLeft w:val="640"/>
          <w:marRight w:val="0"/>
          <w:marTop w:val="0"/>
          <w:marBottom w:val="0"/>
          <w:divBdr>
            <w:top w:val="none" w:sz="0" w:space="0" w:color="auto"/>
            <w:left w:val="none" w:sz="0" w:space="0" w:color="auto"/>
            <w:bottom w:val="none" w:sz="0" w:space="0" w:color="auto"/>
            <w:right w:val="none" w:sz="0" w:space="0" w:color="auto"/>
          </w:divBdr>
        </w:div>
      </w:divsChild>
    </w:div>
    <w:div w:id="386225985">
      <w:bodyDiv w:val="1"/>
      <w:marLeft w:val="0"/>
      <w:marRight w:val="0"/>
      <w:marTop w:val="0"/>
      <w:marBottom w:val="0"/>
      <w:divBdr>
        <w:top w:val="none" w:sz="0" w:space="0" w:color="auto"/>
        <w:left w:val="none" w:sz="0" w:space="0" w:color="auto"/>
        <w:bottom w:val="none" w:sz="0" w:space="0" w:color="auto"/>
        <w:right w:val="none" w:sz="0" w:space="0" w:color="auto"/>
      </w:divBdr>
      <w:divsChild>
        <w:div w:id="650210422">
          <w:marLeft w:val="480"/>
          <w:marRight w:val="0"/>
          <w:marTop w:val="0"/>
          <w:marBottom w:val="0"/>
          <w:divBdr>
            <w:top w:val="none" w:sz="0" w:space="0" w:color="auto"/>
            <w:left w:val="none" w:sz="0" w:space="0" w:color="auto"/>
            <w:bottom w:val="none" w:sz="0" w:space="0" w:color="auto"/>
            <w:right w:val="none" w:sz="0" w:space="0" w:color="auto"/>
          </w:divBdr>
        </w:div>
        <w:div w:id="444808212">
          <w:marLeft w:val="480"/>
          <w:marRight w:val="0"/>
          <w:marTop w:val="0"/>
          <w:marBottom w:val="0"/>
          <w:divBdr>
            <w:top w:val="none" w:sz="0" w:space="0" w:color="auto"/>
            <w:left w:val="none" w:sz="0" w:space="0" w:color="auto"/>
            <w:bottom w:val="none" w:sz="0" w:space="0" w:color="auto"/>
            <w:right w:val="none" w:sz="0" w:space="0" w:color="auto"/>
          </w:divBdr>
        </w:div>
        <w:div w:id="1514874444">
          <w:marLeft w:val="480"/>
          <w:marRight w:val="0"/>
          <w:marTop w:val="0"/>
          <w:marBottom w:val="0"/>
          <w:divBdr>
            <w:top w:val="none" w:sz="0" w:space="0" w:color="auto"/>
            <w:left w:val="none" w:sz="0" w:space="0" w:color="auto"/>
            <w:bottom w:val="none" w:sz="0" w:space="0" w:color="auto"/>
            <w:right w:val="none" w:sz="0" w:space="0" w:color="auto"/>
          </w:divBdr>
        </w:div>
        <w:div w:id="1023363367">
          <w:marLeft w:val="480"/>
          <w:marRight w:val="0"/>
          <w:marTop w:val="0"/>
          <w:marBottom w:val="0"/>
          <w:divBdr>
            <w:top w:val="none" w:sz="0" w:space="0" w:color="auto"/>
            <w:left w:val="none" w:sz="0" w:space="0" w:color="auto"/>
            <w:bottom w:val="none" w:sz="0" w:space="0" w:color="auto"/>
            <w:right w:val="none" w:sz="0" w:space="0" w:color="auto"/>
          </w:divBdr>
        </w:div>
        <w:div w:id="45493760">
          <w:marLeft w:val="480"/>
          <w:marRight w:val="0"/>
          <w:marTop w:val="0"/>
          <w:marBottom w:val="0"/>
          <w:divBdr>
            <w:top w:val="none" w:sz="0" w:space="0" w:color="auto"/>
            <w:left w:val="none" w:sz="0" w:space="0" w:color="auto"/>
            <w:bottom w:val="none" w:sz="0" w:space="0" w:color="auto"/>
            <w:right w:val="none" w:sz="0" w:space="0" w:color="auto"/>
          </w:divBdr>
        </w:div>
        <w:div w:id="1274287025">
          <w:marLeft w:val="480"/>
          <w:marRight w:val="0"/>
          <w:marTop w:val="0"/>
          <w:marBottom w:val="0"/>
          <w:divBdr>
            <w:top w:val="none" w:sz="0" w:space="0" w:color="auto"/>
            <w:left w:val="none" w:sz="0" w:space="0" w:color="auto"/>
            <w:bottom w:val="none" w:sz="0" w:space="0" w:color="auto"/>
            <w:right w:val="none" w:sz="0" w:space="0" w:color="auto"/>
          </w:divBdr>
        </w:div>
        <w:div w:id="1745032519">
          <w:marLeft w:val="480"/>
          <w:marRight w:val="0"/>
          <w:marTop w:val="0"/>
          <w:marBottom w:val="0"/>
          <w:divBdr>
            <w:top w:val="none" w:sz="0" w:space="0" w:color="auto"/>
            <w:left w:val="none" w:sz="0" w:space="0" w:color="auto"/>
            <w:bottom w:val="none" w:sz="0" w:space="0" w:color="auto"/>
            <w:right w:val="none" w:sz="0" w:space="0" w:color="auto"/>
          </w:divBdr>
        </w:div>
        <w:div w:id="1632058255">
          <w:marLeft w:val="480"/>
          <w:marRight w:val="0"/>
          <w:marTop w:val="0"/>
          <w:marBottom w:val="0"/>
          <w:divBdr>
            <w:top w:val="none" w:sz="0" w:space="0" w:color="auto"/>
            <w:left w:val="none" w:sz="0" w:space="0" w:color="auto"/>
            <w:bottom w:val="none" w:sz="0" w:space="0" w:color="auto"/>
            <w:right w:val="none" w:sz="0" w:space="0" w:color="auto"/>
          </w:divBdr>
        </w:div>
        <w:div w:id="1888372461">
          <w:marLeft w:val="480"/>
          <w:marRight w:val="0"/>
          <w:marTop w:val="0"/>
          <w:marBottom w:val="0"/>
          <w:divBdr>
            <w:top w:val="none" w:sz="0" w:space="0" w:color="auto"/>
            <w:left w:val="none" w:sz="0" w:space="0" w:color="auto"/>
            <w:bottom w:val="none" w:sz="0" w:space="0" w:color="auto"/>
            <w:right w:val="none" w:sz="0" w:space="0" w:color="auto"/>
          </w:divBdr>
        </w:div>
      </w:divsChild>
    </w:div>
    <w:div w:id="527328963">
      <w:bodyDiv w:val="1"/>
      <w:marLeft w:val="0"/>
      <w:marRight w:val="0"/>
      <w:marTop w:val="0"/>
      <w:marBottom w:val="0"/>
      <w:divBdr>
        <w:top w:val="none" w:sz="0" w:space="0" w:color="auto"/>
        <w:left w:val="none" w:sz="0" w:space="0" w:color="auto"/>
        <w:bottom w:val="none" w:sz="0" w:space="0" w:color="auto"/>
        <w:right w:val="none" w:sz="0" w:space="0" w:color="auto"/>
      </w:divBdr>
      <w:divsChild>
        <w:div w:id="1489052315">
          <w:marLeft w:val="640"/>
          <w:marRight w:val="0"/>
          <w:marTop w:val="0"/>
          <w:marBottom w:val="0"/>
          <w:divBdr>
            <w:top w:val="none" w:sz="0" w:space="0" w:color="auto"/>
            <w:left w:val="none" w:sz="0" w:space="0" w:color="auto"/>
            <w:bottom w:val="none" w:sz="0" w:space="0" w:color="auto"/>
            <w:right w:val="none" w:sz="0" w:space="0" w:color="auto"/>
          </w:divBdr>
        </w:div>
        <w:div w:id="546726773">
          <w:marLeft w:val="640"/>
          <w:marRight w:val="0"/>
          <w:marTop w:val="0"/>
          <w:marBottom w:val="0"/>
          <w:divBdr>
            <w:top w:val="none" w:sz="0" w:space="0" w:color="auto"/>
            <w:left w:val="none" w:sz="0" w:space="0" w:color="auto"/>
            <w:bottom w:val="none" w:sz="0" w:space="0" w:color="auto"/>
            <w:right w:val="none" w:sz="0" w:space="0" w:color="auto"/>
          </w:divBdr>
        </w:div>
        <w:div w:id="613749753">
          <w:marLeft w:val="640"/>
          <w:marRight w:val="0"/>
          <w:marTop w:val="0"/>
          <w:marBottom w:val="0"/>
          <w:divBdr>
            <w:top w:val="none" w:sz="0" w:space="0" w:color="auto"/>
            <w:left w:val="none" w:sz="0" w:space="0" w:color="auto"/>
            <w:bottom w:val="none" w:sz="0" w:space="0" w:color="auto"/>
            <w:right w:val="none" w:sz="0" w:space="0" w:color="auto"/>
          </w:divBdr>
        </w:div>
        <w:div w:id="1369643673">
          <w:marLeft w:val="640"/>
          <w:marRight w:val="0"/>
          <w:marTop w:val="0"/>
          <w:marBottom w:val="0"/>
          <w:divBdr>
            <w:top w:val="none" w:sz="0" w:space="0" w:color="auto"/>
            <w:left w:val="none" w:sz="0" w:space="0" w:color="auto"/>
            <w:bottom w:val="none" w:sz="0" w:space="0" w:color="auto"/>
            <w:right w:val="none" w:sz="0" w:space="0" w:color="auto"/>
          </w:divBdr>
        </w:div>
        <w:div w:id="1626353139">
          <w:marLeft w:val="640"/>
          <w:marRight w:val="0"/>
          <w:marTop w:val="0"/>
          <w:marBottom w:val="0"/>
          <w:divBdr>
            <w:top w:val="none" w:sz="0" w:space="0" w:color="auto"/>
            <w:left w:val="none" w:sz="0" w:space="0" w:color="auto"/>
            <w:bottom w:val="none" w:sz="0" w:space="0" w:color="auto"/>
            <w:right w:val="none" w:sz="0" w:space="0" w:color="auto"/>
          </w:divBdr>
        </w:div>
        <w:div w:id="1436828171">
          <w:marLeft w:val="640"/>
          <w:marRight w:val="0"/>
          <w:marTop w:val="0"/>
          <w:marBottom w:val="0"/>
          <w:divBdr>
            <w:top w:val="none" w:sz="0" w:space="0" w:color="auto"/>
            <w:left w:val="none" w:sz="0" w:space="0" w:color="auto"/>
            <w:bottom w:val="none" w:sz="0" w:space="0" w:color="auto"/>
            <w:right w:val="none" w:sz="0" w:space="0" w:color="auto"/>
          </w:divBdr>
        </w:div>
        <w:div w:id="963804423">
          <w:marLeft w:val="640"/>
          <w:marRight w:val="0"/>
          <w:marTop w:val="0"/>
          <w:marBottom w:val="0"/>
          <w:divBdr>
            <w:top w:val="none" w:sz="0" w:space="0" w:color="auto"/>
            <w:left w:val="none" w:sz="0" w:space="0" w:color="auto"/>
            <w:bottom w:val="none" w:sz="0" w:space="0" w:color="auto"/>
            <w:right w:val="none" w:sz="0" w:space="0" w:color="auto"/>
          </w:divBdr>
        </w:div>
        <w:div w:id="896670889">
          <w:marLeft w:val="640"/>
          <w:marRight w:val="0"/>
          <w:marTop w:val="0"/>
          <w:marBottom w:val="0"/>
          <w:divBdr>
            <w:top w:val="none" w:sz="0" w:space="0" w:color="auto"/>
            <w:left w:val="none" w:sz="0" w:space="0" w:color="auto"/>
            <w:bottom w:val="none" w:sz="0" w:space="0" w:color="auto"/>
            <w:right w:val="none" w:sz="0" w:space="0" w:color="auto"/>
          </w:divBdr>
        </w:div>
      </w:divsChild>
    </w:div>
    <w:div w:id="562105486">
      <w:bodyDiv w:val="1"/>
      <w:marLeft w:val="0"/>
      <w:marRight w:val="0"/>
      <w:marTop w:val="0"/>
      <w:marBottom w:val="0"/>
      <w:divBdr>
        <w:top w:val="none" w:sz="0" w:space="0" w:color="auto"/>
        <w:left w:val="none" w:sz="0" w:space="0" w:color="auto"/>
        <w:bottom w:val="none" w:sz="0" w:space="0" w:color="auto"/>
        <w:right w:val="none" w:sz="0" w:space="0" w:color="auto"/>
      </w:divBdr>
      <w:divsChild>
        <w:div w:id="744112818">
          <w:marLeft w:val="480"/>
          <w:marRight w:val="0"/>
          <w:marTop w:val="0"/>
          <w:marBottom w:val="0"/>
          <w:divBdr>
            <w:top w:val="none" w:sz="0" w:space="0" w:color="auto"/>
            <w:left w:val="none" w:sz="0" w:space="0" w:color="auto"/>
            <w:bottom w:val="none" w:sz="0" w:space="0" w:color="auto"/>
            <w:right w:val="none" w:sz="0" w:space="0" w:color="auto"/>
          </w:divBdr>
        </w:div>
        <w:div w:id="1040320349">
          <w:marLeft w:val="480"/>
          <w:marRight w:val="0"/>
          <w:marTop w:val="0"/>
          <w:marBottom w:val="0"/>
          <w:divBdr>
            <w:top w:val="none" w:sz="0" w:space="0" w:color="auto"/>
            <w:left w:val="none" w:sz="0" w:space="0" w:color="auto"/>
            <w:bottom w:val="none" w:sz="0" w:space="0" w:color="auto"/>
            <w:right w:val="none" w:sz="0" w:space="0" w:color="auto"/>
          </w:divBdr>
        </w:div>
        <w:div w:id="1986928746">
          <w:marLeft w:val="480"/>
          <w:marRight w:val="0"/>
          <w:marTop w:val="0"/>
          <w:marBottom w:val="0"/>
          <w:divBdr>
            <w:top w:val="none" w:sz="0" w:space="0" w:color="auto"/>
            <w:left w:val="none" w:sz="0" w:space="0" w:color="auto"/>
            <w:bottom w:val="none" w:sz="0" w:space="0" w:color="auto"/>
            <w:right w:val="none" w:sz="0" w:space="0" w:color="auto"/>
          </w:divBdr>
        </w:div>
        <w:div w:id="600455906">
          <w:marLeft w:val="480"/>
          <w:marRight w:val="0"/>
          <w:marTop w:val="0"/>
          <w:marBottom w:val="0"/>
          <w:divBdr>
            <w:top w:val="none" w:sz="0" w:space="0" w:color="auto"/>
            <w:left w:val="none" w:sz="0" w:space="0" w:color="auto"/>
            <w:bottom w:val="none" w:sz="0" w:space="0" w:color="auto"/>
            <w:right w:val="none" w:sz="0" w:space="0" w:color="auto"/>
          </w:divBdr>
        </w:div>
        <w:div w:id="222761991">
          <w:marLeft w:val="480"/>
          <w:marRight w:val="0"/>
          <w:marTop w:val="0"/>
          <w:marBottom w:val="0"/>
          <w:divBdr>
            <w:top w:val="none" w:sz="0" w:space="0" w:color="auto"/>
            <w:left w:val="none" w:sz="0" w:space="0" w:color="auto"/>
            <w:bottom w:val="none" w:sz="0" w:space="0" w:color="auto"/>
            <w:right w:val="none" w:sz="0" w:space="0" w:color="auto"/>
          </w:divBdr>
        </w:div>
        <w:div w:id="1903757813">
          <w:marLeft w:val="480"/>
          <w:marRight w:val="0"/>
          <w:marTop w:val="0"/>
          <w:marBottom w:val="0"/>
          <w:divBdr>
            <w:top w:val="none" w:sz="0" w:space="0" w:color="auto"/>
            <w:left w:val="none" w:sz="0" w:space="0" w:color="auto"/>
            <w:bottom w:val="none" w:sz="0" w:space="0" w:color="auto"/>
            <w:right w:val="none" w:sz="0" w:space="0" w:color="auto"/>
          </w:divBdr>
        </w:div>
        <w:div w:id="137646901">
          <w:marLeft w:val="480"/>
          <w:marRight w:val="0"/>
          <w:marTop w:val="0"/>
          <w:marBottom w:val="0"/>
          <w:divBdr>
            <w:top w:val="none" w:sz="0" w:space="0" w:color="auto"/>
            <w:left w:val="none" w:sz="0" w:space="0" w:color="auto"/>
            <w:bottom w:val="none" w:sz="0" w:space="0" w:color="auto"/>
            <w:right w:val="none" w:sz="0" w:space="0" w:color="auto"/>
          </w:divBdr>
        </w:div>
        <w:div w:id="1253323173">
          <w:marLeft w:val="480"/>
          <w:marRight w:val="0"/>
          <w:marTop w:val="0"/>
          <w:marBottom w:val="0"/>
          <w:divBdr>
            <w:top w:val="none" w:sz="0" w:space="0" w:color="auto"/>
            <w:left w:val="none" w:sz="0" w:space="0" w:color="auto"/>
            <w:bottom w:val="none" w:sz="0" w:space="0" w:color="auto"/>
            <w:right w:val="none" w:sz="0" w:space="0" w:color="auto"/>
          </w:divBdr>
        </w:div>
      </w:divsChild>
    </w:div>
    <w:div w:id="931625953">
      <w:bodyDiv w:val="1"/>
      <w:marLeft w:val="0"/>
      <w:marRight w:val="0"/>
      <w:marTop w:val="0"/>
      <w:marBottom w:val="0"/>
      <w:divBdr>
        <w:top w:val="none" w:sz="0" w:space="0" w:color="auto"/>
        <w:left w:val="none" w:sz="0" w:space="0" w:color="auto"/>
        <w:bottom w:val="none" w:sz="0" w:space="0" w:color="auto"/>
        <w:right w:val="none" w:sz="0" w:space="0" w:color="auto"/>
      </w:divBdr>
    </w:div>
    <w:div w:id="1022904287">
      <w:bodyDiv w:val="1"/>
      <w:marLeft w:val="0"/>
      <w:marRight w:val="0"/>
      <w:marTop w:val="0"/>
      <w:marBottom w:val="0"/>
      <w:divBdr>
        <w:top w:val="none" w:sz="0" w:space="0" w:color="auto"/>
        <w:left w:val="none" w:sz="0" w:space="0" w:color="auto"/>
        <w:bottom w:val="none" w:sz="0" w:space="0" w:color="auto"/>
        <w:right w:val="none" w:sz="0" w:space="0" w:color="auto"/>
      </w:divBdr>
      <w:divsChild>
        <w:div w:id="1390030242">
          <w:marLeft w:val="480"/>
          <w:marRight w:val="0"/>
          <w:marTop w:val="0"/>
          <w:marBottom w:val="0"/>
          <w:divBdr>
            <w:top w:val="none" w:sz="0" w:space="0" w:color="auto"/>
            <w:left w:val="none" w:sz="0" w:space="0" w:color="auto"/>
            <w:bottom w:val="none" w:sz="0" w:space="0" w:color="auto"/>
            <w:right w:val="none" w:sz="0" w:space="0" w:color="auto"/>
          </w:divBdr>
        </w:div>
        <w:div w:id="1018384853">
          <w:marLeft w:val="480"/>
          <w:marRight w:val="0"/>
          <w:marTop w:val="0"/>
          <w:marBottom w:val="0"/>
          <w:divBdr>
            <w:top w:val="none" w:sz="0" w:space="0" w:color="auto"/>
            <w:left w:val="none" w:sz="0" w:space="0" w:color="auto"/>
            <w:bottom w:val="none" w:sz="0" w:space="0" w:color="auto"/>
            <w:right w:val="none" w:sz="0" w:space="0" w:color="auto"/>
          </w:divBdr>
        </w:div>
        <w:div w:id="1911651171">
          <w:marLeft w:val="480"/>
          <w:marRight w:val="0"/>
          <w:marTop w:val="0"/>
          <w:marBottom w:val="0"/>
          <w:divBdr>
            <w:top w:val="none" w:sz="0" w:space="0" w:color="auto"/>
            <w:left w:val="none" w:sz="0" w:space="0" w:color="auto"/>
            <w:bottom w:val="none" w:sz="0" w:space="0" w:color="auto"/>
            <w:right w:val="none" w:sz="0" w:space="0" w:color="auto"/>
          </w:divBdr>
        </w:div>
        <w:div w:id="1130590206">
          <w:marLeft w:val="480"/>
          <w:marRight w:val="0"/>
          <w:marTop w:val="0"/>
          <w:marBottom w:val="0"/>
          <w:divBdr>
            <w:top w:val="none" w:sz="0" w:space="0" w:color="auto"/>
            <w:left w:val="none" w:sz="0" w:space="0" w:color="auto"/>
            <w:bottom w:val="none" w:sz="0" w:space="0" w:color="auto"/>
            <w:right w:val="none" w:sz="0" w:space="0" w:color="auto"/>
          </w:divBdr>
        </w:div>
        <w:div w:id="407505631">
          <w:marLeft w:val="480"/>
          <w:marRight w:val="0"/>
          <w:marTop w:val="0"/>
          <w:marBottom w:val="0"/>
          <w:divBdr>
            <w:top w:val="none" w:sz="0" w:space="0" w:color="auto"/>
            <w:left w:val="none" w:sz="0" w:space="0" w:color="auto"/>
            <w:bottom w:val="none" w:sz="0" w:space="0" w:color="auto"/>
            <w:right w:val="none" w:sz="0" w:space="0" w:color="auto"/>
          </w:divBdr>
        </w:div>
        <w:div w:id="231425934">
          <w:marLeft w:val="480"/>
          <w:marRight w:val="0"/>
          <w:marTop w:val="0"/>
          <w:marBottom w:val="0"/>
          <w:divBdr>
            <w:top w:val="none" w:sz="0" w:space="0" w:color="auto"/>
            <w:left w:val="none" w:sz="0" w:space="0" w:color="auto"/>
            <w:bottom w:val="none" w:sz="0" w:space="0" w:color="auto"/>
            <w:right w:val="none" w:sz="0" w:space="0" w:color="auto"/>
          </w:divBdr>
        </w:div>
        <w:div w:id="899023808">
          <w:marLeft w:val="480"/>
          <w:marRight w:val="0"/>
          <w:marTop w:val="0"/>
          <w:marBottom w:val="0"/>
          <w:divBdr>
            <w:top w:val="none" w:sz="0" w:space="0" w:color="auto"/>
            <w:left w:val="none" w:sz="0" w:space="0" w:color="auto"/>
            <w:bottom w:val="none" w:sz="0" w:space="0" w:color="auto"/>
            <w:right w:val="none" w:sz="0" w:space="0" w:color="auto"/>
          </w:divBdr>
        </w:div>
        <w:div w:id="1722553237">
          <w:marLeft w:val="480"/>
          <w:marRight w:val="0"/>
          <w:marTop w:val="0"/>
          <w:marBottom w:val="0"/>
          <w:divBdr>
            <w:top w:val="none" w:sz="0" w:space="0" w:color="auto"/>
            <w:left w:val="none" w:sz="0" w:space="0" w:color="auto"/>
            <w:bottom w:val="none" w:sz="0" w:space="0" w:color="auto"/>
            <w:right w:val="none" w:sz="0" w:space="0" w:color="auto"/>
          </w:divBdr>
        </w:div>
        <w:div w:id="1191992071">
          <w:marLeft w:val="480"/>
          <w:marRight w:val="0"/>
          <w:marTop w:val="0"/>
          <w:marBottom w:val="0"/>
          <w:divBdr>
            <w:top w:val="none" w:sz="0" w:space="0" w:color="auto"/>
            <w:left w:val="none" w:sz="0" w:space="0" w:color="auto"/>
            <w:bottom w:val="none" w:sz="0" w:space="0" w:color="auto"/>
            <w:right w:val="none" w:sz="0" w:space="0" w:color="auto"/>
          </w:divBdr>
        </w:div>
      </w:divsChild>
    </w:div>
    <w:div w:id="1184856550">
      <w:bodyDiv w:val="1"/>
      <w:marLeft w:val="0"/>
      <w:marRight w:val="0"/>
      <w:marTop w:val="0"/>
      <w:marBottom w:val="0"/>
      <w:divBdr>
        <w:top w:val="none" w:sz="0" w:space="0" w:color="auto"/>
        <w:left w:val="none" w:sz="0" w:space="0" w:color="auto"/>
        <w:bottom w:val="none" w:sz="0" w:space="0" w:color="auto"/>
        <w:right w:val="none" w:sz="0" w:space="0" w:color="auto"/>
      </w:divBdr>
    </w:div>
    <w:div w:id="1315646803">
      <w:bodyDiv w:val="1"/>
      <w:marLeft w:val="0"/>
      <w:marRight w:val="0"/>
      <w:marTop w:val="0"/>
      <w:marBottom w:val="0"/>
      <w:divBdr>
        <w:top w:val="none" w:sz="0" w:space="0" w:color="auto"/>
        <w:left w:val="none" w:sz="0" w:space="0" w:color="auto"/>
        <w:bottom w:val="none" w:sz="0" w:space="0" w:color="auto"/>
        <w:right w:val="none" w:sz="0" w:space="0" w:color="auto"/>
      </w:divBdr>
      <w:divsChild>
        <w:div w:id="1335572817">
          <w:marLeft w:val="640"/>
          <w:marRight w:val="0"/>
          <w:marTop w:val="0"/>
          <w:marBottom w:val="0"/>
          <w:divBdr>
            <w:top w:val="none" w:sz="0" w:space="0" w:color="auto"/>
            <w:left w:val="none" w:sz="0" w:space="0" w:color="auto"/>
            <w:bottom w:val="none" w:sz="0" w:space="0" w:color="auto"/>
            <w:right w:val="none" w:sz="0" w:space="0" w:color="auto"/>
          </w:divBdr>
        </w:div>
        <w:div w:id="1978101227">
          <w:marLeft w:val="640"/>
          <w:marRight w:val="0"/>
          <w:marTop w:val="0"/>
          <w:marBottom w:val="0"/>
          <w:divBdr>
            <w:top w:val="none" w:sz="0" w:space="0" w:color="auto"/>
            <w:left w:val="none" w:sz="0" w:space="0" w:color="auto"/>
            <w:bottom w:val="none" w:sz="0" w:space="0" w:color="auto"/>
            <w:right w:val="none" w:sz="0" w:space="0" w:color="auto"/>
          </w:divBdr>
        </w:div>
        <w:div w:id="174422758">
          <w:marLeft w:val="640"/>
          <w:marRight w:val="0"/>
          <w:marTop w:val="0"/>
          <w:marBottom w:val="0"/>
          <w:divBdr>
            <w:top w:val="none" w:sz="0" w:space="0" w:color="auto"/>
            <w:left w:val="none" w:sz="0" w:space="0" w:color="auto"/>
            <w:bottom w:val="none" w:sz="0" w:space="0" w:color="auto"/>
            <w:right w:val="none" w:sz="0" w:space="0" w:color="auto"/>
          </w:divBdr>
        </w:div>
        <w:div w:id="1671443449">
          <w:marLeft w:val="640"/>
          <w:marRight w:val="0"/>
          <w:marTop w:val="0"/>
          <w:marBottom w:val="0"/>
          <w:divBdr>
            <w:top w:val="none" w:sz="0" w:space="0" w:color="auto"/>
            <w:left w:val="none" w:sz="0" w:space="0" w:color="auto"/>
            <w:bottom w:val="none" w:sz="0" w:space="0" w:color="auto"/>
            <w:right w:val="none" w:sz="0" w:space="0" w:color="auto"/>
          </w:divBdr>
        </w:div>
        <w:div w:id="2032224754">
          <w:marLeft w:val="640"/>
          <w:marRight w:val="0"/>
          <w:marTop w:val="0"/>
          <w:marBottom w:val="0"/>
          <w:divBdr>
            <w:top w:val="none" w:sz="0" w:space="0" w:color="auto"/>
            <w:left w:val="none" w:sz="0" w:space="0" w:color="auto"/>
            <w:bottom w:val="none" w:sz="0" w:space="0" w:color="auto"/>
            <w:right w:val="none" w:sz="0" w:space="0" w:color="auto"/>
          </w:divBdr>
        </w:div>
        <w:div w:id="1960646182">
          <w:marLeft w:val="640"/>
          <w:marRight w:val="0"/>
          <w:marTop w:val="0"/>
          <w:marBottom w:val="0"/>
          <w:divBdr>
            <w:top w:val="none" w:sz="0" w:space="0" w:color="auto"/>
            <w:left w:val="none" w:sz="0" w:space="0" w:color="auto"/>
            <w:bottom w:val="none" w:sz="0" w:space="0" w:color="auto"/>
            <w:right w:val="none" w:sz="0" w:space="0" w:color="auto"/>
          </w:divBdr>
        </w:div>
        <w:div w:id="1031302712">
          <w:marLeft w:val="640"/>
          <w:marRight w:val="0"/>
          <w:marTop w:val="0"/>
          <w:marBottom w:val="0"/>
          <w:divBdr>
            <w:top w:val="none" w:sz="0" w:space="0" w:color="auto"/>
            <w:left w:val="none" w:sz="0" w:space="0" w:color="auto"/>
            <w:bottom w:val="none" w:sz="0" w:space="0" w:color="auto"/>
            <w:right w:val="none" w:sz="0" w:space="0" w:color="auto"/>
          </w:divBdr>
        </w:div>
        <w:div w:id="146016509">
          <w:marLeft w:val="640"/>
          <w:marRight w:val="0"/>
          <w:marTop w:val="0"/>
          <w:marBottom w:val="0"/>
          <w:divBdr>
            <w:top w:val="none" w:sz="0" w:space="0" w:color="auto"/>
            <w:left w:val="none" w:sz="0" w:space="0" w:color="auto"/>
            <w:bottom w:val="none" w:sz="0" w:space="0" w:color="auto"/>
            <w:right w:val="none" w:sz="0" w:space="0" w:color="auto"/>
          </w:divBdr>
        </w:div>
      </w:divsChild>
    </w:div>
    <w:div w:id="1340738479">
      <w:bodyDiv w:val="1"/>
      <w:marLeft w:val="0"/>
      <w:marRight w:val="0"/>
      <w:marTop w:val="0"/>
      <w:marBottom w:val="0"/>
      <w:divBdr>
        <w:top w:val="none" w:sz="0" w:space="0" w:color="auto"/>
        <w:left w:val="none" w:sz="0" w:space="0" w:color="auto"/>
        <w:bottom w:val="none" w:sz="0" w:space="0" w:color="auto"/>
        <w:right w:val="none" w:sz="0" w:space="0" w:color="auto"/>
      </w:divBdr>
      <w:divsChild>
        <w:div w:id="1847939106">
          <w:marLeft w:val="640"/>
          <w:marRight w:val="0"/>
          <w:marTop w:val="0"/>
          <w:marBottom w:val="0"/>
          <w:divBdr>
            <w:top w:val="none" w:sz="0" w:space="0" w:color="auto"/>
            <w:left w:val="none" w:sz="0" w:space="0" w:color="auto"/>
            <w:bottom w:val="none" w:sz="0" w:space="0" w:color="auto"/>
            <w:right w:val="none" w:sz="0" w:space="0" w:color="auto"/>
          </w:divBdr>
        </w:div>
        <w:div w:id="898324971">
          <w:marLeft w:val="640"/>
          <w:marRight w:val="0"/>
          <w:marTop w:val="0"/>
          <w:marBottom w:val="0"/>
          <w:divBdr>
            <w:top w:val="none" w:sz="0" w:space="0" w:color="auto"/>
            <w:left w:val="none" w:sz="0" w:space="0" w:color="auto"/>
            <w:bottom w:val="none" w:sz="0" w:space="0" w:color="auto"/>
            <w:right w:val="none" w:sz="0" w:space="0" w:color="auto"/>
          </w:divBdr>
        </w:div>
        <w:div w:id="1036469497">
          <w:marLeft w:val="640"/>
          <w:marRight w:val="0"/>
          <w:marTop w:val="0"/>
          <w:marBottom w:val="0"/>
          <w:divBdr>
            <w:top w:val="none" w:sz="0" w:space="0" w:color="auto"/>
            <w:left w:val="none" w:sz="0" w:space="0" w:color="auto"/>
            <w:bottom w:val="none" w:sz="0" w:space="0" w:color="auto"/>
            <w:right w:val="none" w:sz="0" w:space="0" w:color="auto"/>
          </w:divBdr>
        </w:div>
        <w:div w:id="781999105">
          <w:marLeft w:val="640"/>
          <w:marRight w:val="0"/>
          <w:marTop w:val="0"/>
          <w:marBottom w:val="0"/>
          <w:divBdr>
            <w:top w:val="none" w:sz="0" w:space="0" w:color="auto"/>
            <w:left w:val="none" w:sz="0" w:space="0" w:color="auto"/>
            <w:bottom w:val="none" w:sz="0" w:space="0" w:color="auto"/>
            <w:right w:val="none" w:sz="0" w:space="0" w:color="auto"/>
          </w:divBdr>
        </w:div>
        <w:div w:id="1091850597">
          <w:marLeft w:val="640"/>
          <w:marRight w:val="0"/>
          <w:marTop w:val="0"/>
          <w:marBottom w:val="0"/>
          <w:divBdr>
            <w:top w:val="none" w:sz="0" w:space="0" w:color="auto"/>
            <w:left w:val="none" w:sz="0" w:space="0" w:color="auto"/>
            <w:bottom w:val="none" w:sz="0" w:space="0" w:color="auto"/>
            <w:right w:val="none" w:sz="0" w:space="0" w:color="auto"/>
          </w:divBdr>
        </w:div>
        <w:div w:id="735857805">
          <w:marLeft w:val="640"/>
          <w:marRight w:val="0"/>
          <w:marTop w:val="0"/>
          <w:marBottom w:val="0"/>
          <w:divBdr>
            <w:top w:val="none" w:sz="0" w:space="0" w:color="auto"/>
            <w:left w:val="none" w:sz="0" w:space="0" w:color="auto"/>
            <w:bottom w:val="none" w:sz="0" w:space="0" w:color="auto"/>
            <w:right w:val="none" w:sz="0" w:space="0" w:color="auto"/>
          </w:divBdr>
        </w:div>
        <w:div w:id="1340962369">
          <w:marLeft w:val="640"/>
          <w:marRight w:val="0"/>
          <w:marTop w:val="0"/>
          <w:marBottom w:val="0"/>
          <w:divBdr>
            <w:top w:val="none" w:sz="0" w:space="0" w:color="auto"/>
            <w:left w:val="none" w:sz="0" w:space="0" w:color="auto"/>
            <w:bottom w:val="none" w:sz="0" w:space="0" w:color="auto"/>
            <w:right w:val="none" w:sz="0" w:space="0" w:color="auto"/>
          </w:divBdr>
        </w:div>
        <w:div w:id="1039628559">
          <w:marLeft w:val="640"/>
          <w:marRight w:val="0"/>
          <w:marTop w:val="0"/>
          <w:marBottom w:val="0"/>
          <w:divBdr>
            <w:top w:val="none" w:sz="0" w:space="0" w:color="auto"/>
            <w:left w:val="none" w:sz="0" w:space="0" w:color="auto"/>
            <w:bottom w:val="none" w:sz="0" w:space="0" w:color="auto"/>
            <w:right w:val="none" w:sz="0" w:space="0" w:color="auto"/>
          </w:divBdr>
        </w:div>
      </w:divsChild>
    </w:div>
    <w:div w:id="1342929307">
      <w:bodyDiv w:val="1"/>
      <w:marLeft w:val="0"/>
      <w:marRight w:val="0"/>
      <w:marTop w:val="0"/>
      <w:marBottom w:val="0"/>
      <w:divBdr>
        <w:top w:val="none" w:sz="0" w:space="0" w:color="auto"/>
        <w:left w:val="none" w:sz="0" w:space="0" w:color="auto"/>
        <w:bottom w:val="none" w:sz="0" w:space="0" w:color="auto"/>
        <w:right w:val="none" w:sz="0" w:space="0" w:color="auto"/>
      </w:divBdr>
      <w:divsChild>
        <w:div w:id="168645937">
          <w:marLeft w:val="480"/>
          <w:marRight w:val="0"/>
          <w:marTop w:val="0"/>
          <w:marBottom w:val="0"/>
          <w:divBdr>
            <w:top w:val="none" w:sz="0" w:space="0" w:color="auto"/>
            <w:left w:val="none" w:sz="0" w:space="0" w:color="auto"/>
            <w:bottom w:val="none" w:sz="0" w:space="0" w:color="auto"/>
            <w:right w:val="none" w:sz="0" w:space="0" w:color="auto"/>
          </w:divBdr>
        </w:div>
        <w:div w:id="1205557238">
          <w:marLeft w:val="480"/>
          <w:marRight w:val="0"/>
          <w:marTop w:val="0"/>
          <w:marBottom w:val="0"/>
          <w:divBdr>
            <w:top w:val="none" w:sz="0" w:space="0" w:color="auto"/>
            <w:left w:val="none" w:sz="0" w:space="0" w:color="auto"/>
            <w:bottom w:val="none" w:sz="0" w:space="0" w:color="auto"/>
            <w:right w:val="none" w:sz="0" w:space="0" w:color="auto"/>
          </w:divBdr>
        </w:div>
        <w:div w:id="527765971">
          <w:marLeft w:val="480"/>
          <w:marRight w:val="0"/>
          <w:marTop w:val="0"/>
          <w:marBottom w:val="0"/>
          <w:divBdr>
            <w:top w:val="none" w:sz="0" w:space="0" w:color="auto"/>
            <w:left w:val="none" w:sz="0" w:space="0" w:color="auto"/>
            <w:bottom w:val="none" w:sz="0" w:space="0" w:color="auto"/>
            <w:right w:val="none" w:sz="0" w:space="0" w:color="auto"/>
          </w:divBdr>
        </w:div>
        <w:div w:id="1416437317">
          <w:marLeft w:val="480"/>
          <w:marRight w:val="0"/>
          <w:marTop w:val="0"/>
          <w:marBottom w:val="0"/>
          <w:divBdr>
            <w:top w:val="none" w:sz="0" w:space="0" w:color="auto"/>
            <w:left w:val="none" w:sz="0" w:space="0" w:color="auto"/>
            <w:bottom w:val="none" w:sz="0" w:space="0" w:color="auto"/>
            <w:right w:val="none" w:sz="0" w:space="0" w:color="auto"/>
          </w:divBdr>
        </w:div>
        <w:div w:id="1347974942">
          <w:marLeft w:val="480"/>
          <w:marRight w:val="0"/>
          <w:marTop w:val="0"/>
          <w:marBottom w:val="0"/>
          <w:divBdr>
            <w:top w:val="none" w:sz="0" w:space="0" w:color="auto"/>
            <w:left w:val="none" w:sz="0" w:space="0" w:color="auto"/>
            <w:bottom w:val="none" w:sz="0" w:space="0" w:color="auto"/>
            <w:right w:val="none" w:sz="0" w:space="0" w:color="auto"/>
          </w:divBdr>
        </w:div>
        <w:div w:id="1395817951">
          <w:marLeft w:val="480"/>
          <w:marRight w:val="0"/>
          <w:marTop w:val="0"/>
          <w:marBottom w:val="0"/>
          <w:divBdr>
            <w:top w:val="none" w:sz="0" w:space="0" w:color="auto"/>
            <w:left w:val="none" w:sz="0" w:space="0" w:color="auto"/>
            <w:bottom w:val="none" w:sz="0" w:space="0" w:color="auto"/>
            <w:right w:val="none" w:sz="0" w:space="0" w:color="auto"/>
          </w:divBdr>
        </w:div>
        <w:div w:id="2144075803">
          <w:marLeft w:val="480"/>
          <w:marRight w:val="0"/>
          <w:marTop w:val="0"/>
          <w:marBottom w:val="0"/>
          <w:divBdr>
            <w:top w:val="none" w:sz="0" w:space="0" w:color="auto"/>
            <w:left w:val="none" w:sz="0" w:space="0" w:color="auto"/>
            <w:bottom w:val="none" w:sz="0" w:space="0" w:color="auto"/>
            <w:right w:val="none" w:sz="0" w:space="0" w:color="auto"/>
          </w:divBdr>
        </w:div>
        <w:div w:id="277031293">
          <w:marLeft w:val="480"/>
          <w:marRight w:val="0"/>
          <w:marTop w:val="0"/>
          <w:marBottom w:val="0"/>
          <w:divBdr>
            <w:top w:val="none" w:sz="0" w:space="0" w:color="auto"/>
            <w:left w:val="none" w:sz="0" w:space="0" w:color="auto"/>
            <w:bottom w:val="none" w:sz="0" w:space="0" w:color="auto"/>
            <w:right w:val="none" w:sz="0" w:space="0" w:color="auto"/>
          </w:divBdr>
        </w:div>
        <w:div w:id="1148281134">
          <w:marLeft w:val="480"/>
          <w:marRight w:val="0"/>
          <w:marTop w:val="0"/>
          <w:marBottom w:val="0"/>
          <w:divBdr>
            <w:top w:val="none" w:sz="0" w:space="0" w:color="auto"/>
            <w:left w:val="none" w:sz="0" w:space="0" w:color="auto"/>
            <w:bottom w:val="none" w:sz="0" w:space="0" w:color="auto"/>
            <w:right w:val="none" w:sz="0" w:space="0" w:color="auto"/>
          </w:divBdr>
        </w:div>
      </w:divsChild>
    </w:div>
    <w:div w:id="1357272906">
      <w:bodyDiv w:val="1"/>
      <w:marLeft w:val="0"/>
      <w:marRight w:val="0"/>
      <w:marTop w:val="0"/>
      <w:marBottom w:val="0"/>
      <w:divBdr>
        <w:top w:val="none" w:sz="0" w:space="0" w:color="auto"/>
        <w:left w:val="none" w:sz="0" w:space="0" w:color="auto"/>
        <w:bottom w:val="none" w:sz="0" w:space="0" w:color="auto"/>
        <w:right w:val="none" w:sz="0" w:space="0" w:color="auto"/>
      </w:divBdr>
      <w:divsChild>
        <w:div w:id="2058894535">
          <w:marLeft w:val="640"/>
          <w:marRight w:val="0"/>
          <w:marTop w:val="0"/>
          <w:marBottom w:val="0"/>
          <w:divBdr>
            <w:top w:val="none" w:sz="0" w:space="0" w:color="auto"/>
            <w:left w:val="none" w:sz="0" w:space="0" w:color="auto"/>
            <w:bottom w:val="none" w:sz="0" w:space="0" w:color="auto"/>
            <w:right w:val="none" w:sz="0" w:space="0" w:color="auto"/>
          </w:divBdr>
        </w:div>
        <w:div w:id="1230577126">
          <w:marLeft w:val="640"/>
          <w:marRight w:val="0"/>
          <w:marTop w:val="0"/>
          <w:marBottom w:val="0"/>
          <w:divBdr>
            <w:top w:val="none" w:sz="0" w:space="0" w:color="auto"/>
            <w:left w:val="none" w:sz="0" w:space="0" w:color="auto"/>
            <w:bottom w:val="none" w:sz="0" w:space="0" w:color="auto"/>
            <w:right w:val="none" w:sz="0" w:space="0" w:color="auto"/>
          </w:divBdr>
        </w:div>
        <w:div w:id="97792755">
          <w:marLeft w:val="640"/>
          <w:marRight w:val="0"/>
          <w:marTop w:val="0"/>
          <w:marBottom w:val="0"/>
          <w:divBdr>
            <w:top w:val="none" w:sz="0" w:space="0" w:color="auto"/>
            <w:left w:val="none" w:sz="0" w:space="0" w:color="auto"/>
            <w:bottom w:val="none" w:sz="0" w:space="0" w:color="auto"/>
            <w:right w:val="none" w:sz="0" w:space="0" w:color="auto"/>
          </w:divBdr>
        </w:div>
        <w:div w:id="602300303">
          <w:marLeft w:val="640"/>
          <w:marRight w:val="0"/>
          <w:marTop w:val="0"/>
          <w:marBottom w:val="0"/>
          <w:divBdr>
            <w:top w:val="none" w:sz="0" w:space="0" w:color="auto"/>
            <w:left w:val="none" w:sz="0" w:space="0" w:color="auto"/>
            <w:bottom w:val="none" w:sz="0" w:space="0" w:color="auto"/>
            <w:right w:val="none" w:sz="0" w:space="0" w:color="auto"/>
          </w:divBdr>
        </w:div>
        <w:div w:id="450636390">
          <w:marLeft w:val="640"/>
          <w:marRight w:val="0"/>
          <w:marTop w:val="0"/>
          <w:marBottom w:val="0"/>
          <w:divBdr>
            <w:top w:val="none" w:sz="0" w:space="0" w:color="auto"/>
            <w:left w:val="none" w:sz="0" w:space="0" w:color="auto"/>
            <w:bottom w:val="none" w:sz="0" w:space="0" w:color="auto"/>
            <w:right w:val="none" w:sz="0" w:space="0" w:color="auto"/>
          </w:divBdr>
        </w:div>
        <w:div w:id="312951503">
          <w:marLeft w:val="640"/>
          <w:marRight w:val="0"/>
          <w:marTop w:val="0"/>
          <w:marBottom w:val="0"/>
          <w:divBdr>
            <w:top w:val="none" w:sz="0" w:space="0" w:color="auto"/>
            <w:left w:val="none" w:sz="0" w:space="0" w:color="auto"/>
            <w:bottom w:val="none" w:sz="0" w:space="0" w:color="auto"/>
            <w:right w:val="none" w:sz="0" w:space="0" w:color="auto"/>
          </w:divBdr>
        </w:div>
        <w:div w:id="460152667">
          <w:marLeft w:val="640"/>
          <w:marRight w:val="0"/>
          <w:marTop w:val="0"/>
          <w:marBottom w:val="0"/>
          <w:divBdr>
            <w:top w:val="none" w:sz="0" w:space="0" w:color="auto"/>
            <w:left w:val="none" w:sz="0" w:space="0" w:color="auto"/>
            <w:bottom w:val="none" w:sz="0" w:space="0" w:color="auto"/>
            <w:right w:val="none" w:sz="0" w:space="0" w:color="auto"/>
          </w:divBdr>
        </w:div>
      </w:divsChild>
    </w:div>
    <w:div w:id="1376079446">
      <w:bodyDiv w:val="1"/>
      <w:marLeft w:val="0"/>
      <w:marRight w:val="0"/>
      <w:marTop w:val="0"/>
      <w:marBottom w:val="0"/>
      <w:divBdr>
        <w:top w:val="none" w:sz="0" w:space="0" w:color="auto"/>
        <w:left w:val="none" w:sz="0" w:space="0" w:color="auto"/>
        <w:bottom w:val="none" w:sz="0" w:space="0" w:color="auto"/>
        <w:right w:val="none" w:sz="0" w:space="0" w:color="auto"/>
      </w:divBdr>
      <w:divsChild>
        <w:div w:id="542985517">
          <w:marLeft w:val="640"/>
          <w:marRight w:val="0"/>
          <w:marTop w:val="0"/>
          <w:marBottom w:val="0"/>
          <w:divBdr>
            <w:top w:val="none" w:sz="0" w:space="0" w:color="auto"/>
            <w:left w:val="none" w:sz="0" w:space="0" w:color="auto"/>
            <w:bottom w:val="none" w:sz="0" w:space="0" w:color="auto"/>
            <w:right w:val="none" w:sz="0" w:space="0" w:color="auto"/>
          </w:divBdr>
        </w:div>
        <w:div w:id="1479762639">
          <w:marLeft w:val="640"/>
          <w:marRight w:val="0"/>
          <w:marTop w:val="0"/>
          <w:marBottom w:val="0"/>
          <w:divBdr>
            <w:top w:val="none" w:sz="0" w:space="0" w:color="auto"/>
            <w:left w:val="none" w:sz="0" w:space="0" w:color="auto"/>
            <w:bottom w:val="none" w:sz="0" w:space="0" w:color="auto"/>
            <w:right w:val="none" w:sz="0" w:space="0" w:color="auto"/>
          </w:divBdr>
        </w:div>
        <w:div w:id="1099377288">
          <w:marLeft w:val="640"/>
          <w:marRight w:val="0"/>
          <w:marTop w:val="0"/>
          <w:marBottom w:val="0"/>
          <w:divBdr>
            <w:top w:val="none" w:sz="0" w:space="0" w:color="auto"/>
            <w:left w:val="none" w:sz="0" w:space="0" w:color="auto"/>
            <w:bottom w:val="none" w:sz="0" w:space="0" w:color="auto"/>
            <w:right w:val="none" w:sz="0" w:space="0" w:color="auto"/>
          </w:divBdr>
        </w:div>
        <w:div w:id="1024939767">
          <w:marLeft w:val="640"/>
          <w:marRight w:val="0"/>
          <w:marTop w:val="0"/>
          <w:marBottom w:val="0"/>
          <w:divBdr>
            <w:top w:val="none" w:sz="0" w:space="0" w:color="auto"/>
            <w:left w:val="none" w:sz="0" w:space="0" w:color="auto"/>
            <w:bottom w:val="none" w:sz="0" w:space="0" w:color="auto"/>
            <w:right w:val="none" w:sz="0" w:space="0" w:color="auto"/>
          </w:divBdr>
        </w:div>
        <w:div w:id="1795557517">
          <w:marLeft w:val="640"/>
          <w:marRight w:val="0"/>
          <w:marTop w:val="0"/>
          <w:marBottom w:val="0"/>
          <w:divBdr>
            <w:top w:val="none" w:sz="0" w:space="0" w:color="auto"/>
            <w:left w:val="none" w:sz="0" w:space="0" w:color="auto"/>
            <w:bottom w:val="none" w:sz="0" w:space="0" w:color="auto"/>
            <w:right w:val="none" w:sz="0" w:space="0" w:color="auto"/>
          </w:divBdr>
        </w:div>
        <w:div w:id="412238860">
          <w:marLeft w:val="640"/>
          <w:marRight w:val="0"/>
          <w:marTop w:val="0"/>
          <w:marBottom w:val="0"/>
          <w:divBdr>
            <w:top w:val="none" w:sz="0" w:space="0" w:color="auto"/>
            <w:left w:val="none" w:sz="0" w:space="0" w:color="auto"/>
            <w:bottom w:val="none" w:sz="0" w:space="0" w:color="auto"/>
            <w:right w:val="none" w:sz="0" w:space="0" w:color="auto"/>
          </w:divBdr>
        </w:div>
        <w:div w:id="766735880">
          <w:marLeft w:val="640"/>
          <w:marRight w:val="0"/>
          <w:marTop w:val="0"/>
          <w:marBottom w:val="0"/>
          <w:divBdr>
            <w:top w:val="none" w:sz="0" w:space="0" w:color="auto"/>
            <w:left w:val="none" w:sz="0" w:space="0" w:color="auto"/>
            <w:bottom w:val="none" w:sz="0" w:space="0" w:color="auto"/>
            <w:right w:val="none" w:sz="0" w:space="0" w:color="auto"/>
          </w:divBdr>
        </w:div>
        <w:div w:id="1149516356">
          <w:marLeft w:val="640"/>
          <w:marRight w:val="0"/>
          <w:marTop w:val="0"/>
          <w:marBottom w:val="0"/>
          <w:divBdr>
            <w:top w:val="none" w:sz="0" w:space="0" w:color="auto"/>
            <w:left w:val="none" w:sz="0" w:space="0" w:color="auto"/>
            <w:bottom w:val="none" w:sz="0" w:space="0" w:color="auto"/>
            <w:right w:val="none" w:sz="0" w:space="0" w:color="auto"/>
          </w:divBdr>
        </w:div>
      </w:divsChild>
    </w:div>
    <w:div w:id="1444301588">
      <w:bodyDiv w:val="1"/>
      <w:marLeft w:val="0"/>
      <w:marRight w:val="0"/>
      <w:marTop w:val="0"/>
      <w:marBottom w:val="0"/>
      <w:divBdr>
        <w:top w:val="none" w:sz="0" w:space="0" w:color="auto"/>
        <w:left w:val="none" w:sz="0" w:space="0" w:color="auto"/>
        <w:bottom w:val="none" w:sz="0" w:space="0" w:color="auto"/>
        <w:right w:val="none" w:sz="0" w:space="0" w:color="auto"/>
      </w:divBdr>
      <w:divsChild>
        <w:div w:id="1954439155">
          <w:marLeft w:val="480"/>
          <w:marRight w:val="0"/>
          <w:marTop w:val="0"/>
          <w:marBottom w:val="0"/>
          <w:divBdr>
            <w:top w:val="none" w:sz="0" w:space="0" w:color="auto"/>
            <w:left w:val="none" w:sz="0" w:space="0" w:color="auto"/>
            <w:bottom w:val="none" w:sz="0" w:space="0" w:color="auto"/>
            <w:right w:val="none" w:sz="0" w:space="0" w:color="auto"/>
          </w:divBdr>
        </w:div>
        <w:div w:id="489491518">
          <w:marLeft w:val="480"/>
          <w:marRight w:val="0"/>
          <w:marTop w:val="0"/>
          <w:marBottom w:val="0"/>
          <w:divBdr>
            <w:top w:val="none" w:sz="0" w:space="0" w:color="auto"/>
            <w:left w:val="none" w:sz="0" w:space="0" w:color="auto"/>
            <w:bottom w:val="none" w:sz="0" w:space="0" w:color="auto"/>
            <w:right w:val="none" w:sz="0" w:space="0" w:color="auto"/>
          </w:divBdr>
        </w:div>
        <w:div w:id="1160121464">
          <w:marLeft w:val="480"/>
          <w:marRight w:val="0"/>
          <w:marTop w:val="0"/>
          <w:marBottom w:val="0"/>
          <w:divBdr>
            <w:top w:val="none" w:sz="0" w:space="0" w:color="auto"/>
            <w:left w:val="none" w:sz="0" w:space="0" w:color="auto"/>
            <w:bottom w:val="none" w:sz="0" w:space="0" w:color="auto"/>
            <w:right w:val="none" w:sz="0" w:space="0" w:color="auto"/>
          </w:divBdr>
        </w:div>
        <w:div w:id="1910461711">
          <w:marLeft w:val="480"/>
          <w:marRight w:val="0"/>
          <w:marTop w:val="0"/>
          <w:marBottom w:val="0"/>
          <w:divBdr>
            <w:top w:val="none" w:sz="0" w:space="0" w:color="auto"/>
            <w:left w:val="none" w:sz="0" w:space="0" w:color="auto"/>
            <w:bottom w:val="none" w:sz="0" w:space="0" w:color="auto"/>
            <w:right w:val="none" w:sz="0" w:space="0" w:color="auto"/>
          </w:divBdr>
        </w:div>
        <w:div w:id="927888847">
          <w:marLeft w:val="480"/>
          <w:marRight w:val="0"/>
          <w:marTop w:val="0"/>
          <w:marBottom w:val="0"/>
          <w:divBdr>
            <w:top w:val="none" w:sz="0" w:space="0" w:color="auto"/>
            <w:left w:val="none" w:sz="0" w:space="0" w:color="auto"/>
            <w:bottom w:val="none" w:sz="0" w:space="0" w:color="auto"/>
            <w:right w:val="none" w:sz="0" w:space="0" w:color="auto"/>
          </w:divBdr>
        </w:div>
        <w:div w:id="685375642">
          <w:marLeft w:val="480"/>
          <w:marRight w:val="0"/>
          <w:marTop w:val="0"/>
          <w:marBottom w:val="0"/>
          <w:divBdr>
            <w:top w:val="none" w:sz="0" w:space="0" w:color="auto"/>
            <w:left w:val="none" w:sz="0" w:space="0" w:color="auto"/>
            <w:bottom w:val="none" w:sz="0" w:space="0" w:color="auto"/>
            <w:right w:val="none" w:sz="0" w:space="0" w:color="auto"/>
          </w:divBdr>
        </w:div>
        <w:div w:id="344938102">
          <w:marLeft w:val="480"/>
          <w:marRight w:val="0"/>
          <w:marTop w:val="0"/>
          <w:marBottom w:val="0"/>
          <w:divBdr>
            <w:top w:val="none" w:sz="0" w:space="0" w:color="auto"/>
            <w:left w:val="none" w:sz="0" w:space="0" w:color="auto"/>
            <w:bottom w:val="none" w:sz="0" w:space="0" w:color="auto"/>
            <w:right w:val="none" w:sz="0" w:space="0" w:color="auto"/>
          </w:divBdr>
        </w:div>
        <w:div w:id="518003857">
          <w:marLeft w:val="480"/>
          <w:marRight w:val="0"/>
          <w:marTop w:val="0"/>
          <w:marBottom w:val="0"/>
          <w:divBdr>
            <w:top w:val="none" w:sz="0" w:space="0" w:color="auto"/>
            <w:left w:val="none" w:sz="0" w:space="0" w:color="auto"/>
            <w:bottom w:val="none" w:sz="0" w:space="0" w:color="auto"/>
            <w:right w:val="none" w:sz="0" w:space="0" w:color="auto"/>
          </w:divBdr>
        </w:div>
        <w:div w:id="1802843302">
          <w:marLeft w:val="480"/>
          <w:marRight w:val="0"/>
          <w:marTop w:val="0"/>
          <w:marBottom w:val="0"/>
          <w:divBdr>
            <w:top w:val="none" w:sz="0" w:space="0" w:color="auto"/>
            <w:left w:val="none" w:sz="0" w:space="0" w:color="auto"/>
            <w:bottom w:val="none" w:sz="0" w:space="0" w:color="auto"/>
            <w:right w:val="none" w:sz="0" w:space="0" w:color="auto"/>
          </w:divBdr>
        </w:div>
      </w:divsChild>
    </w:div>
    <w:div w:id="1561940750">
      <w:bodyDiv w:val="1"/>
      <w:marLeft w:val="0"/>
      <w:marRight w:val="0"/>
      <w:marTop w:val="0"/>
      <w:marBottom w:val="0"/>
      <w:divBdr>
        <w:top w:val="none" w:sz="0" w:space="0" w:color="auto"/>
        <w:left w:val="none" w:sz="0" w:space="0" w:color="auto"/>
        <w:bottom w:val="none" w:sz="0" w:space="0" w:color="auto"/>
        <w:right w:val="none" w:sz="0" w:space="0" w:color="auto"/>
      </w:divBdr>
      <w:divsChild>
        <w:div w:id="489635931">
          <w:marLeft w:val="640"/>
          <w:marRight w:val="0"/>
          <w:marTop w:val="0"/>
          <w:marBottom w:val="0"/>
          <w:divBdr>
            <w:top w:val="none" w:sz="0" w:space="0" w:color="auto"/>
            <w:left w:val="none" w:sz="0" w:space="0" w:color="auto"/>
            <w:bottom w:val="none" w:sz="0" w:space="0" w:color="auto"/>
            <w:right w:val="none" w:sz="0" w:space="0" w:color="auto"/>
          </w:divBdr>
        </w:div>
        <w:div w:id="2015985378">
          <w:marLeft w:val="640"/>
          <w:marRight w:val="0"/>
          <w:marTop w:val="0"/>
          <w:marBottom w:val="0"/>
          <w:divBdr>
            <w:top w:val="none" w:sz="0" w:space="0" w:color="auto"/>
            <w:left w:val="none" w:sz="0" w:space="0" w:color="auto"/>
            <w:bottom w:val="none" w:sz="0" w:space="0" w:color="auto"/>
            <w:right w:val="none" w:sz="0" w:space="0" w:color="auto"/>
          </w:divBdr>
        </w:div>
        <w:div w:id="1495100912">
          <w:marLeft w:val="640"/>
          <w:marRight w:val="0"/>
          <w:marTop w:val="0"/>
          <w:marBottom w:val="0"/>
          <w:divBdr>
            <w:top w:val="none" w:sz="0" w:space="0" w:color="auto"/>
            <w:left w:val="none" w:sz="0" w:space="0" w:color="auto"/>
            <w:bottom w:val="none" w:sz="0" w:space="0" w:color="auto"/>
            <w:right w:val="none" w:sz="0" w:space="0" w:color="auto"/>
          </w:divBdr>
        </w:div>
        <w:div w:id="1187325906">
          <w:marLeft w:val="640"/>
          <w:marRight w:val="0"/>
          <w:marTop w:val="0"/>
          <w:marBottom w:val="0"/>
          <w:divBdr>
            <w:top w:val="none" w:sz="0" w:space="0" w:color="auto"/>
            <w:left w:val="none" w:sz="0" w:space="0" w:color="auto"/>
            <w:bottom w:val="none" w:sz="0" w:space="0" w:color="auto"/>
            <w:right w:val="none" w:sz="0" w:space="0" w:color="auto"/>
          </w:divBdr>
        </w:div>
        <w:div w:id="749162260">
          <w:marLeft w:val="640"/>
          <w:marRight w:val="0"/>
          <w:marTop w:val="0"/>
          <w:marBottom w:val="0"/>
          <w:divBdr>
            <w:top w:val="none" w:sz="0" w:space="0" w:color="auto"/>
            <w:left w:val="none" w:sz="0" w:space="0" w:color="auto"/>
            <w:bottom w:val="none" w:sz="0" w:space="0" w:color="auto"/>
            <w:right w:val="none" w:sz="0" w:space="0" w:color="auto"/>
          </w:divBdr>
        </w:div>
        <w:div w:id="1505586674">
          <w:marLeft w:val="640"/>
          <w:marRight w:val="0"/>
          <w:marTop w:val="0"/>
          <w:marBottom w:val="0"/>
          <w:divBdr>
            <w:top w:val="none" w:sz="0" w:space="0" w:color="auto"/>
            <w:left w:val="none" w:sz="0" w:space="0" w:color="auto"/>
            <w:bottom w:val="none" w:sz="0" w:space="0" w:color="auto"/>
            <w:right w:val="none" w:sz="0" w:space="0" w:color="auto"/>
          </w:divBdr>
        </w:div>
        <w:div w:id="108202597">
          <w:marLeft w:val="640"/>
          <w:marRight w:val="0"/>
          <w:marTop w:val="0"/>
          <w:marBottom w:val="0"/>
          <w:divBdr>
            <w:top w:val="none" w:sz="0" w:space="0" w:color="auto"/>
            <w:left w:val="none" w:sz="0" w:space="0" w:color="auto"/>
            <w:bottom w:val="none" w:sz="0" w:space="0" w:color="auto"/>
            <w:right w:val="none" w:sz="0" w:space="0" w:color="auto"/>
          </w:divBdr>
        </w:div>
        <w:div w:id="1282804189">
          <w:marLeft w:val="640"/>
          <w:marRight w:val="0"/>
          <w:marTop w:val="0"/>
          <w:marBottom w:val="0"/>
          <w:divBdr>
            <w:top w:val="none" w:sz="0" w:space="0" w:color="auto"/>
            <w:left w:val="none" w:sz="0" w:space="0" w:color="auto"/>
            <w:bottom w:val="none" w:sz="0" w:space="0" w:color="auto"/>
            <w:right w:val="none" w:sz="0" w:space="0" w:color="auto"/>
          </w:divBdr>
        </w:div>
      </w:divsChild>
    </w:div>
    <w:div w:id="1775127178">
      <w:bodyDiv w:val="1"/>
      <w:marLeft w:val="0"/>
      <w:marRight w:val="0"/>
      <w:marTop w:val="0"/>
      <w:marBottom w:val="0"/>
      <w:divBdr>
        <w:top w:val="none" w:sz="0" w:space="0" w:color="auto"/>
        <w:left w:val="none" w:sz="0" w:space="0" w:color="auto"/>
        <w:bottom w:val="none" w:sz="0" w:space="0" w:color="auto"/>
        <w:right w:val="none" w:sz="0" w:space="0" w:color="auto"/>
      </w:divBdr>
      <w:divsChild>
        <w:div w:id="1841188991">
          <w:marLeft w:val="640"/>
          <w:marRight w:val="0"/>
          <w:marTop w:val="0"/>
          <w:marBottom w:val="0"/>
          <w:divBdr>
            <w:top w:val="none" w:sz="0" w:space="0" w:color="auto"/>
            <w:left w:val="none" w:sz="0" w:space="0" w:color="auto"/>
            <w:bottom w:val="none" w:sz="0" w:space="0" w:color="auto"/>
            <w:right w:val="none" w:sz="0" w:space="0" w:color="auto"/>
          </w:divBdr>
        </w:div>
        <w:div w:id="1064376248">
          <w:marLeft w:val="640"/>
          <w:marRight w:val="0"/>
          <w:marTop w:val="0"/>
          <w:marBottom w:val="0"/>
          <w:divBdr>
            <w:top w:val="none" w:sz="0" w:space="0" w:color="auto"/>
            <w:left w:val="none" w:sz="0" w:space="0" w:color="auto"/>
            <w:bottom w:val="none" w:sz="0" w:space="0" w:color="auto"/>
            <w:right w:val="none" w:sz="0" w:space="0" w:color="auto"/>
          </w:divBdr>
        </w:div>
        <w:div w:id="2134593911">
          <w:marLeft w:val="640"/>
          <w:marRight w:val="0"/>
          <w:marTop w:val="0"/>
          <w:marBottom w:val="0"/>
          <w:divBdr>
            <w:top w:val="none" w:sz="0" w:space="0" w:color="auto"/>
            <w:left w:val="none" w:sz="0" w:space="0" w:color="auto"/>
            <w:bottom w:val="none" w:sz="0" w:space="0" w:color="auto"/>
            <w:right w:val="none" w:sz="0" w:space="0" w:color="auto"/>
          </w:divBdr>
        </w:div>
        <w:div w:id="1743021249">
          <w:marLeft w:val="640"/>
          <w:marRight w:val="0"/>
          <w:marTop w:val="0"/>
          <w:marBottom w:val="0"/>
          <w:divBdr>
            <w:top w:val="none" w:sz="0" w:space="0" w:color="auto"/>
            <w:left w:val="none" w:sz="0" w:space="0" w:color="auto"/>
            <w:bottom w:val="none" w:sz="0" w:space="0" w:color="auto"/>
            <w:right w:val="none" w:sz="0" w:space="0" w:color="auto"/>
          </w:divBdr>
        </w:div>
        <w:div w:id="1835562965">
          <w:marLeft w:val="640"/>
          <w:marRight w:val="0"/>
          <w:marTop w:val="0"/>
          <w:marBottom w:val="0"/>
          <w:divBdr>
            <w:top w:val="none" w:sz="0" w:space="0" w:color="auto"/>
            <w:left w:val="none" w:sz="0" w:space="0" w:color="auto"/>
            <w:bottom w:val="none" w:sz="0" w:space="0" w:color="auto"/>
            <w:right w:val="none" w:sz="0" w:space="0" w:color="auto"/>
          </w:divBdr>
        </w:div>
        <w:div w:id="1673754097">
          <w:marLeft w:val="640"/>
          <w:marRight w:val="0"/>
          <w:marTop w:val="0"/>
          <w:marBottom w:val="0"/>
          <w:divBdr>
            <w:top w:val="none" w:sz="0" w:space="0" w:color="auto"/>
            <w:left w:val="none" w:sz="0" w:space="0" w:color="auto"/>
            <w:bottom w:val="none" w:sz="0" w:space="0" w:color="auto"/>
            <w:right w:val="none" w:sz="0" w:space="0" w:color="auto"/>
          </w:divBdr>
        </w:div>
        <w:div w:id="1225987242">
          <w:marLeft w:val="640"/>
          <w:marRight w:val="0"/>
          <w:marTop w:val="0"/>
          <w:marBottom w:val="0"/>
          <w:divBdr>
            <w:top w:val="none" w:sz="0" w:space="0" w:color="auto"/>
            <w:left w:val="none" w:sz="0" w:space="0" w:color="auto"/>
            <w:bottom w:val="none" w:sz="0" w:space="0" w:color="auto"/>
            <w:right w:val="none" w:sz="0" w:space="0" w:color="auto"/>
          </w:divBdr>
        </w:div>
        <w:div w:id="1055084158">
          <w:marLeft w:val="640"/>
          <w:marRight w:val="0"/>
          <w:marTop w:val="0"/>
          <w:marBottom w:val="0"/>
          <w:divBdr>
            <w:top w:val="none" w:sz="0" w:space="0" w:color="auto"/>
            <w:left w:val="none" w:sz="0" w:space="0" w:color="auto"/>
            <w:bottom w:val="none" w:sz="0" w:space="0" w:color="auto"/>
            <w:right w:val="none" w:sz="0" w:space="0" w:color="auto"/>
          </w:divBdr>
        </w:div>
      </w:divsChild>
    </w:div>
    <w:div w:id="1890266695">
      <w:bodyDiv w:val="1"/>
      <w:marLeft w:val="0"/>
      <w:marRight w:val="0"/>
      <w:marTop w:val="0"/>
      <w:marBottom w:val="0"/>
      <w:divBdr>
        <w:top w:val="none" w:sz="0" w:space="0" w:color="auto"/>
        <w:left w:val="none" w:sz="0" w:space="0" w:color="auto"/>
        <w:bottom w:val="none" w:sz="0" w:space="0" w:color="auto"/>
        <w:right w:val="none" w:sz="0" w:space="0" w:color="auto"/>
      </w:divBdr>
      <w:divsChild>
        <w:div w:id="804808566">
          <w:marLeft w:val="480"/>
          <w:marRight w:val="0"/>
          <w:marTop w:val="0"/>
          <w:marBottom w:val="0"/>
          <w:divBdr>
            <w:top w:val="none" w:sz="0" w:space="0" w:color="auto"/>
            <w:left w:val="none" w:sz="0" w:space="0" w:color="auto"/>
            <w:bottom w:val="none" w:sz="0" w:space="0" w:color="auto"/>
            <w:right w:val="none" w:sz="0" w:space="0" w:color="auto"/>
          </w:divBdr>
        </w:div>
        <w:div w:id="1067067941">
          <w:marLeft w:val="480"/>
          <w:marRight w:val="0"/>
          <w:marTop w:val="0"/>
          <w:marBottom w:val="0"/>
          <w:divBdr>
            <w:top w:val="none" w:sz="0" w:space="0" w:color="auto"/>
            <w:left w:val="none" w:sz="0" w:space="0" w:color="auto"/>
            <w:bottom w:val="none" w:sz="0" w:space="0" w:color="auto"/>
            <w:right w:val="none" w:sz="0" w:space="0" w:color="auto"/>
          </w:divBdr>
        </w:div>
        <w:div w:id="1868367641">
          <w:marLeft w:val="480"/>
          <w:marRight w:val="0"/>
          <w:marTop w:val="0"/>
          <w:marBottom w:val="0"/>
          <w:divBdr>
            <w:top w:val="none" w:sz="0" w:space="0" w:color="auto"/>
            <w:left w:val="none" w:sz="0" w:space="0" w:color="auto"/>
            <w:bottom w:val="none" w:sz="0" w:space="0" w:color="auto"/>
            <w:right w:val="none" w:sz="0" w:space="0" w:color="auto"/>
          </w:divBdr>
        </w:div>
        <w:div w:id="1523395699">
          <w:marLeft w:val="480"/>
          <w:marRight w:val="0"/>
          <w:marTop w:val="0"/>
          <w:marBottom w:val="0"/>
          <w:divBdr>
            <w:top w:val="none" w:sz="0" w:space="0" w:color="auto"/>
            <w:left w:val="none" w:sz="0" w:space="0" w:color="auto"/>
            <w:bottom w:val="none" w:sz="0" w:space="0" w:color="auto"/>
            <w:right w:val="none" w:sz="0" w:space="0" w:color="auto"/>
          </w:divBdr>
        </w:div>
        <w:div w:id="1144542225">
          <w:marLeft w:val="480"/>
          <w:marRight w:val="0"/>
          <w:marTop w:val="0"/>
          <w:marBottom w:val="0"/>
          <w:divBdr>
            <w:top w:val="none" w:sz="0" w:space="0" w:color="auto"/>
            <w:left w:val="none" w:sz="0" w:space="0" w:color="auto"/>
            <w:bottom w:val="none" w:sz="0" w:space="0" w:color="auto"/>
            <w:right w:val="none" w:sz="0" w:space="0" w:color="auto"/>
          </w:divBdr>
        </w:div>
        <w:div w:id="1121191973">
          <w:marLeft w:val="480"/>
          <w:marRight w:val="0"/>
          <w:marTop w:val="0"/>
          <w:marBottom w:val="0"/>
          <w:divBdr>
            <w:top w:val="none" w:sz="0" w:space="0" w:color="auto"/>
            <w:left w:val="none" w:sz="0" w:space="0" w:color="auto"/>
            <w:bottom w:val="none" w:sz="0" w:space="0" w:color="auto"/>
            <w:right w:val="none" w:sz="0" w:space="0" w:color="auto"/>
          </w:divBdr>
        </w:div>
        <w:div w:id="1796018896">
          <w:marLeft w:val="480"/>
          <w:marRight w:val="0"/>
          <w:marTop w:val="0"/>
          <w:marBottom w:val="0"/>
          <w:divBdr>
            <w:top w:val="none" w:sz="0" w:space="0" w:color="auto"/>
            <w:left w:val="none" w:sz="0" w:space="0" w:color="auto"/>
            <w:bottom w:val="none" w:sz="0" w:space="0" w:color="auto"/>
            <w:right w:val="none" w:sz="0" w:space="0" w:color="auto"/>
          </w:divBdr>
        </w:div>
        <w:div w:id="1099522882">
          <w:marLeft w:val="480"/>
          <w:marRight w:val="0"/>
          <w:marTop w:val="0"/>
          <w:marBottom w:val="0"/>
          <w:divBdr>
            <w:top w:val="none" w:sz="0" w:space="0" w:color="auto"/>
            <w:left w:val="none" w:sz="0" w:space="0" w:color="auto"/>
            <w:bottom w:val="none" w:sz="0" w:space="0" w:color="auto"/>
            <w:right w:val="none" w:sz="0" w:space="0" w:color="auto"/>
          </w:divBdr>
        </w:div>
      </w:divsChild>
    </w:div>
    <w:div w:id="2036226478">
      <w:bodyDiv w:val="1"/>
      <w:marLeft w:val="0"/>
      <w:marRight w:val="0"/>
      <w:marTop w:val="0"/>
      <w:marBottom w:val="0"/>
      <w:divBdr>
        <w:top w:val="none" w:sz="0" w:space="0" w:color="auto"/>
        <w:left w:val="none" w:sz="0" w:space="0" w:color="auto"/>
        <w:bottom w:val="none" w:sz="0" w:space="0" w:color="auto"/>
        <w:right w:val="none" w:sz="0" w:space="0" w:color="auto"/>
      </w:divBdr>
    </w:div>
    <w:div w:id="2072608128">
      <w:bodyDiv w:val="1"/>
      <w:marLeft w:val="0"/>
      <w:marRight w:val="0"/>
      <w:marTop w:val="0"/>
      <w:marBottom w:val="0"/>
      <w:divBdr>
        <w:top w:val="none" w:sz="0" w:space="0" w:color="auto"/>
        <w:left w:val="none" w:sz="0" w:space="0" w:color="auto"/>
        <w:bottom w:val="none" w:sz="0" w:space="0" w:color="auto"/>
        <w:right w:val="none" w:sz="0" w:space="0" w:color="auto"/>
      </w:divBdr>
      <w:divsChild>
        <w:div w:id="1306424893">
          <w:marLeft w:val="480"/>
          <w:marRight w:val="0"/>
          <w:marTop w:val="0"/>
          <w:marBottom w:val="0"/>
          <w:divBdr>
            <w:top w:val="none" w:sz="0" w:space="0" w:color="auto"/>
            <w:left w:val="none" w:sz="0" w:space="0" w:color="auto"/>
            <w:bottom w:val="none" w:sz="0" w:space="0" w:color="auto"/>
            <w:right w:val="none" w:sz="0" w:space="0" w:color="auto"/>
          </w:divBdr>
        </w:div>
        <w:div w:id="731121918">
          <w:marLeft w:val="480"/>
          <w:marRight w:val="0"/>
          <w:marTop w:val="0"/>
          <w:marBottom w:val="0"/>
          <w:divBdr>
            <w:top w:val="none" w:sz="0" w:space="0" w:color="auto"/>
            <w:left w:val="none" w:sz="0" w:space="0" w:color="auto"/>
            <w:bottom w:val="none" w:sz="0" w:space="0" w:color="auto"/>
            <w:right w:val="none" w:sz="0" w:space="0" w:color="auto"/>
          </w:divBdr>
        </w:div>
        <w:div w:id="266156879">
          <w:marLeft w:val="480"/>
          <w:marRight w:val="0"/>
          <w:marTop w:val="0"/>
          <w:marBottom w:val="0"/>
          <w:divBdr>
            <w:top w:val="none" w:sz="0" w:space="0" w:color="auto"/>
            <w:left w:val="none" w:sz="0" w:space="0" w:color="auto"/>
            <w:bottom w:val="none" w:sz="0" w:space="0" w:color="auto"/>
            <w:right w:val="none" w:sz="0" w:space="0" w:color="auto"/>
          </w:divBdr>
        </w:div>
        <w:div w:id="1813674581">
          <w:marLeft w:val="480"/>
          <w:marRight w:val="0"/>
          <w:marTop w:val="0"/>
          <w:marBottom w:val="0"/>
          <w:divBdr>
            <w:top w:val="none" w:sz="0" w:space="0" w:color="auto"/>
            <w:left w:val="none" w:sz="0" w:space="0" w:color="auto"/>
            <w:bottom w:val="none" w:sz="0" w:space="0" w:color="auto"/>
            <w:right w:val="none" w:sz="0" w:space="0" w:color="auto"/>
          </w:divBdr>
        </w:div>
        <w:div w:id="679896225">
          <w:marLeft w:val="480"/>
          <w:marRight w:val="0"/>
          <w:marTop w:val="0"/>
          <w:marBottom w:val="0"/>
          <w:divBdr>
            <w:top w:val="none" w:sz="0" w:space="0" w:color="auto"/>
            <w:left w:val="none" w:sz="0" w:space="0" w:color="auto"/>
            <w:bottom w:val="none" w:sz="0" w:space="0" w:color="auto"/>
            <w:right w:val="none" w:sz="0" w:space="0" w:color="auto"/>
          </w:divBdr>
        </w:div>
        <w:div w:id="551163381">
          <w:marLeft w:val="480"/>
          <w:marRight w:val="0"/>
          <w:marTop w:val="0"/>
          <w:marBottom w:val="0"/>
          <w:divBdr>
            <w:top w:val="none" w:sz="0" w:space="0" w:color="auto"/>
            <w:left w:val="none" w:sz="0" w:space="0" w:color="auto"/>
            <w:bottom w:val="none" w:sz="0" w:space="0" w:color="auto"/>
            <w:right w:val="none" w:sz="0" w:space="0" w:color="auto"/>
          </w:divBdr>
        </w:div>
        <w:div w:id="1595700427">
          <w:marLeft w:val="480"/>
          <w:marRight w:val="0"/>
          <w:marTop w:val="0"/>
          <w:marBottom w:val="0"/>
          <w:divBdr>
            <w:top w:val="none" w:sz="0" w:space="0" w:color="auto"/>
            <w:left w:val="none" w:sz="0" w:space="0" w:color="auto"/>
            <w:bottom w:val="none" w:sz="0" w:space="0" w:color="auto"/>
            <w:right w:val="none" w:sz="0" w:space="0" w:color="auto"/>
          </w:divBdr>
        </w:div>
        <w:div w:id="894702585">
          <w:marLeft w:val="480"/>
          <w:marRight w:val="0"/>
          <w:marTop w:val="0"/>
          <w:marBottom w:val="0"/>
          <w:divBdr>
            <w:top w:val="none" w:sz="0" w:space="0" w:color="auto"/>
            <w:left w:val="none" w:sz="0" w:space="0" w:color="auto"/>
            <w:bottom w:val="none" w:sz="0" w:space="0" w:color="auto"/>
            <w:right w:val="none" w:sz="0" w:space="0" w:color="auto"/>
          </w:divBdr>
        </w:div>
        <w:div w:id="1353412839">
          <w:marLeft w:val="480"/>
          <w:marRight w:val="0"/>
          <w:marTop w:val="0"/>
          <w:marBottom w:val="0"/>
          <w:divBdr>
            <w:top w:val="none" w:sz="0" w:space="0" w:color="auto"/>
            <w:left w:val="none" w:sz="0" w:space="0" w:color="auto"/>
            <w:bottom w:val="none" w:sz="0" w:space="0" w:color="auto"/>
            <w:right w:val="none" w:sz="0" w:space="0" w:color="auto"/>
          </w:divBdr>
        </w:div>
      </w:divsChild>
    </w:div>
    <w:div w:id="2076971494">
      <w:bodyDiv w:val="1"/>
      <w:marLeft w:val="0"/>
      <w:marRight w:val="0"/>
      <w:marTop w:val="0"/>
      <w:marBottom w:val="0"/>
      <w:divBdr>
        <w:top w:val="none" w:sz="0" w:space="0" w:color="auto"/>
        <w:left w:val="none" w:sz="0" w:space="0" w:color="auto"/>
        <w:bottom w:val="none" w:sz="0" w:space="0" w:color="auto"/>
        <w:right w:val="none" w:sz="0" w:space="0" w:color="auto"/>
      </w:divBdr>
    </w:div>
    <w:div w:id="2110807665">
      <w:bodyDiv w:val="1"/>
      <w:marLeft w:val="0"/>
      <w:marRight w:val="0"/>
      <w:marTop w:val="0"/>
      <w:marBottom w:val="0"/>
      <w:divBdr>
        <w:top w:val="none" w:sz="0" w:space="0" w:color="auto"/>
        <w:left w:val="none" w:sz="0" w:space="0" w:color="auto"/>
        <w:bottom w:val="none" w:sz="0" w:space="0" w:color="auto"/>
        <w:right w:val="none" w:sz="0" w:space="0" w:color="auto"/>
      </w:divBdr>
      <w:divsChild>
        <w:div w:id="65733067">
          <w:marLeft w:val="640"/>
          <w:marRight w:val="0"/>
          <w:marTop w:val="0"/>
          <w:marBottom w:val="0"/>
          <w:divBdr>
            <w:top w:val="none" w:sz="0" w:space="0" w:color="auto"/>
            <w:left w:val="none" w:sz="0" w:space="0" w:color="auto"/>
            <w:bottom w:val="none" w:sz="0" w:space="0" w:color="auto"/>
            <w:right w:val="none" w:sz="0" w:space="0" w:color="auto"/>
          </w:divBdr>
        </w:div>
        <w:div w:id="1348016506">
          <w:marLeft w:val="640"/>
          <w:marRight w:val="0"/>
          <w:marTop w:val="0"/>
          <w:marBottom w:val="0"/>
          <w:divBdr>
            <w:top w:val="none" w:sz="0" w:space="0" w:color="auto"/>
            <w:left w:val="none" w:sz="0" w:space="0" w:color="auto"/>
            <w:bottom w:val="none" w:sz="0" w:space="0" w:color="auto"/>
            <w:right w:val="none" w:sz="0" w:space="0" w:color="auto"/>
          </w:divBdr>
        </w:div>
        <w:div w:id="2025589350">
          <w:marLeft w:val="640"/>
          <w:marRight w:val="0"/>
          <w:marTop w:val="0"/>
          <w:marBottom w:val="0"/>
          <w:divBdr>
            <w:top w:val="none" w:sz="0" w:space="0" w:color="auto"/>
            <w:left w:val="none" w:sz="0" w:space="0" w:color="auto"/>
            <w:bottom w:val="none" w:sz="0" w:space="0" w:color="auto"/>
            <w:right w:val="none" w:sz="0" w:space="0" w:color="auto"/>
          </w:divBdr>
        </w:div>
        <w:div w:id="1788767534">
          <w:marLeft w:val="640"/>
          <w:marRight w:val="0"/>
          <w:marTop w:val="0"/>
          <w:marBottom w:val="0"/>
          <w:divBdr>
            <w:top w:val="none" w:sz="0" w:space="0" w:color="auto"/>
            <w:left w:val="none" w:sz="0" w:space="0" w:color="auto"/>
            <w:bottom w:val="none" w:sz="0" w:space="0" w:color="auto"/>
            <w:right w:val="none" w:sz="0" w:space="0" w:color="auto"/>
          </w:divBdr>
        </w:div>
        <w:div w:id="820390896">
          <w:marLeft w:val="640"/>
          <w:marRight w:val="0"/>
          <w:marTop w:val="0"/>
          <w:marBottom w:val="0"/>
          <w:divBdr>
            <w:top w:val="none" w:sz="0" w:space="0" w:color="auto"/>
            <w:left w:val="none" w:sz="0" w:space="0" w:color="auto"/>
            <w:bottom w:val="none" w:sz="0" w:space="0" w:color="auto"/>
            <w:right w:val="none" w:sz="0" w:space="0" w:color="auto"/>
          </w:divBdr>
        </w:div>
        <w:div w:id="1037436739">
          <w:marLeft w:val="640"/>
          <w:marRight w:val="0"/>
          <w:marTop w:val="0"/>
          <w:marBottom w:val="0"/>
          <w:divBdr>
            <w:top w:val="none" w:sz="0" w:space="0" w:color="auto"/>
            <w:left w:val="none" w:sz="0" w:space="0" w:color="auto"/>
            <w:bottom w:val="none" w:sz="0" w:space="0" w:color="auto"/>
            <w:right w:val="none" w:sz="0" w:space="0" w:color="auto"/>
          </w:divBdr>
        </w:div>
        <w:div w:id="604194110">
          <w:marLeft w:val="640"/>
          <w:marRight w:val="0"/>
          <w:marTop w:val="0"/>
          <w:marBottom w:val="0"/>
          <w:divBdr>
            <w:top w:val="none" w:sz="0" w:space="0" w:color="auto"/>
            <w:left w:val="none" w:sz="0" w:space="0" w:color="auto"/>
            <w:bottom w:val="none" w:sz="0" w:space="0" w:color="auto"/>
            <w:right w:val="none" w:sz="0" w:space="0" w:color="auto"/>
          </w:divBdr>
        </w:div>
        <w:div w:id="2045785095">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21/jp031260g" TargetMode="External"/><Relationship Id="rId18" Type="http://schemas.openxmlformats.org/officeDocument/2006/relationships/hyperlink" Target="https://doi.org/10.1016/j.saa.2016.05.041"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4208/CICC.2013.V1.N2.6" TargetMode="External"/><Relationship Id="rId17" Type="http://schemas.openxmlformats.org/officeDocument/2006/relationships/hyperlink" Target="https://doi.org/10.1016/j.synthmet.2010.11.004" TargetMode="External"/><Relationship Id="rId2" Type="http://schemas.openxmlformats.org/officeDocument/2006/relationships/numbering" Target="numbering.xml"/><Relationship Id="rId16" Type="http://schemas.openxmlformats.org/officeDocument/2006/relationships/hyperlink" Target="https://doi.org/10.1016/j.jphotochem.2012.03.014"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21/ar900138m" TargetMode="External"/><Relationship Id="rId5" Type="http://schemas.openxmlformats.org/officeDocument/2006/relationships/webSettings" Target="webSettings.xml"/><Relationship Id="rId15" Type="http://schemas.openxmlformats.org/officeDocument/2006/relationships/hyperlink" Target="https://doi.org/10.1039/C003841E" TargetMode="External"/><Relationship Id="rId10" Type="http://schemas.openxmlformats.org/officeDocument/2006/relationships/hyperlink" Target="https://doi.org/10.1016/j.dyepig.2014.07.006"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j.dyepig.2012.02.014"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B7155B0EB943F397E3EE152B19336E"/>
        <w:category>
          <w:name w:val="Général"/>
          <w:gallery w:val="placeholder"/>
        </w:category>
        <w:types>
          <w:type w:val="bbPlcHdr"/>
        </w:types>
        <w:behaviors>
          <w:behavior w:val="content"/>
        </w:behaviors>
        <w:guid w:val="{755B8EAC-13DC-4BA2-AB6D-00A044AF05D2}"/>
      </w:docPartPr>
      <w:docPartBody>
        <w:p w:rsidR="00D65612" w:rsidRDefault="00420F74" w:rsidP="00420F74">
          <w:pPr>
            <w:pStyle w:val="02B7155B0EB943F397E3EE152B19336E"/>
          </w:pPr>
          <w:r w:rsidRPr="00EA440F">
            <w:rPr>
              <w:rStyle w:val="Textedelespacerserv"/>
            </w:rPr>
            <w:t>Cliquez ou appuyez ici pour entrer du texte.</w:t>
          </w:r>
        </w:p>
      </w:docPartBody>
    </w:docPart>
    <w:docPart>
      <w:docPartPr>
        <w:name w:val="804D8A4937D34988A89CFBEB254FE31F"/>
        <w:category>
          <w:name w:val="Général"/>
          <w:gallery w:val="placeholder"/>
        </w:category>
        <w:types>
          <w:type w:val="bbPlcHdr"/>
        </w:types>
        <w:behaviors>
          <w:behavior w:val="content"/>
        </w:behaviors>
        <w:guid w:val="{C868E004-0404-445A-A90D-5F6BD803CA87}"/>
      </w:docPartPr>
      <w:docPartBody>
        <w:p w:rsidR="00D65612" w:rsidRDefault="00420F74" w:rsidP="00420F74">
          <w:pPr>
            <w:pStyle w:val="804D8A4937D34988A89CFBEB254FE31F"/>
          </w:pPr>
          <w:r w:rsidRPr="00DF04E4">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3BF"/>
    <w:rsid w:val="00087B06"/>
    <w:rsid w:val="00127C15"/>
    <w:rsid w:val="0013385D"/>
    <w:rsid w:val="00140C5A"/>
    <w:rsid w:val="001459D4"/>
    <w:rsid w:val="001501B7"/>
    <w:rsid w:val="00170253"/>
    <w:rsid w:val="001A4ED5"/>
    <w:rsid w:val="00293E1A"/>
    <w:rsid w:val="002F1BD1"/>
    <w:rsid w:val="003C0EA6"/>
    <w:rsid w:val="00420F74"/>
    <w:rsid w:val="00421B52"/>
    <w:rsid w:val="00572BDB"/>
    <w:rsid w:val="00654D16"/>
    <w:rsid w:val="008A1D55"/>
    <w:rsid w:val="00963878"/>
    <w:rsid w:val="009D4003"/>
    <w:rsid w:val="00A07629"/>
    <w:rsid w:val="00AB38B9"/>
    <w:rsid w:val="00AD6981"/>
    <w:rsid w:val="00AF1D08"/>
    <w:rsid w:val="00B454A4"/>
    <w:rsid w:val="00B76791"/>
    <w:rsid w:val="00C563BF"/>
    <w:rsid w:val="00C77AD6"/>
    <w:rsid w:val="00D65612"/>
    <w:rsid w:val="00EB73FE"/>
    <w:rsid w:val="00F10139"/>
    <w:rsid w:val="00F93C0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21B52"/>
    <w:rPr>
      <w:color w:val="808080"/>
    </w:rPr>
  </w:style>
  <w:style w:type="paragraph" w:customStyle="1" w:styleId="02B7155B0EB943F397E3EE152B19336E">
    <w:name w:val="02B7155B0EB943F397E3EE152B19336E"/>
    <w:rsid w:val="00420F74"/>
  </w:style>
  <w:style w:type="paragraph" w:customStyle="1" w:styleId="804D8A4937D34988A89CFBEB254FE31F">
    <w:name w:val="804D8A4937D34988A89CFBEB254FE31F"/>
    <w:rsid w:val="00420F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6B6569C-DB17-4AA2-A9E8-5DFCA47F1801}">
  <we:reference id="wa104382081" version="1.55.1.0" store="fr-FR" storeType="OMEX"/>
  <we:alternateReferences>
    <we:reference id="wa104382081" version="1.55.1.0" store="" storeType="OMEX"/>
  </we:alternateReferences>
  <we:properties>
    <we:property name="MENDELEY_CITATIONS" value="[{&quot;citationID&quot;:&quot;MENDELEY_CITATION_027b9930-2656-4b7d-aa1f-445f9cdd1e5f&quot;,&quot;properties&quot;:{&quot;noteIndex&quot;:0},&quot;isEdited&quot;:false,&quot;manualOverride&quot;:{&quot;isManuallyOverridden&quot;:false,&quot;citeprocText&quot;:&quot;(sang-aroon et al., 2013)&quot;,&quot;manualOverrideText&quot;:&quot;&quot;},&quot;citationTag&quot;:&quot;MENDELEY_CITATION_v3_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&quot;,&quot;citationItems&quot;:[{&quot;id&quot;:&quot;510433c0-97b1-3e2e-a429-d297105b1e56&quot;,&quot;itemData&quot;:{&quot;type&quot;:&quot;article-journal&quot;,&quot;id&quot;:&quot;510433c0-97b1-3e2e-a429-d297105b1e56&quot;,&quot;title&quot;:&quot;Density functional theory study on the electronic structure of Monascus dyes as photosensitizer for dye-sensitized solar cells&quot;,&quot;author&quot;:[{&quot;family&quot;:&quot;sang-aroon&quot;,&quot;given&quot;:&quot;Wichien&quot;,&quot;parse-names&quot;:false,&quot;dropping-particle&quot;:&quot;&quot;,&quot;non-dropping-particle&quot;:&quot;&quot;},{&quot;family&quot;:&quot;Saekow&quot;,&quot;given&quot;:&quot;Saman&quot;,&quot;parse-names&quot;:false,&quot;dropping-particle&quot;:&quot;&quot;,&quot;non-dropping-particle&quot;:&quot;&quot;},{&quot;family&quot;:&quot;Amornkitbamrung&quot;,&quot;given&quot;:&quot;Vittaya&quot;,&quot;parse-names&quot;:false,&quot;dropping-particle&quot;:&quot;&quot;,&quot;non-dropping-particle&quot;:&quot;&quot;}],&quot;container-title&quot;:&quot;Journal of Photochemistry and Photobiology A Chemistry&quot;,&quot;DOI&quot;:&quot;10.1016/j.jphotochem.2012.03.014&quot;,&quot;issued&quot;:{&quot;date-parts&quot;:[[2013,4]]},&quot;page&quot;:&quot;35-40&quot;,&quot;volume&quot;:&quot;236&quot;,&quot;container-title-short&quot;:&quot;J Photochem Photobiol A Chem&quot;},&quot;isTemporary&quot;:false}]},{&quot;citationID&quot;:&quot;MENDELEY_CITATION_b50179d3-55d7-4902-82d1-bd162a1528a4&quot;,&quot;properties&quot;:{&quot;noteIndex&quot;:0},&quot;isEdited&quot;:false,&quot;manualOverride&quot;:{&quot;isManuallyOverridden&quot;:false,&quot;citeprocText&quot;:&quot;(Menzel et al., 2012)&quot;,&quot;manualOverrideText&quot;:&quot;&quot;},&quot;citationTag&quot;:&quot;MENDELEY_CITATION_v3_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&quot;,&quot;citationItems&quot;:[{&quot;id&quot;:&quot;7973538e-0f74-3e23-8bc4-3fd05457530e&quot;,&quot;itemData&quot;:{&quot;type&quot;:&quot;article-journal&quot;,&quot;id&quot;:&quot;7973538e-0f74-3e23-8bc4-3fd05457530e&quot;,&quot;title&quot;:&quot;4-Methoxy-1,3-thiazole based donor-acceptor dyes: Characterization, X-ray structure, DFT calculations and test as sensitizers for DSSC&quot;,&quot;author&quot;:[{&quot;family&quot;:&quot;Menzel&quot;,&quot;given&quot;:&quot;Roberto&quot;,&quot;parse-names&quot;:false,&quot;dropping-particle&quot;:&quot;&quot;,&quot;non-dropping-particle&quot;:&quot;&quot;},{&quot;family&quot;:&quot;Ogermann&quot;,&quot;given&quot;:&quot;Daniel&quot;,&quot;parse-names&quot;:false,&quot;dropping-particle&quot;:&quot;&quot;,&quot;non-dropping-particle&quot;:&quot;&quot;},{&quot;family&quot;:&quot;Kupfer&quot;,&quot;given&quot;:&quot;Stephan&quot;,&quot;parse-names&quot;:false,&quot;dropping-particle&quot;:&quot;&quot;,&quot;non-dropping-particle&quot;:&quot;&quot;},{&quot;family&quot;:&quot;Weiß&quot;,&quot;given&quot;:&quot;Dieter&quot;,&quot;parse-names&quot;:false,&quot;dropping-particle&quot;:&quot;&quot;,&quot;non-dropping-particle&quot;:&quot;&quot;},{&quot;family&quot;:&quot;Görls&quot;,&quot;given&quot;:&quot;Helmar&quot;,&quot;parse-names&quot;:false,&quot;dropping-particle&quot;:&quot;&quot;,&quot;non-dropping-particle&quot;:&quot;&quot;},{&quot;family&quot;:&quot;Kleinermanns&quot;,&quot;given&quot;:&quot;Karl&quot;,&quot;parse-names&quot;:false,&quot;dropping-particle&quot;:&quot;&quot;,&quot;non-dropping-particle&quot;:&quot;&quot;},{&quot;family&quot;:&quot;González&quot;,&quot;given&quot;:&quot;Leticia&quot;,&quot;parse-names&quot;:false,&quot;dropping-particle&quot;:&quot;&quot;,&quot;non-dropping-particle&quot;:&quot;&quot;},{&quot;family&quot;:&quot;Beckert&quot;,&quot;given&quot;:&quot;Rainer&quot;,&quot;parse-names&quot;:false,&quot;dropping-particle&quot;:&quot;&quot;,&quot;non-dropping-particle&quot;:&quot;&quot;}],&quot;container-title&quot;:&quot;Dyes and Pigments&quot;,&quot;DOI&quot;:&quot;https://doi.org/10.1016/j.dyepig.2012.02.014&quot;,&quot;ISSN&quot;:&quot;0143-7208&quot;,&quot;URL&quot;:&quot;https://www.sciencedirect.com/science/article/pii/S0143720812000472&quot;,&quot;issued&quot;:{&quot;date-parts&quot;:[[2012]]},&quot;page&quot;:&quot;512-524&quot;,&quot;abstract&quot;:&quot;Four donor-(π-conjugated-bridge)-acceptor type dyes A-D were designed and synthesized. These new compounds use an unconventional 4-hydroxy-1,3-thiazole building block as an additional chromophore for light harvesting and to extend the π-conjugated system of the molecules. The synthetic route involved a double N-arylation Hartwig–Buchwald reaction using Pd(dba)2 as precatalyst and P(tBu)3 as ligand. Two different triarylamines and a 4-methoxyphenyl group were used as electron donor moieties. The electron acceptor (anchoring) group was 2-cyanoacrylic acid for all dyes, whereas the π-spacer was varied and the influence was investigated. The dyes were thoroughly characterized using photophysical and electrochemical methods and by density functional theory calculations. Additionally, they were evaluated in nanocrystalline TiO2-based dye-sensitized solar cells (DSSCs). The DSSCs were prepared with and without deoxycholic acid (DCA) as a co-adsorbent to inhibit dye aggregation. The efficiencies obtained were low for DSSCs fabricated without DCA, but were significantly improved for DCCS with co-adsorbed DCA. Additionally, the X-ray structure of dye D was obtained, demonstrating the stereochemistry and planar geometry of the molecule. The DSSC based on dye A showed an efficiency of η = 1.70% (Jsc = 4.49 mA cm−2, VOC = 0.61 V, FF = 0.62) under 100 mW cm−2 simulated AM 1.5 G solar irradiation compared to η = 4.1% of the standard N3 obtained under same conditions.&quot;,&quot;issue&quot;:&quot;3&quot;,&quot;volume&quot;:&quot;94&quot;,&quot;container-title-short&quot;:&quot;&quot;},&quot;isTemporary&quot;:false}]},{&quot;citationID&quot;:&quot;MENDELEY_CITATION_c3acce40-e7db-452b-a490-593ca9197d8c&quot;,&quot;properties&quot;:{&quot;noteIndex&quot;:0},&quot;isEdited&quot;:false,&quot;manualOverride&quot;:{&quot;isManuallyOverridden&quot;:false,&quot;citeprocText&quot;:&quot;(Deng, 2013)&quot;,&quot;manualOverrideText&quot;:&quot;&quot;},&quot;citationItems&quot;:[{&quot;id&quot;:&quot;0c7b68a9-1deb-379c-9246-3c584cc4a7be&quot;,&quot;itemData&quot;:{&quot;type&quot;:&quot;article-journal&quot;,&quot;id&quot;:&quot;0c7b68a9-1deb-379c-9246-3c584cc4a7be&quot;,&quot;title&quot;:&quot;Incorporation of Thiadiazole Derivatives as π-Spacer to Construct Efficient Metal-free Organic Dye Sensitizers for Dye-sensitized Solar Cells: A Theoretical Study&quot;,&quot;author&quot;:[{&quot;family&quot;:&quot;Deng&quot;,&quot;given&quot;:&quot;Wenjie Fan and Wei-qiao&quot;,&quot;parse-names&quot;:false,&quot;dropping-particle&quot;:&quot;&quot;,&quot;non-dropping-particle&quot;:&quot;&quot;}],&quot;container-title&quot;:&quot;Communications in Computational Chemistry&quot;,&quot;accessed&quot;:{&quot;date-parts&quot;:[[2023,4,30]]},&quot;DOI&quot;:&quot;10.4208/CICC.2013.V1.N2.6&quot;,&quot;ISSN&quot;:&quot;2305-7076&quot;,&quot;issued&quot;:{&quot;date-parts&quot;:[[2013,6]]},&quot;page&quot;:&quot;152-170&quot;,&quot;abstract&quot;:&quot;Based on theoretical calculations, we studied four triphenylamine (TPA)‐based dyes (namely D1‐D4) incorporating electron‐deficient thiadiazole derivatives as the π‐spacer for the applications in dye‐sensitized solar cells (DSSCs). The effects of the electron‐deficient units on the spectra and electrochemical properties have been investigated by the combination of density functional tight‐binding (DFTB), density functional theory (DFT), and time‐dependent DFT (TDDFT) approaches. Compared with the model compound D0, which adopts a phenylene unit as the π‐spacer, D1‐D4 dyes display remarkably enhanced spectral responses in the red portion of the solar spectrum and possess desirable energetic properties once anchored on TiO2 surface. The newly constructed dyes D2, D3, and D4 demonstrate desirable energetic and spectroscopic parameters, and may lead to efficient metal‐free organic dye sensitizers for DSSCs.&quot;,&quot;publisher&quot;:&quot;Global Science Press&quot;,&quot;issue&quot;:&quot;2&quot;,&quot;volume&quot;:&quot;1&quot;},&quot;isTemporary&quot;:false}],&quot;citationTag&quot;:&quot;MENDELEY_CITATION_v3_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&quot;},{&quot;citationID&quot;:&quot;MENDELEY_CITATION_9f8c258e-79ac-459c-8004-de26726ddfa9&quot;,&quot;properties&quot;:{&quot;noteIndex&quot;:0},&quot;isEdited&quot;:false,&quot;manualOverride&quot;:{&quot;isManuallyOverridden&quot;:false,&quot;citeprocText&quot;:&quot;(Katoh et al., 2004)&quot;,&quot;manualOverrideText&quot;:&quot;&quot;},&quot;citationTag&quot;:&quot;MENDELEY_CITATION_v3_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&quot;,&quot;citationItems&quot;:[{&quot;id&quot;:&quot;96247238-13b2-3d39-b83e-d11e34f9a5b0&quot;,&quot;itemData&quot;:{&quot;type&quot;:&quot;article-journal&quot;,&quot;id&quot;:&quot;96247238-13b2-3d39-b83e-d11e34f9a5b0&quot;,&quot;title&quot;:&quot;Efficiencies of Electron Injection from Excited N3 Dye into Nanocrystalline Semiconductor (ZrO2, TiO2, ZnO, Nb2O5, SnO2, In2O3) Films&quot;,&quot;author&quot;:[{&quot;family&quot;:&quot;Katoh&quot;,&quot;given&quot;:&quot;Ryuzi&quot;,&quot;parse-names&quot;:false,&quot;dropping-particle&quot;:&quot;&quot;,&quot;non-dropping-particle&quot;:&quot;&quot;},{&quot;family&quot;:&quot;Furube&quot;,&quot;given&quot;:&quot;Akihiro&quot;,&quot;parse-names&quot;:false,&quot;dropping-particle&quot;:&quot;&quot;,&quot;non-dropping-particle&quot;:&quot;&quot;},{&quot;family&quot;:&quot;Yoshihara&quot;,&quot;given&quot;:&quot;Toshitada&quot;,&quot;parse-names&quot;:false,&quot;dropping-particle&quot;:&quot;&quot;,&quot;non-dropping-particle&quot;:&quot;&quot;},{&quot;family&quot;:&quot;Hara&quot;,&quot;given&quot;:&quot;Kohjiro&quot;,&quot;parse-names&quot;:false,&quot;dropping-particle&quot;:&quot;&quot;,&quot;non-dropping-particle&quot;:&quot;&quot;},{&quot;family&quot;:&quot;Fujihashi&quot;,&quot;given&quot;:&quot;Gaku&quot;,&quot;parse-names&quot;:false,&quot;dropping-particle&quot;:&quot;&quot;,&quot;non-dropping-particle&quot;:&quot;&quot;},{&quot;family&quot;:&quot;Takano&quot;,&quot;given&quot;:&quot;Shingo&quot;,&quot;parse-names&quot;:false,&quot;dropping-particle&quot;:&quot;&quot;,&quot;non-dropping-particle&quot;:&quot;&quot;},{&quot;family&quot;:&quot;Murata&quot;,&quot;given&quot;:&quot;Shigeo&quot;,&quot;parse-names&quot;:false,&quot;dropping-particle&quot;:&quot;&quot;,&quot;non-dropping-particle&quot;:&quot;&quot;},{&quot;family&quot;:&quot;Arakawa&quot;,&quot;given&quot;:&quot;Hironori&quot;,&quot;parse-names&quot;:false,&quot;dropping-particle&quot;:&quot;&quot;,&quot;non-dropping-particle&quot;:&quot;&quot;},{&quot;family&quot;:&quot;Tachiya&quot;,&quot;given&quot;:&quot;M&quot;,&quot;parse-names&quot;:false,&quot;dropping-particle&quot;:&quot;&quot;,&quot;non-dropping-particle&quot;:&quot;&quot;}],&quot;container-title&quot;:&quot;The Journal of Physical Chemistry B&quot;,&quot;DOI&quot;:&quot;10.1021/jp031260g&quot;,&quot;URL&quot;:&quot;https://doi.org/10.1021/jp031260g&quot;,&quot;issued&quot;:{&quot;date-parts&quot;:[[2004]]},&quot;page&quot;:&quot;4818-4822&quot;,&quot;issue&quot;:&quot;15&quot;,&quot;volume&quot;:&quot;108&quot;,&quot;container-title-short&quot;:&quot;J Phys Chem B&quot;},&quot;isTemporary&quot;:false}]},{&quot;citationID&quot;:&quot;MENDELEY_CITATION_592c3104-ab80-4b23-ae21-394cef2dd329&quot;,&quot;properties&quot;:{&quot;noteIndex&quot;:0},&quot;isEdited&quot;:false,&quot;manualOverride&quot;:{&quot;isManuallyOverridden&quot;:false,&quot;citeprocText&quot;:&quot;(Ning et al., 2010)&quot;,&quot;manualOverrideText&quot;:&quot;&quot;},&quot;citationTag&quot;:&quot;MENDELEY_CITATION_v3_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&quot;,&quot;citationItems&quot;:[{&quot;id&quot;:&quot;e3ae4aab-3f2b-35b6-8e03-3afa7c88f33e&quot;,&quot;itemData&quot;:{&quot;type&quot;:&quot;article-journal&quot;,&quot;id&quot;:&quot;e3ae4aab-3f2b-35b6-8e03-3afa7c88f33e&quot;,&quot;title&quot;:&quot;Improvement of dye-sensitized solar cells: what we know and what we need to know&quot;,&quot;author&quot;:[{&quot;family&quot;:&quot;Ning&quot;,&quot;given&quot;:&quot;Zhijun&quot;,&quot;parse-names&quot;:false,&quot;dropping-particle&quot;:&quot;&quot;,&quot;non-dropping-particle&quot;:&quot;&quot;},{&quot;family&quot;:&quot;Fu&quot;,&quot;given&quot;:&quot;Ying&quot;,&quot;parse-names&quot;:false,&quot;dropping-particle&quot;:&quot;&quot;,&quot;non-dropping-particle&quot;:&quot;&quot;},{&quot;family&quot;:&quot;Tian&quot;,&quot;given&quot;:&quot;He&quot;,&quot;parse-names&quot;:false,&quot;dropping-particle&quot;:&quot;&quot;,&quot;non-dropping-particle&quot;:&quot;&quot;}],&quot;container-title&quot;:&quot;Energy Environ. Sci.&quot;,&quot;DOI&quot;:&quot;10.1039/C003841E&quot;,&quot;URL&quot;:&quot;http://dx.doi.org/10.1039/C003841E&quot;,&quot;issued&quot;:{&quot;date-parts&quot;:[[2010]]},&quot;page&quot;:&quot;1170-1181&quot;,&quot;abstract&quot;:&quot;The dye-sensitized solar cell (DSC) has been regarded as one of the most promising next-generation solar cells. Tremendous research efforts have been invested to improve the efficiency of solar energy conversion which is generally determined by the light harvesting efficiency, electron injection efficiency and undesirable charge recombination degree. Recently, charge recombination and electron injection efficiency, that are correlated with the open circuit voltage (Voc), have received more and more attention for their crucial roles in the further improvement of the efficiency of DSCs. In this review article, the factors that affect charge recombination and electron injection efficiency systematically discussed in order to formulate basic guidelines and strategies for improving Voc and the overall performance of DSCs is reviewed.&quot;,&quot;publisher&quot;:&quot;The Royal Society of Chemistry&quot;,&quot;issue&quot;:&quot;9&quot;,&quot;volume&quot;:&quot;3&quot;,&quot;container-title-short&quot;:&quot;&quot;},&quot;isTemporary&quot;:false}]},{&quot;citationID&quot;:&quot;MENDELEY_CITATION_16146474-c248-4d86-ad6a-eb231694817e&quot;,&quot;properties&quot;:{&quot;noteIndex&quot;:0},&quot;isEdited&quot;:false,&quot;manualOverride&quot;:{&quot;isManuallyOverridden&quot;:false,&quot;citeprocText&quot;:&quot;(Boschloo and Hagfeldt, 2009)&quot;,&quot;manualOverrideText&quot;:&quot;&quot;},&quot;citationTag&quot;:&quot;MENDELEY_CITATION_v3_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&quot;,&quot;citationItems&quot;:[{&quot;id&quot;:&quot;03105785-4738-3362-a879-96a64e53fec5&quot;,&quot;itemData&quot;:{&quot;type&quot;:&quot;article-journal&quot;,&quot;id&quot;:&quot;03105785-4738-3362-a879-96a64e53fec5&quot;,&quot;title&quot;:&quot;Characteristics of the Iodide/Triiodide Redox Mediator in Dye-Sensitized Solar Cells&quot;,&quot;author&quot;:[{&quot;family&quot;:&quot;Boschloo&quot;,&quot;given&quot;:&quot;Gerrit&quot;,&quot;parse-names&quot;:false,&quot;dropping-particle&quot;:&quot;&quot;,&quot;non-dropping-particle&quot;:&quot;&quot;},{&quot;family&quot;:&quot;Hagfeldt&quot;,&quot;given&quot;:&quot;Anders&quot;,&quot;parse-names&quot;:false,&quot;dropping-particle&quot;:&quot;&quot;,&quot;non-dropping-particle&quot;:&quot;&quot;}],&quot;container-title&quot;:&quot;Accounts of Chemical Research&quot;,&quot;DOI&quot;:&quot;10.1021/ar900138m&quot;,&quot;URL&quot;:&quot;https://doi.org/10.1021/ar900138m&quot;,&quot;issued&quot;:{&quot;date-parts&quot;:[[2009]]},&quot;page&quot;:&quot;1819-1826&quot;,&quot;issue&quot;:&quot;11&quot;,&quot;volume&quot;:&quot;42&quot;,&quot;container-title-short&quot;:&quot;Acc Chem Res&quot;},&quot;isTemporary&quot;:false}]},{&quot;citationID&quot;:&quot;MENDELEY_CITATION_1d66c93a-44f5-46e5-bfc2-27194239e5bb&quot;,&quot;properties&quot;:{&quot;noteIndex&quot;:0},&quot;isEdited&quot;:false,&quot;manualOverride&quot;:{&quot;isManuallyOverridden&quot;:false,&quot;citeprocText&quot;:&quot;(Yang et al., 2016)&quot;,&quot;manualOverrideText&quot;:&quot;&quot;},&quot;citationTag&quot;:&quot;MENDELEY_CITATION_v3_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&quot;,&quot;citationItems&quot;:[{&quot;id&quot;:&quot;93800bc4-7c26-31c1-a3ff-9be3f4a23dc4&quot;,&quot;itemData&quot;:{&quot;type&quot;:&quot;article-journal&quot;,&quot;id&quot;:&quot;93800bc4-7c26-31c1-a3ff-9be3f4a23dc4&quot;,&quot;title&quot;:&quot;TDDFT screening auxiliary withdrawing group and design the novel D-A-Ï€-A organic dyes based on indoline dye for highly efficient dye-sensitized solar cells&quot;,&quot;author&quot;:[{&quot;family&quot;:&quot;Yang&quot;,&quot;given&quot;:&quot;Zhenqing&quot;,&quot;parse-names&quot;:false,&quot;dropping-particle&quot;:&quot;&quot;,&quot;non-dropping-particle&quot;:&quot;&quot;},{&quot;family&quot;:&quot;Liu&quot;,&quot;given&quot;:&quot;Yun&quot;,&quot;parse-names&quot;:false,&quot;dropping-particle&quot;:&quot;&quot;,&quot;non-dropping-particle&quot;:&quot;&quot;},{&quot;family&quot;:&quot;Liu&quot;,&quot;given&quot;:&quot;Chunmeng&quot;,&quot;parse-names&quot;:false,&quot;dropping-particle&quot;:&quot;&quot;,&quot;non-dropping-particle&quot;:&quot;&quot;},{&quot;family&quot;:&quot;Lin&quot;,&quot;given&quot;:&quot;Chundan&quot;,&quot;parse-names&quot;:false,&quot;dropping-particle&quot;:&quot;&quot;,&quot;non-dropping-particle&quot;:&quot;&quot;},{&quot;family&quot;:&quot;Shao&quot;,&quot;given&quot;:&quot;Changjin&quot;,&quot;parse-names&quot;:false,&quot;dropping-particle&quot;:&quot;&quot;,&quot;non-dropping-particle&quot;:&quot;&quot;}],&quot;container-title&quot;:&quot;Spectrochimica Acta Part A: Molecular and Biomolecular Spectroscopy&quot;,&quot;DOI&quot;:&quot;https://doi.org/10.1016/j.saa.2016.05.041&quot;,&quot;ISSN&quot;:&quot;1386-1425&quot;,&quot;URL&quot;:&quot;https://www.sciencedirect.com/science/article/pii/S1386142516302992&quot;,&quot;issued&quot;:{&quot;date-parts&quot;:[[2016]]},&quot;page&quot;:&quot;127-133&quot;,&quot;abstract&quot;:&quot;Based on the experimentally synthesized dye JZ145, we designed a series of novel D-A-Ï€-A dyes SPL201-SPL211 with different Ï€-conjugated bridges and a new auxiliary withdrawing group for highly efficient dye-sensitized solar cells (DSSCs) using density functional theory (DFT) and time-dependent DFT(TDDFT). The molecular structures, energy levels, absorption spectra, light-harvesting efficiency (LHE), driving force of injection(Î”Ginj) and regeneration(Î”Greg), electron dipole moment (Î¼normal) and lifetime of the first excited state(Ï„) were all scrutinized in details. Results reveal that the additional withdrawing group A2 and the Ï€-conjugated group di-Î·-hexyl-substituted cyclopentadithiophene (CPDT) are more promising functional groups for the organic dyes with D-A-Ï€-A structure. We further designed SPL212 and SPL213 by employing indoline group as donor, the above screened functional groups as Ï€-conjugated bridge and additional withdrawing group, biscarbodithiolic acid and dicyanovinyl sulfonic acid groups as acceptor group. We found that SPL212 exhibits not only a higher molar extinction coefficient with an increment of 30.8%, larger excited state lifetime and an obvious redshift of 201nm but also a broader absorption spectrum covering the entire visible range even up to near-IR of 1200nm compared to JZ145. So, SPL212 can be used as a promising candidate for DSSCs. In addition, the results also prove that biscarbodithiolic acid may be more favorable than dicyanovinylsulfonic acid as acceptor group in DSSCs.&quot;,&quot;volume&quot;:&quot;167&quot;,&quot;container-title-short&quot;:&quot;Spectrochim Acta A Mol Biomol Spectrosc&quot;},&quot;isTemporary&quot;:false}]},{&quot;citationID&quot;:&quot;MENDELEY_CITATION_fb613d81-3143-429d-a58a-ea7782970e89&quot;,&quot;properties&quot;:{&quot;noteIndex&quot;:0},&quot;isEdited&quot;:false,&quot;manualOverride&quot;:{&quot;isManuallyOverridden&quot;:false,&quot;citeprocText&quot;:&quot;(Srinivas et al., 2011)&quot;,&quot;manualOverrideText&quot;:&quot;&quot;},&quot;citationTag&quot;:&quot;MENDELEY_CITATION_v3_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&quot;,&quot;citationItems&quot;:[{&quot;id&quot;:&quot;6efe0aea-ca1d-3e40-a09f-5299b95f7627&quot;,&quot;itemData&quot;:{&quot;type&quot;:&quot;article-journal&quot;,&quot;id&quot;:&quot;6efe0aea-ca1d-3e40-a09f-5299b95f7627&quot;,&quot;title&quot;:&quot;D-Ï€-A organic dyes with carbazole as donor for dye-sensitized solar cells&quot;,&quot;author&quot;:[{&quot;family&quot;:&quot;Srinivas&quot;,&quot;given&quot;:&quot;Kola&quot;,&quot;parse-names&quot;:false,&quot;dropping-particle&quot;:&quot;&quot;,&quot;non-dropping-particle&quot;:&quot;&quot;},{&quot;family&quot;:&quot;Kumar&quot;,&quot;given&quot;:&quot;Chitumalla Ramesh&quot;,&quot;parse-names&quot;:false,&quot;dropping-particle&quot;:&quot;&quot;,&quot;non-dropping-particle&quot;:&quot;&quot;},{&quot;family&quot;:&quot;Reddy&quot;,&quot;given&quot;:&quot;Manda Ananth&quot;,&quot;parse-names&quot;:false,&quot;dropping-particle&quot;:&quot;&quot;,&quot;non-dropping-particle&quot;:&quot;&quot;},{&quot;family&quot;:&quot;Bhanuprakash&quot;,&quot;given&quot;:&quot;Kotamarthi&quot;,&quot;parse-names&quot;:false,&quot;dropping-particle&quot;:&quot;&quot;,&quot;non-dropping-particle&quot;:&quot;&quot;},{&quot;family&quot;:&quot;Rao&quot;,&quot;given&quot;:&quot;Vaidya Jayathirtha&quot;,&quot;parse-names&quot;:false,&quot;dropping-particle&quot;:&quot;&quot;,&quot;non-dropping-particle&quot;:&quot;&quot;},{&quot;family&quot;:&quot;Giribabu&quot;,&quot;given&quot;:&quot;Lingamallu&quot;,&quot;parse-names&quot;:false,&quot;dropping-particle&quot;:&quot;&quot;,&quot;non-dropping-particle&quot;:&quot;&quot;}],&quot;container-title&quot;:&quot;Synthetic Metals&quot;,&quot;DOI&quot;:&quot;https://doi.org/10.1016/j.synthmet.2010.11.004&quot;,&quot;ISSN&quot;:&quot;0379-6779&quot;,&quot;URL&quot;:&quot;https://www.sciencedirect.com/science/article/pii/S0379677910004571&quot;,&quot;issued&quot;:{&quot;date-parts&quot;:[[2011]]},&quot;page&quot;:&quot;96-105&quot;,&quot;abstract&quot;:&quot;Two donor-Ï€-acceptor (D-Ï€-A) organic dyes with carbazole as donor, phenylethynyl, thienylethynyl as Ï€-spacers and cyanoacrylic acid as acceptor, have been synthesized and characterized. These dyes exhibit charge transfer character in the ground and excited states as supported by the UVâ€“vis and fluorescence studies. They also show interesting electrochemical properties. DFT and TDDFT studies reveal that large intramolecular charge transfer takes place from the HOMO to LUMO, though the donor carbazole is twisted (âˆ¼51Â°) with respect to the Ï€-conjugated spacer and acceptors with an idea of testing the dyes as sensitizers for DSSC. The DSSC devices were fabricated with these dyes by using redox electrolyte in a nonvolatile methoxypropionitrile solvent. The efficiency of the cells, short circuit current density, Jsc, and open circuit photovoltage, Voc, and fill factor, FF, has been obtained for the two molecules. Calculations based on DFT plane wave method reveal the strong binding of the dyes on the surface of TiO2 (101) surface. It is concluded that these dyes can play the role of sensitizers in DSSC.&quot;,&quot;issue&quot;:&quot;1&quot;,&quot;volume&quot;:&quot;161&quot;,&quot;container-title-short&quot;:&quot;Synth Met&quot;},&quot;isTemporary&quot;:false}]},{&quot;citationID&quot;:&quot;MENDELEY_CITATION_71d3c7c4-221c-4731-b945-a82bf90ffc3e&quot;,&quot;properties&quot;:{&quot;noteIndex&quot;:0},&quot;isEdited&quot;:false,&quot;manualOverride&quot;:{&quot;isManuallyOverridden&quot;:false,&quot;citeprocText&quot;:&quot;(Babu et al., 2015)&quot;,&quot;manualOverrideText&quot;:&quot;&quot;},&quot;citationTag&quot;:&quot;MENDELEY_CITATION_v3_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&quot;,&quot;citationItems&quot;:[{&quot;id&quot;:&quot;99b00815-4ee3-3351-926e-dde73cfa4b21&quot;,&quot;itemData&quot;:{&quot;type&quot;:&quot;article-journal&quot;,&quot;id&quot;:&quot;99b00815-4ee3-3351-926e-dde73cfa4b21&quot;,&quot;title&quot;:&quot;New D-π-A type indole based chromogens for DSSC: Design, synthesis and performance studies&quot;,&quot;author&quot;:[{&quot;family&quot;:&quot;Babu&quot;,&quot;given&quot;:&quot;Dickson D&quot;,&quot;parse-names&quot;:false,&quot;dropping-particle&quot;:&quot;&quot;,&quot;non-dropping-particle&quot;:&quot;&quot;},{&quot;family&quot;:&quot;Gachumale&quot;,&quot;given&quot;:&quot;Saritha Reddy&quot;,&quot;parse-names&quot;:false,&quot;dropping-particle&quot;:&quot;&quot;,&quot;non-dropping-particle&quot;:&quot;&quot;},{&quot;family&quot;:&quot;Anandan&quot;,&quot;given&quot;:&quot;Sambandam&quot;,&quot;parse-names&quot;:false,&quot;dropping-particle&quot;:&quot;&quot;,&quot;non-dropping-particle&quot;:&quot;&quot;},{&quot;family&quot;:&quot;Adhikari&quot;,&quot;given&quot;:&quot;Airody Vasudeva&quot;,&quot;parse-names&quot;:false,&quot;dropping-particle&quot;:&quot;&quot;,&quot;non-dropping-particle&quot;:&quot;&quot;}],&quot;container-title&quot;:&quot;Dyes and Pigments&quot;,&quot;DOI&quot;:&quot;https://doi.org/10.1016/j.dyepig.2014.07.006&quot;,&quot;ISSN&quot;:&quot;0143-7208&quot;,&quot;URL&quot;:&quot;https://www.sciencedirect.com/science/article/pii/S0143720814002836&quot;,&quot;issued&quot;:{&quot;date-parts&quot;:[[2015]]},&quot;page&quot;:&quot;183-191&quot;,&quot;volume&quot;:&quot;112&quot;,&quot;container-title-short&quot;:&quot;&quot;},&quot;isTemporary&quot;:false}]}]"/>
    <we:property name="MENDELEY_CITATIONS_LOCALE_CODE" value="&quot;en-US&quot;"/>
    <we:property name="MENDELEY_CITATIONS_STYLE" value="{&quot;id&quot;:&quot;https://www.zotero.org/styles/arabian-journal-of-chemistry&quot;,&quot;title&quot;:&quot;Arabian Journal of Chemistry&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3A6D4-C04E-48A5-8C81-4902BB086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4</Pages>
  <Words>1177</Words>
  <Characters>6474</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medo</dc:creator>
  <cp:keywords/>
  <dc:description/>
  <cp:lastModifiedBy>medo</cp:lastModifiedBy>
  <cp:revision>61</cp:revision>
  <dcterms:created xsi:type="dcterms:W3CDTF">2023-04-21T10:42:00Z</dcterms:created>
  <dcterms:modified xsi:type="dcterms:W3CDTF">2023-11-09T22:14:00Z</dcterms:modified>
</cp:coreProperties>
</file>