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666EB" w14:textId="77777777" w:rsidR="00FD4E19" w:rsidRPr="0060383F" w:rsidRDefault="00FD4E19" w:rsidP="00FD4E19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 w:rsidRPr="0060383F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Smartphone-Enabled Mesoporous Silica Nanotube </w:t>
      </w:r>
      <w:proofErr w:type="spellStart"/>
      <w:r w:rsidRPr="0060383F">
        <w:rPr>
          <w:rFonts w:asciiTheme="majorBidi" w:hAnsiTheme="majorBidi" w:cstheme="majorBidi"/>
          <w:b/>
          <w:bCs/>
          <w:sz w:val="26"/>
          <w:szCs w:val="26"/>
          <w:lang w:bidi="ar-EG"/>
        </w:rPr>
        <w:t>Chemosensors</w:t>
      </w:r>
      <w:proofErr w:type="spellEnd"/>
      <w:r w:rsidRPr="0060383F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 for Quick and Selective Mercury Detection in Water and Cosmetics</w:t>
      </w:r>
    </w:p>
    <w:p w14:paraId="31774F77" w14:textId="77777777" w:rsidR="00FD4E19" w:rsidRPr="00BB5F55" w:rsidRDefault="00FD4E19" w:rsidP="00FD4E19">
      <w:pPr>
        <w:spacing w:line="360" w:lineRule="auto"/>
        <w:ind w:right="-387"/>
        <w:rPr>
          <w:rFonts w:asciiTheme="majorBidi" w:hAnsiTheme="majorBidi" w:cstheme="majorBidi"/>
          <w:b/>
          <w:bCs/>
          <w:sz w:val="24"/>
          <w:szCs w:val="24"/>
          <w:vertAlign w:val="superscript"/>
        </w:rPr>
      </w:pPr>
      <w:proofErr w:type="spellStart"/>
      <w:r w:rsidRPr="00BB5F55">
        <w:rPr>
          <w:rFonts w:asciiTheme="majorBidi" w:hAnsiTheme="majorBidi" w:cstheme="majorBidi"/>
          <w:b/>
          <w:bCs/>
          <w:sz w:val="24"/>
          <w:szCs w:val="24"/>
        </w:rPr>
        <w:t>Albandary</w:t>
      </w:r>
      <w:proofErr w:type="spellEnd"/>
      <w:r w:rsidRPr="00BB5F55">
        <w:rPr>
          <w:rFonts w:asciiTheme="majorBidi" w:hAnsiTheme="majorBidi" w:cstheme="majorBidi"/>
          <w:b/>
          <w:bCs/>
          <w:sz w:val="24"/>
          <w:szCs w:val="24"/>
        </w:rPr>
        <w:t xml:space="preserve"> Almahri</w:t>
      </w:r>
      <w:r w:rsidRPr="00BB5F5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r w:rsidRPr="00BB5F55">
        <w:rPr>
          <w:rFonts w:asciiTheme="majorBidi" w:hAnsiTheme="majorBidi" w:cstheme="majorBidi"/>
          <w:b/>
          <w:bCs/>
          <w:sz w:val="24"/>
          <w:szCs w:val="24"/>
        </w:rPr>
        <w:t xml:space="preserve"> and Nashwa M. El-Metwaly</w:t>
      </w:r>
      <w:r w:rsidRPr="00BB5F5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2,3*</w:t>
      </w:r>
    </w:p>
    <w:p w14:paraId="49305914" w14:textId="77777777" w:rsidR="00FD4E19" w:rsidRPr="00BB5F55" w:rsidRDefault="00FD4E19" w:rsidP="00FD4E19">
      <w:pPr>
        <w:pStyle w:val="NoSpacing"/>
        <w:ind w:right="-342"/>
        <w:rPr>
          <w:rFonts w:asciiTheme="majorBidi" w:hAnsiTheme="majorBidi" w:cstheme="majorBidi"/>
          <w:i/>
          <w:iCs/>
        </w:rPr>
      </w:pPr>
      <w:r w:rsidRPr="00BB5F55">
        <w:rPr>
          <w:rFonts w:asciiTheme="majorBidi" w:hAnsiTheme="majorBidi" w:cstheme="majorBidi"/>
          <w:i/>
          <w:iCs/>
          <w:vertAlign w:val="superscript"/>
        </w:rPr>
        <w:t>1</w:t>
      </w:r>
      <w:r w:rsidRPr="00BB5F55">
        <w:rPr>
          <w:rFonts w:asciiTheme="majorBidi" w:hAnsiTheme="majorBidi" w:cstheme="majorBidi"/>
          <w:i/>
          <w:iCs/>
        </w:rPr>
        <w:t>Department of Chemistry, College of Science and Humanities in Al-Kharj, Prince Sattam Bin Abdulaziz University, Al-Kharj 11942, Saudi Arabia</w:t>
      </w:r>
    </w:p>
    <w:p w14:paraId="5ED62DBA" w14:textId="77777777" w:rsidR="00FD4E19" w:rsidRPr="00BB5F55" w:rsidRDefault="00FD4E19" w:rsidP="00FD4E19">
      <w:pPr>
        <w:pStyle w:val="NoSpacing"/>
        <w:ind w:right="-342"/>
        <w:rPr>
          <w:rFonts w:asciiTheme="majorBidi" w:hAnsiTheme="majorBidi" w:cstheme="majorBidi"/>
          <w:i/>
          <w:iCs/>
        </w:rPr>
      </w:pPr>
      <w:r w:rsidRPr="00BB5F55">
        <w:rPr>
          <w:rFonts w:asciiTheme="majorBidi" w:hAnsiTheme="majorBidi" w:cstheme="majorBidi"/>
          <w:i/>
          <w:iCs/>
          <w:vertAlign w:val="superscript"/>
        </w:rPr>
        <w:t>2</w:t>
      </w:r>
      <w:r w:rsidRPr="00BB5F55">
        <w:rPr>
          <w:rFonts w:asciiTheme="majorBidi" w:hAnsiTheme="majorBidi" w:cstheme="majorBidi"/>
          <w:i/>
          <w:iCs/>
        </w:rPr>
        <w:t>Department of Chemistry, Faculty of Science, Umm Al Qura University, Makkah 24230, Saudi Arabia</w:t>
      </w:r>
    </w:p>
    <w:p w14:paraId="3AF6BF99" w14:textId="59A53420" w:rsidR="00FD4E19" w:rsidRDefault="00FD4E19" w:rsidP="00FD4E19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BB5F55">
        <w:rPr>
          <w:rFonts w:asciiTheme="majorBidi" w:hAnsiTheme="majorBidi" w:cstheme="majorBidi"/>
          <w:i/>
          <w:iCs/>
          <w:vertAlign w:val="superscript"/>
        </w:rPr>
        <w:t>3</w:t>
      </w:r>
      <w:r w:rsidRPr="00BB5F55">
        <w:rPr>
          <w:rFonts w:asciiTheme="majorBidi" w:hAnsiTheme="majorBidi" w:cstheme="majorBidi"/>
          <w:i/>
          <w:iCs/>
        </w:rPr>
        <w:t>Department of Chemistry, Faculty of Science, Mansoura University, Mansoura, Egypt</w:t>
      </w:r>
      <w:r w:rsidRPr="00BB5F55">
        <w:rPr>
          <w:rFonts w:asciiTheme="majorBidi" w:hAnsiTheme="majorBidi" w:cstheme="majorBidi"/>
          <w:i/>
          <w:iCs/>
          <w:vertAlign w:val="superscript"/>
        </w:rPr>
        <w:t xml:space="preserve">    </w:t>
      </w:r>
    </w:p>
    <w:p w14:paraId="3FC9B2DF" w14:textId="77777777" w:rsidR="00FD4E19" w:rsidRDefault="00FD4E19" w:rsidP="00FD4E19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14:paraId="57A11653" w14:textId="5F399C89" w:rsidR="00FD4E19" w:rsidRPr="00457DAF" w:rsidRDefault="00FD4E19" w:rsidP="00FD4E19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1</w:t>
      </w:r>
      <w:r w:rsidRPr="00457DAF">
        <w:rPr>
          <w:rFonts w:asciiTheme="majorBidi" w:hAnsiTheme="majorBidi" w:cstheme="majorBidi"/>
          <w:b/>
          <w:bCs/>
          <w:sz w:val="24"/>
          <w:szCs w:val="24"/>
          <w:lang w:bidi="ar-EG"/>
        </w:rPr>
        <w:t>. Materials</w:t>
      </w:r>
    </w:p>
    <w:p w14:paraId="59E26224" w14:textId="77777777" w:rsidR="00FD4E19" w:rsidRPr="00457DAF" w:rsidRDefault="00FD4E19" w:rsidP="00FD4E19">
      <w:pPr>
        <w:spacing w:line="360" w:lineRule="auto"/>
        <w:jc w:val="both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  <w:r w:rsidRPr="00457DA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For the experimental procedures, all chemicals were employed as received without any additional purification steps. Milli-Q water served as the solvent for all experimental setups. The following materials were sourced: Multiwall carbon nanotubes (MWCNTs, Sigma-Aldrich, UK), cetyltrimethylammonium bromide (CTAB, Sigma-Aldrich, USA), Brij 58 (Sigma-Aldrich, UK), and tetraethyl orthosilicate (TEOS, Sigma-Aldrich, UK). The optical probe utilized was </w:t>
      </w:r>
      <w:proofErr w:type="gramStart"/>
      <w:r w:rsidRPr="00457DA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N,N</w:t>
      </w:r>
      <w:proofErr w:type="gramEnd"/>
      <w:r w:rsidRPr="00457DA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,N,N′-Tetramethyl-4,4′-diaminobenzophenone. Buffer solutions across a pH range of 1–6 </w:t>
      </w:r>
      <w:proofErr w:type="gramStart"/>
      <w:r w:rsidRPr="00457DA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were</w:t>
      </w:r>
      <w:proofErr w:type="gramEnd"/>
      <w:r w:rsidRPr="00457DA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prepared using </w:t>
      </w:r>
      <w:proofErr w:type="spellStart"/>
      <w:r w:rsidRPr="00457DA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KCl</w:t>
      </w:r>
      <w:proofErr w:type="spellEnd"/>
      <w:r w:rsidRPr="00457DA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-HCl (0.2 M) and CH</w:t>
      </w:r>
      <w:r w:rsidRPr="00457DA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  <w:vertAlign w:val="subscript"/>
        </w:rPr>
        <w:t>3</w:t>
      </w:r>
      <w:r w:rsidRPr="00457DA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COOH-CH</w:t>
      </w:r>
      <w:r w:rsidRPr="00457DA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  <w:vertAlign w:val="subscript"/>
        </w:rPr>
        <w:t>3</w:t>
      </w:r>
      <w:r w:rsidRPr="00457DAF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COONa (0.1 M). For adjusting the pH within the 7–12 range, 4-(2-hydroxyethyl)-1-piperazineethanesulfonic acid (HEPES) and disodium hydrogen phosphate (0.1 M) were used. These materials were integral to the development and testing of the mesoporous silica nanotube-based chemo-sensors for mercury ion detection.</w:t>
      </w:r>
    </w:p>
    <w:p w14:paraId="2CC43AB3" w14:textId="77777777" w:rsidR="00DA2BB2" w:rsidRPr="00E53C07" w:rsidRDefault="00DA2BB2" w:rsidP="00DA2BB2">
      <w:pPr>
        <w:spacing w:after="0" w:line="360" w:lineRule="auto"/>
        <w:rPr>
          <w:rFonts w:asciiTheme="majorBidi" w:eastAsia="GulliverRM" w:hAnsiTheme="majorBidi" w:cstheme="majorBidi"/>
          <w:b/>
          <w:bCs/>
          <w:sz w:val="24"/>
          <w:szCs w:val="24"/>
        </w:rPr>
      </w:pPr>
      <w:r w:rsidRPr="00E53C07">
        <w:rPr>
          <w:rFonts w:asciiTheme="majorBidi" w:eastAsia="GulliverRM" w:hAnsiTheme="majorBidi" w:cstheme="majorBidi"/>
          <w:b/>
          <w:bCs/>
          <w:sz w:val="24"/>
          <w:szCs w:val="24"/>
        </w:rPr>
        <w:t>2. Instruments</w:t>
      </w:r>
    </w:p>
    <w:p w14:paraId="7F0CAC95" w14:textId="01ABDC75" w:rsidR="00DA2BB2" w:rsidRPr="00E53C07" w:rsidRDefault="00DA2BB2" w:rsidP="00DA2BB2">
      <w:pPr>
        <w:spacing w:after="0" w:line="360" w:lineRule="auto"/>
        <w:ind w:firstLine="720"/>
        <w:jc w:val="both"/>
        <w:rPr>
          <w:rFonts w:asciiTheme="majorBidi" w:eastAsia="GulliverRM" w:hAnsiTheme="majorBidi" w:cstheme="majorBidi"/>
          <w:sz w:val="24"/>
          <w:szCs w:val="24"/>
        </w:rPr>
      </w:pPr>
      <w:r w:rsidRPr="00E53C07">
        <w:rPr>
          <w:rFonts w:asciiTheme="majorBidi" w:eastAsia="GulliverRM" w:hAnsiTheme="majorBidi" w:cstheme="majorBidi"/>
          <w:sz w:val="24"/>
          <w:szCs w:val="24"/>
        </w:rPr>
        <w:t>The Shimadzu 2600 UV/Vis spectrophotometer was used to measure the absorbance of the HDN chromophore-based nano-conjugate material and other solid-state test samples. The (X, PERT-PRO-</w:t>
      </w:r>
      <w:proofErr w:type="spellStart"/>
      <w:r w:rsidRPr="00E53C07">
        <w:rPr>
          <w:rFonts w:asciiTheme="majorBidi" w:eastAsia="GulliverRM" w:hAnsiTheme="majorBidi" w:cstheme="majorBidi"/>
          <w:sz w:val="24"/>
          <w:szCs w:val="24"/>
        </w:rPr>
        <w:t>PANalytical</w:t>
      </w:r>
      <w:proofErr w:type="spellEnd"/>
      <w:r w:rsidRPr="00E53C07">
        <w:rPr>
          <w:rFonts w:asciiTheme="majorBidi" w:eastAsia="GulliverRM" w:hAnsiTheme="majorBidi" w:cstheme="majorBidi"/>
          <w:sz w:val="24"/>
          <w:szCs w:val="24"/>
        </w:rPr>
        <w:t xml:space="preserve">, Netherlands) device was employed to generate low-angle X-ray diffraction (XRD) patterns. The </w:t>
      </w:r>
      <w:proofErr w:type="spellStart"/>
      <w:r w:rsidRPr="00E53C07">
        <w:rPr>
          <w:rFonts w:asciiTheme="majorBidi" w:eastAsia="GulliverRM" w:hAnsiTheme="majorBidi" w:cstheme="majorBidi"/>
          <w:sz w:val="24"/>
          <w:szCs w:val="24"/>
        </w:rPr>
        <w:t>Quantachrome</w:t>
      </w:r>
      <w:proofErr w:type="spellEnd"/>
      <w:r w:rsidRPr="00E53C07">
        <w:rPr>
          <w:rFonts w:asciiTheme="majorBidi" w:eastAsia="GulliverRM" w:hAnsiTheme="majorBidi" w:cstheme="majorBidi"/>
          <w:sz w:val="24"/>
          <w:szCs w:val="24"/>
        </w:rPr>
        <w:t xml:space="preserve"> </w:t>
      </w:r>
      <w:proofErr w:type="spellStart"/>
      <w:r w:rsidRPr="00E53C07">
        <w:rPr>
          <w:rFonts w:asciiTheme="majorBidi" w:eastAsia="GulliverRM" w:hAnsiTheme="majorBidi" w:cstheme="majorBidi"/>
          <w:sz w:val="24"/>
          <w:szCs w:val="24"/>
        </w:rPr>
        <w:t>Autosorb</w:t>
      </w:r>
      <w:proofErr w:type="spellEnd"/>
      <w:r w:rsidRPr="00E53C07">
        <w:rPr>
          <w:rFonts w:asciiTheme="majorBidi" w:eastAsia="GulliverRM" w:hAnsiTheme="majorBidi" w:cstheme="majorBidi"/>
          <w:sz w:val="24"/>
          <w:szCs w:val="24"/>
        </w:rPr>
        <w:t xml:space="preserve"> system was utilized to evaluate adsorption/desorption isotherms at 77K. The Zeiss Leo Supra55 Microscope was used to obtain images of silica nanoparticles and </w:t>
      </w:r>
      <w:r w:rsidR="003E7AAB">
        <w:rPr>
          <w:rFonts w:asciiTheme="majorBidi" w:eastAsia="GulliverRM" w:hAnsiTheme="majorBidi" w:cstheme="majorBidi"/>
          <w:sz w:val="24"/>
          <w:szCs w:val="24"/>
        </w:rPr>
        <w:t>all</w:t>
      </w:r>
      <w:r w:rsidRPr="00E53C07">
        <w:rPr>
          <w:rFonts w:asciiTheme="majorBidi" w:eastAsia="GulliverRM" w:hAnsiTheme="majorBidi" w:cstheme="majorBidi"/>
          <w:sz w:val="24"/>
          <w:szCs w:val="24"/>
        </w:rPr>
        <w:t xml:space="preserve"> material</w:t>
      </w:r>
      <w:r w:rsidR="003E7AAB">
        <w:rPr>
          <w:rFonts w:asciiTheme="majorBidi" w:eastAsia="GulliverRM" w:hAnsiTheme="majorBidi" w:cstheme="majorBidi"/>
          <w:sz w:val="24"/>
          <w:szCs w:val="24"/>
        </w:rPr>
        <w:t>s</w:t>
      </w:r>
      <w:r w:rsidRPr="00E53C07">
        <w:rPr>
          <w:rFonts w:asciiTheme="majorBidi" w:eastAsia="GulliverRM" w:hAnsiTheme="majorBidi" w:cstheme="majorBidi"/>
          <w:sz w:val="24"/>
          <w:szCs w:val="24"/>
        </w:rPr>
        <w:t xml:space="preserve"> utilizing the field emission scanning electron microscopy (FESEM) technique. The JEOL-100S device (Japan) was used for imaging silica nanoparticles before and after modification through transmission electron microscopy (TEM). </w:t>
      </w:r>
    </w:p>
    <w:p w14:paraId="0BD9761F" w14:textId="77777777" w:rsidR="000176D6" w:rsidRDefault="000176D6"/>
    <w:sectPr w:rsidR="000176D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5FC31" w14:textId="77777777" w:rsidR="00202188" w:rsidRDefault="00202188" w:rsidP="00BC4F0E">
      <w:pPr>
        <w:spacing w:after="0" w:line="240" w:lineRule="auto"/>
      </w:pPr>
      <w:r>
        <w:separator/>
      </w:r>
    </w:p>
  </w:endnote>
  <w:endnote w:type="continuationSeparator" w:id="0">
    <w:p w14:paraId="72A96AA1" w14:textId="77777777" w:rsidR="00202188" w:rsidRDefault="00202188" w:rsidP="00BC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liverRM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7540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5D4EA" w14:textId="216B508D" w:rsidR="00BC4F0E" w:rsidRDefault="00F50ABA">
        <w:pPr>
          <w:pStyle w:val="Footer"/>
          <w:jc w:val="center"/>
        </w:pPr>
        <w:r>
          <w:t>S</w:t>
        </w:r>
        <w:r w:rsidR="00BC4F0E">
          <w:fldChar w:fldCharType="begin"/>
        </w:r>
        <w:r w:rsidR="00BC4F0E">
          <w:instrText xml:space="preserve"> PAGE   \* MERGEFORMAT </w:instrText>
        </w:r>
        <w:r w:rsidR="00BC4F0E">
          <w:fldChar w:fldCharType="separate"/>
        </w:r>
        <w:r w:rsidR="00BC4F0E">
          <w:rPr>
            <w:noProof/>
          </w:rPr>
          <w:t>2</w:t>
        </w:r>
        <w:r w:rsidR="00BC4F0E">
          <w:rPr>
            <w:noProof/>
          </w:rPr>
          <w:fldChar w:fldCharType="end"/>
        </w:r>
      </w:p>
    </w:sdtContent>
  </w:sdt>
  <w:p w14:paraId="1803B98D" w14:textId="77777777" w:rsidR="00BC4F0E" w:rsidRDefault="00BC4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A0E11" w14:textId="77777777" w:rsidR="00202188" w:rsidRDefault="00202188" w:rsidP="00BC4F0E">
      <w:pPr>
        <w:spacing w:after="0" w:line="240" w:lineRule="auto"/>
      </w:pPr>
      <w:r>
        <w:separator/>
      </w:r>
    </w:p>
  </w:footnote>
  <w:footnote w:type="continuationSeparator" w:id="0">
    <w:p w14:paraId="6E7DE5E2" w14:textId="77777777" w:rsidR="00202188" w:rsidRDefault="00202188" w:rsidP="00BC4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19"/>
    <w:rsid w:val="000176D6"/>
    <w:rsid w:val="00202188"/>
    <w:rsid w:val="003E7AAB"/>
    <w:rsid w:val="005916B4"/>
    <w:rsid w:val="00827CC0"/>
    <w:rsid w:val="00BA09B4"/>
    <w:rsid w:val="00BC4F0E"/>
    <w:rsid w:val="00DA2BB2"/>
    <w:rsid w:val="00F50ABA"/>
    <w:rsid w:val="00FC005F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3AC2E"/>
  <w15:chartTrackingRefBased/>
  <w15:docId w15:val="{1A9BED68-D42A-4D01-ADB1-8D177ED6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E19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E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E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E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E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E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E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D4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D4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E19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D4E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E19"/>
    <w:pPr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FD4E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E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E1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aliases w:val="标题2"/>
    <w:link w:val="NoSpacingChar"/>
    <w:uiPriority w:val="1"/>
    <w:qFormat/>
    <w:rsid w:val="00FD4E19"/>
    <w:pPr>
      <w:spacing w:after="0" w:line="240" w:lineRule="auto"/>
    </w:pPr>
    <w:rPr>
      <w:lang w:val="en-GB"/>
    </w:rPr>
  </w:style>
  <w:style w:type="character" w:customStyle="1" w:styleId="NoSpacingChar">
    <w:name w:val="No Spacing Char"/>
    <w:aliases w:val="标题2 Char"/>
    <w:link w:val="NoSpacing"/>
    <w:uiPriority w:val="1"/>
    <w:rsid w:val="00FD4E1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BC4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F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C4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F0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Shahat Ahmed Abady</dc:creator>
  <cp:keywords/>
  <dc:description/>
  <cp:lastModifiedBy>Nashwa El-Metwaly</cp:lastModifiedBy>
  <cp:revision>5</cp:revision>
  <dcterms:created xsi:type="dcterms:W3CDTF">2024-08-25T17:23:00Z</dcterms:created>
  <dcterms:modified xsi:type="dcterms:W3CDTF">2024-08-26T12:48:00Z</dcterms:modified>
</cp:coreProperties>
</file>