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8DB68">
      <w:pPr>
        <w:widowControl/>
        <w:spacing w:line="480" w:lineRule="auto"/>
        <w:jc w:val="center"/>
        <w:rPr>
          <w:rFonts w:hint="eastAsia" w:ascii="Times New Roman" w:hAnsi="Times New Roman"/>
          <w:b/>
          <w:bCs/>
          <w:sz w:val="28"/>
          <w:szCs w:val="28"/>
        </w:rPr>
      </w:pPr>
      <w:bookmarkStart w:id="0" w:name="OLE_LINK8"/>
      <w:bookmarkStart w:id="1" w:name="OLE_LINK59"/>
      <w:r>
        <w:rPr>
          <w:rFonts w:hint="eastAsia"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z w:val="28"/>
          <w:szCs w:val="28"/>
        </w:rPr>
        <w:t>imetallic</w:t>
      </w:r>
      <w:r>
        <w:rPr>
          <w:rFonts w:hint="eastAsia" w:ascii="Times New Roman" w:hAnsi="Times New Roman"/>
          <w:b/>
          <w:bCs/>
          <w:sz w:val="28"/>
          <w:szCs w:val="28"/>
        </w:rPr>
        <w:t xml:space="preserve"> FeCo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 xml:space="preserve"> m</w:t>
      </w:r>
      <w:r>
        <w:rPr>
          <w:rFonts w:hint="eastAsia" w:ascii="Times New Roman" w:hAnsi="Times New Roman"/>
          <w:b/>
          <w:bCs/>
          <w:sz w:val="28"/>
          <w:szCs w:val="28"/>
        </w:rPr>
        <w:t>etal-organic framework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 xml:space="preserve"> based </w:t>
      </w:r>
      <w:r>
        <w:rPr>
          <w:rFonts w:ascii="Times New Roman" w:hAnsi="Times New Roman"/>
          <w:b/>
          <w:bCs/>
          <w:sz w:val="28"/>
          <w:szCs w:val="28"/>
        </w:rPr>
        <w:t>cascade reaction system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 xml:space="preserve">Enhanced peroxidase activity </w:t>
      </w:r>
      <w:r>
        <w:rPr>
          <w:rFonts w:hint="eastAsia" w:ascii="Times New Roman" w:hAnsi="Times New Roman"/>
          <w:b/>
          <w:bCs/>
          <w:sz w:val="28"/>
          <w:szCs w:val="28"/>
        </w:rPr>
        <w:t xml:space="preserve">for </w:t>
      </w:r>
      <w:bookmarkStart w:id="2" w:name="OLE_LINK15"/>
      <w:r>
        <w:rPr>
          <w:rFonts w:hint="eastAsia" w:ascii="Times New Roman" w:hAnsi="Times New Roman"/>
          <w:b/>
          <w:bCs/>
          <w:sz w:val="28"/>
          <w:szCs w:val="28"/>
        </w:rPr>
        <w:t xml:space="preserve">antibacterial </w:t>
      </w:r>
      <w:bookmarkEnd w:id="2"/>
      <w:r>
        <w:rPr>
          <w:rFonts w:hint="eastAsia" w:ascii="Times New Roman" w:hAnsi="Times New Roman"/>
          <w:b/>
          <w:bCs/>
          <w:sz w:val="28"/>
          <w:szCs w:val="28"/>
        </w:rPr>
        <w:t>performance</w:t>
      </w:r>
      <w:bookmarkEnd w:id="0"/>
    </w:p>
    <w:bookmarkEnd w:id="1"/>
    <w:p w14:paraId="2A852425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bookmarkStart w:id="3" w:name="OLE_LINK2"/>
      <w:bookmarkStart w:id="4" w:name="OLE_LINK19"/>
      <w:r>
        <w:rPr>
          <w:rFonts w:hint="eastAsia" w:ascii="Times New Roman" w:hAnsi="Times New Roman"/>
          <w:kern w:val="0"/>
          <w:sz w:val="20"/>
          <w:szCs w:val="20"/>
          <w:lang w:val="en-US" w:eastAsia="zh-CN"/>
        </w:rPr>
        <w:t>Siyuan Zhang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a,#</w:t>
      </w:r>
      <w:r>
        <w:rPr>
          <w:rFonts w:hint="eastAsia" w:ascii="Times New Roman" w:hAnsi="Times New Roman"/>
          <w:kern w:val="0"/>
          <w:sz w:val="20"/>
          <w:szCs w:val="20"/>
          <w:lang w:val="en-US" w:eastAsia="zh-CN"/>
        </w:rPr>
        <w:t xml:space="preserve">, </w:t>
      </w:r>
      <w:r>
        <w:rPr>
          <w:rFonts w:ascii="Times New Roman" w:hAnsi="Times New Roman"/>
          <w:kern w:val="0"/>
          <w:sz w:val="20"/>
          <w:szCs w:val="20"/>
        </w:rPr>
        <w:t>Wenbo Wu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a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,#</w:t>
      </w:r>
      <w:r>
        <w:rPr>
          <w:rFonts w:ascii="Times New Roman" w:hAnsi="Times New Roman"/>
          <w:kern w:val="0"/>
          <w:sz w:val="20"/>
          <w:szCs w:val="20"/>
        </w:rPr>
        <w:t xml:space="preserve">, </w:t>
      </w:r>
      <w:r>
        <w:rPr>
          <w:rFonts w:hint="eastAsia" w:ascii="Times New Roman" w:hAnsi="Times New Roman"/>
          <w:kern w:val="0"/>
          <w:sz w:val="20"/>
          <w:szCs w:val="20"/>
          <w:lang w:val="en-US" w:eastAsia="zh-CN"/>
        </w:rPr>
        <w:t>Ya Li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a</w:t>
      </w:r>
      <w:r>
        <w:rPr>
          <w:rFonts w:hint="eastAsia" w:ascii="Times New Roman" w:hAnsi="Times New Roman"/>
          <w:kern w:val="0"/>
          <w:sz w:val="20"/>
          <w:szCs w:val="20"/>
          <w:lang w:val="en-US" w:eastAsia="zh-CN"/>
        </w:rPr>
        <w:t xml:space="preserve">, </w:t>
      </w:r>
      <w:r>
        <w:rPr>
          <w:rFonts w:ascii="Times New Roman" w:hAnsi="Times New Roman"/>
          <w:kern w:val="0"/>
          <w:sz w:val="20"/>
          <w:szCs w:val="20"/>
        </w:rPr>
        <w:t>Dongxin Wang</w:t>
      </w:r>
      <w:bookmarkStart w:id="5" w:name="OLE_LINK9"/>
      <w:r>
        <w:rPr>
          <w:rFonts w:ascii="Times New Roman" w:hAnsi="Times New Roman"/>
          <w:kern w:val="0"/>
          <w:sz w:val="20"/>
          <w:szCs w:val="20"/>
          <w:vertAlign w:val="superscript"/>
        </w:rPr>
        <w:t>a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,b</w:t>
      </w:r>
      <w:bookmarkEnd w:id="5"/>
      <w:r>
        <w:rPr>
          <w:rFonts w:ascii="Times New Roman" w:hAnsi="Times New Roman"/>
          <w:kern w:val="0"/>
          <w:sz w:val="20"/>
          <w:szCs w:val="20"/>
        </w:rPr>
        <w:t>,</w:t>
      </w:r>
      <w:r>
        <w:rPr>
          <w:rFonts w:hint="eastAsia" w:ascii="Times New Roman" w:hAnsi="Times New Roman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/>
          <w:kern w:val="0"/>
          <w:sz w:val="20"/>
          <w:szCs w:val="20"/>
          <w:lang w:eastAsia="en-US"/>
        </w:rPr>
        <w:t>Xiangjun Li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c</w:t>
      </w:r>
      <w:r>
        <w:rPr>
          <w:rFonts w:ascii="Times New Roman" w:hAnsi="Times New Roman"/>
          <w:kern w:val="0"/>
          <w:sz w:val="20"/>
          <w:szCs w:val="20"/>
        </w:rPr>
        <w:t>, Jisheng Nie</w:t>
      </w:r>
      <w:r>
        <w:rPr>
          <w:rStyle w:val="7"/>
          <w:rFonts w:ascii="Times New Roman" w:hAnsi="Times New Roman"/>
          <w:kern w:val="0"/>
          <w:sz w:val="20"/>
          <w:szCs w:val="20"/>
        </w:rPr>
        <w:t>*</w:t>
      </w:r>
      <w:r>
        <w:rPr>
          <w:rFonts w:ascii="Times New Roman" w:hAnsi="Times New Roman"/>
          <w:kern w:val="0"/>
          <w:sz w:val="20"/>
          <w:szCs w:val="20"/>
          <w:vertAlign w:val="superscript"/>
        </w:rPr>
        <w:t>,a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,b</w:t>
      </w:r>
      <w:r>
        <w:rPr>
          <w:rFonts w:ascii="Times New Roman" w:hAnsi="Times New Roman"/>
          <w:kern w:val="0"/>
          <w:sz w:val="20"/>
          <w:szCs w:val="20"/>
        </w:rPr>
        <w:t xml:space="preserve">, </w:t>
      </w:r>
      <w:bookmarkEnd w:id="3"/>
      <w:r>
        <w:rPr>
          <w:rFonts w:ascii="Times New Roman" w:hAnsi="Times New Roman"/>
          <w:sz w:val="20"/>
          <w:szCs w:val="20"/>
        </w:rPr>
        <w:t>Hong Cui</w:t>
      </w:r>
      <w:r>
        <w:rPr>
          <w:rStyle w:val="7"/>
          <w:rFonts w:ascii="Times New Roman" w:hAnsi="Times New Roman" w:eastAsia="宋体"/>
          <w:kern w:val="0"/>
          <w:sz w:val="20"/>
          <w:szCs w:val="20"/>
        </w:rPr>
        <w:footnoteReference w:id="0" w:customMarkFollows="1"/>
        <w:t>*</w:t>
      </w:r>
      <w:r>
        <w:rPr>
          <w:rFonts w:hint="eastAsia" w:ascii="Times New Roman" w:hAnsi="Times New Roman"/>
          <w:kern w:val="0"/>
          <w:sz w:val="20"/>
          <w:szCs w:val="20"/>
          <w:vertAlign w:val="superscript"/>
          <w:lang w:val="en-US" w:eastAsia="zh-CN"/>
        </w:rPr>
        <w:t>,a,b</w:t>
      </w:r>
      <w:r>
        <w:rPr>
          <w:rFonts w:ascii="Times New Roman" w:hAnsi="Times New Roman"/>
          <w:kern w:val="0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kern w:val="0"/>
          <w:sz w:val="20"/>
          <w:szCs w:val="20"/>
        </w:rPr>
        <w:t xml:space="preserve"> </w:t>
      </w:r>
    </w:p>
    <w:p w14:paraId="36C7A2D8">
      <w:pPr>
        <w:widowControl/>
        <w:spacing w:line="480" w:lineRule="auto"/>
        <w:jc w:val="left"/>
        <w:rPr>
          <w:rFonts w:ascii="Times New Roman" w:hAnsi="Times New Roman"/>
          <w:i/>
          <w:kern w:val="0"/>
          <w:sz w:val="20"/>
          <w:szCs w:val="20"/>
          <w:lang w:eastAsia="en-US"/>
        </w:rPr>
      </w:pPr>
      <w:r>
        <w:rPr>
          <w:rFonts w:ascii="Times New Roman" w:hAnsi="Times New Roman"/>
          <w:kern w:val="0"/>
          <w:sz w:val="20"/>
          <w:szCs w:val="20"/>
          <w:vertAlign w:val="superscript"/>
        </w:rPr>
        <w:t xml:space="preserve">a </w:t>
      </w:r>
      <w:bookmarkStart w:id="6" w:name="OLE_LINK18"/>
      <w:bookmarkStart w:id="7" w:name="OLE_LINK76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School of Public Health</w:t>
      </w:r>
      <w:bookmarkEnd w:id="6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 xml:space="preserve">, Shanxi Medical University, </w:t>
      </w:r>
      <w:bookmarkStart w:id="8" w:name="OLE_LINK16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56</w:t>
      </w:r>
      <w:r>
        <w:rPr>
          <w:rFonts w:hint="eastAsia" w:ascii="Times New Roman" w:hAnsi="Times New Roman"/>
          <w:i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Xinjian South Road,</w:t>
      </w:r>
      <w:bookmarkEnd w:id="8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 xml:space="preserve"> Taiyuan</w:t>
      </w:r>
      <w:r>
        <w:rPr>
          <w:rFonts w:ascii="Times New Roman" w:hAnsi="Times New Roman"/>
          <w:i/>
          <w:kern w:val="0"/>
          <w:sz w:val="20"/>
          <w:szCs w:val="20"/>
        </w:rPr>
        <w:t>,</w:t>
      </w:r>
      <w:r>
        <w:rPr>
          <w:rFonts w:ascii="Times New Roman" w:hAnsi="Times New Roman"/>
          <w:i/>
          <w:kern w:val="0"/>
          <w:sz w:val="20"/>
          <w:szCs w:val="20"/>
          <w:lang w:eastAsia="en-US"/>
        </w:rPr>
        <w:t xml:space="preserve"> </w:t>
      </w:r>
      <w:bookmarkStart w:id="9" w:name="OLE_LINK3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030001</w:t>
      </w:r>
      <w:bookmarkEnd w:id="7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,</w:t>
      </w:r>
      <w:bookmarkEnd w:id="9"/>
      <w:r>
        <w:rPr>
          <w:rFonts w:ascii="Times New Roman" w:hAnsi="Times New Roman"/>
          <w:i/>
          <w:kern w:val="0"/>
          <w:sz w:val="20"/>
          <w:szCs w:val="20"/>
          <w:lang w:eastAsia="en-US"/>
        </w:rPr>
        <w:t xml:space="preserve"> China</w:t>
      </w:r>
    </w:p>
    <w:p w14:paraId="2F214BBD">
      <w:pPr>
        <w:widowControl/>
        <w:spacing w:line="480" w:lineRule="auto"/>
        <w:jc w:val="left"/>
        <w:rPr>
          <w:rFonts w:ascii="Times New Roman" w:hAnsi="Times New Roman"/>
          <w:i/>
          <w:kern w:val="0"/>
          <w:sz w:val="20"/>
          <w:szCs w:val="20"/>
          <w:lang w:eastAsia="en-US"/>
        </w:rPr>
      </w:pPr>
      <w:r>
        <w:rPr>
          <w:rFonts w:hint="eastAsia" w:ascii="Times New Roman" w:hAnsi="Times New Roman"/>
          <w:i/>
          <w:kern w:val="0"/>
          <w:sz w:val="20"/>
          <w:szCs w:val="20"/>
          <w:vertAlign w:val="superscript"/>
          <w:lang w:val="en-US" w:eastAsia="zh-CN"/>
        </w:rPr>
        <w:t>b</w:t>
      </w:r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 xml:space="preserve"> </w:t>
      </w:r>
      <w:bookmarkStart w:id="10" w:name="OLE_LINK4"/>
      <w:bookmarkStart w:id="11" w:name="OLE_LINK54"/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>MOE Key Laboratory of Coal Environmental Pathogenicity and Prevention</w:t>
      </w:r>
      <w:bookmarkEnd w:id="10"/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>,</w:t>
      </w:r>
      <w:r>
        <w:rPr>
          <w:rFonts w:hint="eastAsia" w:ascii="Times New Roman" w:hAnsi="Times New Roman"/>
          <w:i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>Shanxi Medical University</w:t>
      </w:r>
      <w:bookmarkEnd w:id="11"/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56</w:t>
      </w:r>
      <w:r>
        <w:rPr>
          <w:rFonts w:hint="eastAsia" w:ascii="Times New Roman" w:hAnsi="Times New Roman"/>
          <w:i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i/>
          <w:kern w:val="0"/>
          <w:sz w:val="20"/>
          <w:szCs w:val="20"/>
          <w:lang w:eastAsia="en-US"/>
        </w:rPr>
        <w:t xml:space="preserve">Xinjian South Road, </w:t>
      </w:r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>Taiyuan,</w:t>
      </w:r>
      <w:r>
        <w:rPr>
          <w:rFonts w:hint="eastAsia" w:ascii="Times New Roman" w:hAnsi="Times New Roman"/>
          <w:i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/>
          <w:i/>
          <w:kern w:val="0"/>
          <w:sz w:val="20"/>
          <w:szCs w:val="20"/>
          <w:lang w:eastAsia="en-US"/>
        </w:rPr>
        <w:t>030001,</w:t>
      </w:r>
      <w:r>
        <w:rPr>
          <w:rFonts w:hint="eastAsia" w:ascii="Times New Roman" w:hAnsi="Times New Roman"/>
          <w:i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/>
          <w:i/>
          <w:kern w:val="0"/>
          <w:sz w:val="20"/>
          <w:szCs w:val="20"/>
          <w:lang w:eastAsia="en-US"/>
        </w:rPr>
        <w:t>China</w:t>
      </w:r>
    </w:p>
    <w:p w14:paraId="68ACE46B">
      <w:pPr>
        <w:widowControl/>
        <w:spacing w:line="480" w:lineRule="auto"/>
        <w:rPr>
          <w:rFonts w:ascii="Times New Roman" w:hAnsi="Times New Roman"/>
          <w:i/>
          <w:kern w:val="0"/>
          <w:sz w:val="20"/>
          <w:szCs w:val="20"/>
        </w:rPr>
      </w:pPr>
      <w:r>
        <w:rPr>
          <w:rFonts w:hint="eastAsia" w:ascii="Times New Roman" w:hAnsi="Times New Roman"/>
          <w:i/>
          <w:kern w:val="0"/>
          <w:sz w:val="20"/>
          <w:szCs w:val="20"/>
          <w:vertAlign w:val="superscript"/>
          <w:lang w:val="en-US" w:eastAsia="zh-CN"/>
        </w:rPr>
        <w:t>c</w:t>
      </w:r>
      <w:r>
        <w:rPr>
          <w:rFonts w:ascii="Times New Roman" w:hAnsi="Times New Roman"/>
          <w:i/>
          <w:kern w:val="0"/>
          <w:sz w:val="20"/>
          <w:szCs w:val="20"/>
        </w:rPr>
        <w:t xml:space="preserve"> School of Chemical Sciences, University of Chinese Academy of Sciences, </w:t>
      </w:r>
      <w:bookmarkStart w:id="12" w:name="OLE_LINK37"/>
      <w:r>
        <w:rPr>
          <w:rFonts w:ascii="Times New Roman" w:hAnsi="Times New Roman"/>
          <w:i/>
          <w:kern w:val="0"/>
          <w:sz w:val="20"/>
          <w:szCs w:val="20"/>
        </w:rPr>
        <w:t>19A Yuquan Road, Beijing, 100049, China</w:t>
      </w:r>
    </w:p>
    <w:bookmarkEnd w:id="4"/>
    <w:bookmarkEnd w:id="12"/>
    <w:p w14:paraId="463933FB">
      <w:pPr>
        <w:widowControl/>
        <w:spacing w:line="480" w:lineRule="auto"/>
        <w:rPr>
          <w:rFonts w:ascii="Times New Roman" w:hAnsi="Times New Roman"/>
          <w:kern w:val="0"/>
          <w:sz w:val="20"/>
          <w:szCs w:val="20"/>
        </w:rPr>
      </w:pPr>
    </w:p>
    <w:p w14:paraId="046C0456">
      <w:pPr>
        <w:widowControl/>
        <w:spacing w:line="480" w:lineRule="auto"/>
        <w:rPr>
          <w:rFonts w:ascii="Times New Roman" w:hAnsi="Times New Roman"/>
          <w:i/>
          <w:kern w:val="0"/>
          <w:sz w:val="20"/>
          <w:szCs w:val="20"/>
        </w:rPr>
      </w:pPr>
    </w:p>
    <w:p w14:paraId="76726806">
      <w:pPr>
        <w:spacing w:line="480" w:lineRule="auto"/>
        <w:rPr>
          <w:rFonts w:ascii="Times New Roman" w:hAnsi="Times New Roman"/>
          <w:highlight w:val="yellow"/>
        </w:rPr>
      </w:pPr>
    </w:p>
    <w:p w14:paraId="4DC6F6CE">
      <w:pPr>
        <w:spacing w:line="480" w:lineRule="auto"/>
        <w:rPr>
          <w:rFonts w:ascii="Times New Roman" w:hAnsi="Times New Roman"/>
          <w:highlight w:val="yellow"/>
        </w:rPr>
      </w:pPr>
    </w:p>
    <w:p w14:paraId="56BF55FB">
      <w:pPr>
        <w:spacing w:line="480" w:lineRule="auto"/>
        <w:rPr>
          <w:rFonts w:ascii="Times New Roman" w:hAnsi="Times New Roman"/>
          <w:highlight w:val="yellow"/>
        </w:rPr>
      </w:pPr>
    </w:p>
    <w:p w14:paraId="79C00B19">
      <w:pPr>
        <w:spacing w:line="480" w:lineRule="auto"/>
        <w:rPr>
          <w:rFonts w:ascii="Times New Roman" w:hAnsi="Times New Roman"/>
          <w:highlight w:val="yellow"/>
        </w:rPr>
      </w:pPr>
    </w:p>
    <w:p w14:paraId="6482BF2A">
      <w:pPr>
        <w:spacing w:line="480" w:lineRule="auto"/>
        <w:rPr>
          <w:rFonts w:ascii="Times New Roman" w:hAnsi="Times New Roman"/>
          <w:highlight w:val="yellow"/>
        </w:rPr>
      </w:pPr>
    </w:p>
    <w:p w14:paraId="6E0C3B85">
      <w:pPr>
        <w:spacing w:line="480" w:lineRule="auto"/>
        <w:rPr>
          <w:rFonts w:ascii="Times New Roman" w:hAnsi="Times New Roman"/>
          <w:highlight w:val="yellow"/>
        </w:rPr>
      </w:pPr>
    </w:p>
    <w:p w14:paraId="08D263E6">
      <w:pPr>
        <w:widowControl/>
        <w:spacing w:line="480" w:lineRule="auto"/>
        <w:rPr>
          <w:rFonts w:hint="eastAsia" w:ascii="Times New Roman" w:hAnsi="Times New Roman"/>
          <w:b/>
          <w:bCs/>
          <w:sz w:val="20"/>
          <w:szCs w:val="20"/>
          <w:lang w:val="en-US" w:eastAsia="zh-CN"/>
        </w:rPr>
      </w:pPr>
    </w:p>
    <w:p w14:paraId="32BCA6FD">
      <w:pPr>
        <w:widowControl/>
        <w:spacing w:line="480" w:lineRule="auto"/>
        <w:rPr>
          <w:rFonts w:hint="eastAsia" w:ascii="Times New Roman" w:hAnsi="Times New Roman"/>
          <w:b/>
          <w:bCs/>
          <w:sz w:val="20"/>
          <w:szCs w:val="20"/>
          <w:lang w:val="en-US" w:eastAsia="zh-CN"/>
        </w:rPr>
      </w:pPr>
    </w:p>
    <w:p w14:paraId="29E5C3E3">
      <w:pPr>
        <w:rPr>
          <w:rFonts w:hint="default" w:ascii="Palatino Linotype" w:hAnsi="Palatino Linotype" w:cs="Palatino Linotype"/>
          <w:b/>
          <w:bCs/>
          <w:sz w:val="20"/>
          <w:szCs w:val="20"/>
          <w:highlight w:val="none"/>
        </w:rPr>
      </w:pPr>
    </w:p>
    <w:p w14:paraId="1E545A17">
      <w:pPr>
        <w:jc w:val="center"/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</w:pPr>
    </w:p>
    <w:p w14:paraId="297BBB5F">
      <w:pPr>
        <w:jc w:val="center"/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</w:pPr>
    </w:p>
    <w:p w14:paraId="048FCF92">
      <w:pPr>
        <w:jc w:val="center"/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</w:pPr>
    </w:p>
    <w:p w14:paraId="7536C803">
      <w:pPr>
        <w:jc w:val="center"/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</w:pPr>
    </w:p>
    <w:p w14:paraId="39867286">
      <w:pPr>
        <w:jc w:val="center"/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</w:pPr>
    </w:p>
    <w:p w14:paraId="6F1EAFF2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  <w:r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  <w:drawing>
          <wp:inline distT="0" distB="0" distL="114300" distR="114300">
            <wp:extent cx="5269865" cy="4538345"/>
            <wp:effectExtent l="0" t="0" r="3175" b="3175"/>
            <wp:docPr id="13" name="图片 13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.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7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XPS spectrum of 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and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</w:t>
      </w:r>
      <w:r>
        <w:rPr>
          <w:rFonts w:hint="default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+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H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2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O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2</w:t>
      </w:r>
      <w:r>
        <w:rPr>
          <w:rFonts w:hint="default" w:ascii="Times New Roman" w:hAnsi="Times New Roman" w:cs="Times New Roman"/>
          <w:sz w:val="20"/>
          <w:szCs w:val="20"/>
        </w:rPr>
        <w:t>.</w:t>
      </w:r>
    </w:p>
    <w:p w14:paraId="23EAB589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61200831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0754A9AC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116DA2FD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4E6539E6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4615AE6E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323EBEC6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548C5E43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6ED94975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630F6DD7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33B97797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643180BF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1AB20B8A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5E50DB89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0DF33068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4B5E12A2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223C373F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45B78FCC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2B0DB025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36A178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 w:line="480" w:lineRule="auto"/>
        <w:jc w:val="center"/>
        <w:textAlignment w:val="auto"/>
        <w:rPr>
          <w:rFonts w:hint="default" w:ascii="Times New Roman" w:hAnsi="Times New Roman" w:eastAsia="宋体" w:cs="Times New Roman"/>
          <w:sz w:val="20"/>
          <w:szCs w:val="20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sz w:val="20"/>
          <w:szCs w:val="20"/>
          <w:highlight w:val="none"/>
        </w:rPr>
        <w:t xml:space="preserve">Table </w:t>
      </w:r>
      <w:r>
        <w:rPr>
          <w:rFonts w:hint="eastAsia" w:ascii="Times New Roman" w:hAnsi="Times New Roman" w:cs="Times New Roman"/>
          <w:b/>
          <w:sz w:val="20"/>
          <w:szCs w:val="20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sz w:val="20"/>
          <w:szCs w:val="20"/>
          <w:highlight w:val="none"/>
        </w:rPr>
        <w:t>1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The kinetic constants of different MOF-based nanozymes using H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O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as substrate.</w:t>
      </w:r>
    </w:p>
    <w:tbl>
      <w:tblPr>
        <w:tblStyle w:val="4"/>
        <w:tblW w:w="675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1177"/>
        <w:gridCol w:w="1607"/>
        <w:gridCol w:w="2215"/>
      </w:tblGrid>
      <w:tr w14:paraId="1BCD5E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single" w:color="auto" w:sz="12" w:space="0"/>
              <w:bottom w:val="single" w:color="auto" w:sz="12" w:space="0"/>
            </w:tcBorders>
          </w:tcPr>
          <w:p w14:paraId="1C1E15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Catalyst</w:t>
            </w:r>
          </w:p>
        </w:tc>
        <w:tc>
          <w:tcPr>
            <w:tcW w:w="1177" w:type="dxa"/>
            <w:tcBorders>
              <w:top w:val="single" w:color="auto" w:sz="12" w:space="0"/>
              <w:bottom w:val="single" w:color="auto" w:sz="12" w:space="0"/>
            </w:tcBorders>
          </w:tcPr>
          <w:p w14:paraId="4B45E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0"/>
                <w:szCs w:val="20"/>
              </w:rPr>
              <w:t>K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>m</w:t>
            </w:r>
          </w:p>
          <w:p w14:paraId="78D84D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[mM]</w:t>
            </w:r>
          </w:p>
        </w:tc>
        <w:tc>
          <w:tcPr>
            <w:tcW w:w="1607" w:type="dxa"/>
            <w:tcBorders>
              <w:top w:val="single" w:color="auto" w:sz="12" w:space="0"/>
              <w:bottom w:val="single" w:color="auto" w:sz="12" w:space="0"/>
            </w:tcBorders>
          </w:tcPr>
          <w:p w14:paraId="3955B8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0"/>
                <w:szCs w:val="20"/>
              </w:rPr>
              <w:t>V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</w:p>
          <w:p w14:paraId="3A389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[10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-7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M·s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215" w:type="dxa"/>
            <w:tcBorders>
              <w:top w:val="single" w:color="auto" w:sz="12" w:space="0"/>
              <w:bottom w:val="single" w:color="auto" w:sz="12" w:space="0"/>
            </w:tcBorders>
          </w:tcPr>
          <w:p w14:paraId="5DC1D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Ref.</w:t>
            </w:r>
          </w:p>
        </w:tc>
      </w:tr>
      <w:tr w14:paraId="2521E4F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nil"/>
            </w:tcBorders>
            <w:vAlign w:val="center"/>
          </w:tcPr>
          <w:p w14:paraId="4E66DF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bookmarkStart w:id="13" w:name="OLE_LINK12"/>
            <w:r>
              <w:rPr>
                <w:rFonts w:hint="default" w:ascii="Times New Roman" w:hAnsi="Times New Roman" w:cs="Times New Roman"/>
                <w:sz w:val="20"/>
                <w:szCs w:val="20"/>
              </w:rPr>
              <w:t>MOF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(Co/2Fe)</w:t>
            </w:r>
            <w:bookmarkEnd w:id="13"/>
          </w:p>
        </w:tc>
        <w:tc>
          <w:tcPr>
            <w:tcW w:w="1177" w:type="dxa"/>
            <w:tcBorders>
              <w:top w:val="nil"/>
              <w:bottom w:val="nil"/>
            </w:tcBorders>
          </w:tcPr>
          <w:p w14:paraId="2F688D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4.22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27C185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0.491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14:paraId="5C946694">
            <w:pPr>
              <w:keepNext w:val="0"/>
              <w:keepLines w:val="0"/>
              <w:pageBreakBefore w:val="0"/>
              <w:widowControl/>
              <w:tabs>
                <w:tab w:val="left" w:pos="460"/>
                <w:tab w:val="center" w:pos="148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Yang et al., 2017</w:t>
            </w:r>
          </w:p>
        </w:tc>
      </w:tr>
      <w:tr w14:paraId="131C65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nil"/>
            </w:tcBorders>
            <w:vAlign w:val="center"/>
          </w:tcPr>
          <w:p w14:paraId="6B6546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MOF-919 (Fe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Cu)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14:paraId="2EBCE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1.36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143A0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1.462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14:paraId="6731D7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Kulandaivel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 xml:space="preserve"> et al., 2022</w:t>
            </w:r>
          </w:p>
        </w:tc>
      </w:tr>
      <w:tr w14:paraId="61FD11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nil"/>
            </w:tcBorders>
            <w:vAlign w:val="center"/>
          </w:tcPr>
          <w:p w14:paraId="1D93EE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FeMOF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14:paraId="16625E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17A8DD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14:paraId="36EA5F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Xu et al., 2019</w:t>
            </w:r>
          </w:p>
        </w:tc>
      </w:tr>
      <w:tr w14:paraId="432A0C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nil"/>
            </w:tcBorders>
            <w:vAlign w:val="center"/>
          </w:tcPr>
          <w:p w14:paraId="5AA09B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2D Co-MOF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14:paraId="1EE59D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0.24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428559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5.01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14:paraId="7EC473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Wan et al., 2021</w:t>
            </w:r>
          </w:p>
        </w:tc>
      </w:tr>
      <w:tr w14:paraId="2AC826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nil"/>
            </w:tcBorders>
            <w:vAlign w:val="center"/>
          </w:tcPr>
          <w:p w14:paraId="4323E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Fe</w:t>
            </w:r>
            <w:r>
              <w:rPr>
                <w:rFonts w:hint="eastAsia" w:ascii="Times New Roman" w:hAnsi="Times New Roman" w:cs="Times New Roman"/>
                <w:sz w:val="20"/>
                <w:szCs w:val="20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 w:val="20"/>
                <w:szCs w:val="20"/>
                <w:vertAlign w:val="baseline"/>
                <w:lang w:val="en-US" w:eastAsia="zh-CN"/>
              </w:rPr>
              <w:t>Ni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MOF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14:paraId="68326F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0.1128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49866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1.4986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14:paraId="78662A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Mu et al., 2022</w:t>
            </w:r>
          </w:p>
        </w:tc>
      </w:tr>
      <w:tr w14:paraId="280417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nil"/>
            </w:tcBorders>
            <w:vAlign w:val="center"/>
          </w:tcPr>
          <w:p w14:paraId="452C49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MIL-88B-Fe/Zn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14:paraId="49812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4.7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2525C7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0.92</w:t>
            </w:r>
          </w:p>
        </w:tc>
        <w:tc>
          <w:tcPr>
            <w:tcW w:w="2215" w:type="dxa"/>
            <w:tcBorders>
              <w:top w:val="nil"/>
              <w:bottom w:val="nil"/>
            </w:tcBorders>
          </w:tcPr>
          <w:p w14:paraId="605C7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Shi et al., 2023</w:t>
            </w:r>
          </w:p>
        </w:tc>
      </w:tr>
      <w:tr w14:paraId="44D899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59" w:type="dxa"/>
            <w:tcBorders>
              <w:top w:val="nil"/>
              <w:bottom w:val="single" w:color="auto" w:sz="12" w:space="0"/>
            </w:tcBorders>
            <w:vAlign w:val="center"/>
          </w:tcPr>
          <w:p w14:paraId="0F6E64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Fe</w:t>
            </w:r>
            <w:r>
              <w:rPr>
                <w:rFonts w:hint="eastAsia" w:ascii="Times New Roman" w:hAnsi="Times New Roman" w:cs="Times New Roman"/>
                <w:sz w:val="20"/>
                <w:szCs w:val="20"/>
                <w:vertAlign w:val="subscript"/>
                <w:lang w:val="en-US" w:eastAsia="zh-CN"/>
              </w:rPr>
              <w:t>4</w:t>
            </w: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MOF</w:t>
            </w:r>
          </w:p>
        </w:tc>
        <w:tc>
          <w:tcPr>
            <w:tcW w:w="1177" w:type="dxa"/>
            <w:tcBorders>
              <w:top w:val="nil"/>
              <w:bottom w:val="single" w:color="auto" w:sz="12" w:space="0"/>
            </w:tcBorders>
          </w:tcPr>
          <w:p w14:paraId="4A9CA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1.78</w:t>
            </w:r>
          </w:p>
        </w:tc>
        <w:tc>
          <w:tcPr>
            <w:tcW w:w="1607" w:type="dxa"/>
            <w:tcBorders>
              <w:top w:val="nil"/>
              <w:bottom w:val="single" w:color="auto" w:sz="12" w:space="0"/>
            </w:tcBorders>
          </w:tcPr>
          <w:p w14:paraId="16889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1.01</w:t>
            </w:r>
          </w:p>
        </w:tc>
        <w:tc>
          <w:tcPr>
            <w:tcW w:w="2215" w:type="dxa"/>
            <w:tcBorders>
              <w:top w:val="nil"/>
              <w:bottom w:val="single" w:color="auto" w:sz="12" w:space="0"/>
            </w:tcBorders>
          </w:tcPr>
          <w:p w14:paraId="51632E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  <w:lang w:val="en-US" w:eastAsia="zh-CN"/>
              </w:rPr>
              <w:t>This work</w:t>
            </w:r>
          </w:p>
        </w:tc>
      </w:tr>
    </w:tbl>
    <w:p w14:paraId="4DA03199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27AC76F8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604C0E9A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75A869A9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31814966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6E3F69CC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19692BFB">
      <w:pPr>
        <w:jc w:val="center"/>
        <w:rPr>
          <w:rFonts w:hint="eastAsia" w:ascii="Times New Roman" w:hAnsi="Times New Roman"/>
          <w:sz w:val="20"/>
          <w:szCs w:val="20"/>
          <w:highlight w:val="yellow"/>
          <w:vertAlign w:val="baseline"/>
          <w:lang w:val="en-US" w:eastAsia="zh-CN"/>
        </w:rPr>
      </w:pPr>
    </w:p>
    <w:p w14:paraId="24FB545C">
      <w:pPr>
        <w:jc w:val="center"/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</w:pPr>
      <w:r>
        <w:rPr>
          <w:rFonts w:hint="eastAsia" w:ascii="Palatino Linotype" w:hAnsi="Palatino Linotype" w:eastAsia="宋体" w:cs="Palatino Linotype"/>
          <w:b/>
          <w:bCs/>
          <w:sz w:val="20"/>
          <w:szCs w:val="20"/>
          <w:highlight w:val="none"/>
          <w:lang w:eastAsia="zh-CN"/>
        </w:rPr>
        <w:drawing>
          <wp:inline distT="0" distB="0" distL="114300" distR="114300">
            <wp:extent cx="5273675" cy="4239895"/>
            <wp:effectExtent l="0" t="0" r="14605" b="12065"/>
            <wp:docPr id="1" name="图片 1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7F3E">
      <w:pPr>
        <w:jc w:val="center"/>
        <w:rPr>
          <w:rFonts w:hint="eastAsia" w:ascii="Times New Roman" w:hAnsi="Times New Roman" w:eastAsia="宋体" w:cs="Times New Roman"/>
          <w:sz w:val="20"/>
          <w:szCs w:val="20"/>
          <w:highlight w:val="none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</w:t>
      </w:r>
      <w:bookmarkStart w:id="14" w:name="_Hlk150281932"/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S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EM </w:t>
      </w:r>
      <w:r>
        <w:rPr>
          <w:rFonts w:ascii="Times New Roman" w:hAnsi="Times New Roman"/>
          <w:sz w:val="20"/>
          <w:szCs w:val="20"/>
          <w:highlight w:val="none"/>
        </w:rPr>
        <w:t>images of (a) Fe</w:t>
      </w:r>
      <w:r>
        <w:rPr>
          <w:rFonts w:hint="eastAsia" w:ascii="Times New Roman" w:hAnsi="Times New Roman"/>
          <w:sz w:val="20"/>
          <w:szCs w:val="20"/>
          <w:highlight w:val="none"/>
          <w:vertAlign w:val="subscript"/>
          <w:lang w:val="en-US" w:eastAsia="zh-CN"/>
        </w:rPr>
        <w:t>4</w:t>
      </w:r>
      <w:r>
        <w:rPr>
          <w:rFonts w:ascii="Times New Roman" w:hAnsi="Times New Roman"/>
          <w:sz w:val="20"/>
          <w:szCs w:val="20"/>
          <w:highlight w:val="none"/>
        </w:rPr>
        <w:t xml:space="preserve">CoMOF; (b) 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</w:t>
      </w:r>
      <w:r>
        <w:rPr>
          <w:rFonts w:hint="default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+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H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2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O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2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baseline"/>
          <w:lang w:val="en-US" w:eastAsia="zh-CN"/>
        </w:rPr>
        <w:t>.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 (c) 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XRD patterns of 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CoMOF, 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</w:t>
      </w:r>
      <w:r>
        <w:rPr>
          <w:rFonts w:hint="default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+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H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2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O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2</w:t>
      </w:r>
      <w:bookmarkEnd w:id="14"/>
      <w:r>
        <w:rPr>
          <w:rFonts w:hint="default" w:ascii="Times New Roman" w:hAnsi="Times New Roman" w:cs="Times New Roman"/>
          <w:sz w:val="20"/>
          <w:szCs w:val="20"/>
          <w:highlight w:val="none"/>
          <w:vertAlign w:val="baseline"/>
          <w:lang w:val="en-US" w:eastAsia="zh-CN"/>
        </w:rPr>
        <w:t>.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baseline"/>
          <w:lang w:val="en-US" w:eastAsia="zh-CN"/>
        </w:rPr>
        <w:t xml:space="preserve"> 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(d) </w:t>
      </w:r>
      <w:r>
        <w:rPr>
          <w:rFonts w:ascii="Times New Roman" w:hAnsi="Times New Roman"/>
          <w:sz w:val="20"/>
          <w:szCs w:val="20"/>
          <w:highlight w:val="none"/>
        </w:rPr>
        <w:t>FTIR spectra of Fe</w:t>
      </w:r>
      <w:r>
        <w:rPr>
          <w:rFonts w:ascii="Times New Roman" w:hAnsi="Times New Roman"/>
          <w:sz w:val="20"/>
          <w:szCs w:val="20"/>
          <w:highlight w:val="none"/>
          <w:vertAlign w:val="subscript"/>
        </w:rPr>
        <w:t>4</w:t>
      </w:r>
      <w:r>
        <w:rPr>
          <w:rFonts w:ascii="Times New Roman" w:hAnsi="Times New Roman"/>
          <w:sz w:val="20"/>
          <w:szCs w:val="20"/>
          <w:highlight w:val="none"/>
        </w:rPr>
        <w:t>CoMOF, Fe</w:t>
      </w:r>
      <w:r>
        <w:rPr>
          <w:rFonts w:ascii="Times New Roman" w:hAnsi="Times New Roman"/>
          <w:sz w:val="20"/>
          <w:szCs w:val="20"/>
          <w:highlight w:val="none"/>
          <w:vertAlign w:val="subscript"/>
        </w:rPr>
        <w:t>4</w:t>
      </w:r>
      <w:r>
        <w:rPr>
          <w:rFonts w:ascii="Times New Roman" w:hAnsi="Times New Roman"/>
          <w:sz w:val="20"/>
          <w:szCs w:val="20"/>
          <w:highlight w:val="none"/>
        </w:rPr>
        <w:t>CoMOF and H</w:t>
      </w:r>
      <w:r>
        <w:rPr>
          <w:rFonts w:ascii="Times New Roman" w:hAnsi="Times New Roman"/>
          <w:sz w:val="20"/>
          <w:szCs w:val="20"/>
          <w:highlight w:val="none"/>
          <w:vertAlign w:val="subscript"/>
        </w:rPr>
        <w:t>2</w:t>
      </w:r>
      <w:r>
        <w:rPr>
          <w:rFonts w:ascii="Times New Roman" w:hAnsi="Times New Roman"/>
          <w:sz w:val="20"/>
          <w:szCs w:val="20"/>
          <w:highlight w:val="none"/>
        </w:rPr>
        <w:t>O</w:t>
      </w:r>
      <w:r>
        <w:rPr>
          <w:rFonts w:ascii="Times New Roman" w:hAnsi="Times New Roman"/>
          <w:sz w:val="20"/>
          <w:szCs w:val="20"/>
          <w:highlight w:val="none"/>
          <w:vertAlign w:val="subscript"/>
        </w:rPr>
        <w:t>2</w:t>
      </w:r>
      <w:r>
        <w:rPr>
          <w:rFonts w:hint="eastAsia" w:ascii="Times New Roman" w:hAnsi="Times New Roman"/>
          <w:sz w:val="20"/>
          <w:szCs w:val="20"/>
          <w:highlight w:val="none"/>
          <w:vertAlign w:val="baseline"/>
          <w:lang w:val="en-US" w:eastAsia="zh-CN"/>
        </w:rPr>
        <w:t>.</w:t>
      </w:r>
    </w:p>
    <w:p w14:paraId="33BF8283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6418CD10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1C9F0EA7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413FD550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67A6514F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0B414D7A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77B9276B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1DCFC1A1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45237B5B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73100102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3B2C61A1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749CEAC9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59FC43EB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0D6F4286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3D1382C8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308ADFF2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0425ECE2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655CD64F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507C83C9">
      <w:pPr>
        <w:jc w:val="center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</w:p>
    <w:p w14:paraId="6A3A67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8E06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3239770" cy="2448560"/>
            <wp:effectExtent l="0" t="0" r="6350" b="5080"/>
            <wp:docPr id="15" name="图片 15" descr="Fig.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.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AE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  <w:highlight w:val="none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b w:val="0"/>
          <w:bCs/>
          <w:sz w:val="20"/>
          <w:szCs w:val="20"/>
          <w:highlight w:val="none"/>
        </w:rPr>
        <w:t xml:space="preserve">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highlight w:val="none"/>
          <w:lang w:val="en-US" w:eastAsia="zh-CN"/>
        </w:rPr>
        <w:t xml:space="preserve">Stability 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of 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for catalytic H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O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.</w:t>
      </w:r>
    </w:p>
    <w:p w14:paraId="54EBB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  <w:highlight w:val="yellow"/>
        </w:rPr>
      </w:pPr>
    </w:p>
    <w:p w14:paraId="0813A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29C87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B642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7512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0146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387ED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352C7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5273B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6FE83A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D2BB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ACA7F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922B0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2FE20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50E6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350B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8DBD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35A46427">
      <w:pPr>
        <w:jc w:val="center"/>
        <w:rPr>
          <w:rFonts w:hint="eastAsia" w:ascii="Times New Roman" w:hAnsi="Times New Roman" w:eastAsia="宋体" w:cs="Times New Roman"/>
          <w:b/>
          <w:bCs/>
          <w:sz w:val="20"/>
          <w:szCs w:val="20"/>
          <w:highlight w:val="none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highlight w:val="none"/>
          <w:lang w:eastAsia="zh-CN"/>
        </w:rPr>
        <w:drawing>
          <wp:inline distT="0" distB="0" distL="114300" distR="114300">
            <wp:extent cx="3239770" cy="2590165"/>
            <wp:effectExtent l="0" t="0" r="6350" b="635"/>
            <wp:docPr id="11" name="图片 11" descr="G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S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FD3D">
      <w:pPr>
        <w:jc w:val="center"/>
        <w:rPr>
          <w:rFonts w:hint="eastAsia" w:ascii="Times New Roman" w:hAnsi="Times New Roman"/>
          <w:sz w:val="20"/>
          <w:szCs w:val="20"/>
          <w:highlight w:val="none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 xml:space="preserve"> Detection of GSH depletion by 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Fe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Co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MOF represented by the absorbance of TNB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perscript"/>
          <w:lang w:val="en-US" w:eastAsia="zh-CN"/>
        </w:rPr>
        <w:t>-</w:t>
      </w:r>
      <w:r>
        <w:rPr>
          <w:rFonts w:hint="eastAsia" w:ascii="Times New Roman" w:hAnsi="Times New Roman"/>
          <w:sz w:val="20"/>
          <w:szCs w:val="20"/>
          <w:highlight w:val="none"/>
          <w:vertAlign w:val="baseline"/>
          <w:lang w:val="en-US" w:eastAsia="zh-CN"/>
        </w:rPr>
        <w:t>.</w:t>
      </w:r>
    </w:p>
    <w:p w14:paraId="6E275E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9D71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4CA1A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4B4CF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51683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1CD539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384C9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41E12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67B28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028CA5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03EB1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3172A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741FA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624FC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2A601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2F26A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6E93E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1F513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5273675" cy="2235200"/>
            <wp:effectExtent l="0" t="0" r="14605" b="5080"/>
            <wp:docPr id="9" name="图片 9" descr="Fig. S5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 S5'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D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</w:pPr>
      <w:bookmarkStart w:id="15" w:name="OLE_LINK5"/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Fig. S5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(a) Zeta potential of Fe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CoMOF and GOx with different mass ratios. (b) XRD </w:t>
      </w:r>
      <w:r>
        <w:rPr>
          <w:rFonts w:ascii="Times New Roman" w:hAnsi="Times New Roman"/>
          <w:sz w:val="20"/>
          <w:szCs w:val="20"/>
          <w:highlight w:val="none"/>
        </w:rPr>
        <w:t>patterns of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Fe</w:t>
      </w:r>
      <w:r>
        <w:rPr>
          <w:rFonts w:hint="eastAsia" w:ascii="Times New Roman" w:hAnsi="Times New Roman" w:cs="Times New Roman"/>
          <w:sz w:val="20"/>
          <w:szCs w:val="20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>CoMOF and GOx with different mass ratios.</w:t>
      </w:r>
      <w:bookmarkEnd w:id="15"/>
    </w:p>
    <w:p w14:paraId="52265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060DC9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DDE3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05F3E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68CCB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30E53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A632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DFCC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65BC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7C176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F8CA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78666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06B41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70FE7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0C7F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601B6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7C79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3239770" cy="2309495"/>
            <wp:effectExtent l="0" t="0" r="6350" b="6985"/>
            <wp:docPr id="3" name="图片 3" descr="Fig.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 S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F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0"/>
          <w:szCs w:val="2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 xml:space="preserve">Fig. S6 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highlight w:val="none"/>
          <w:lang w:val="en-US" w:eastAsia="zh-CN"/>
        </w:rPr>
        <w:t>Effect of different mass ratios of Fe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highlight w:val="none"/>
          <w:lang w:val="en-US" w:eastAsia="zh-CN"/>
        </w:rPr>
        <w:t>CoMOF and GOx on the catalytic performance of Fe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highlight w:val="none"/>
          <w:vertAlign w:val="subscript"/>
          <w:lang w:val="en-US" w:eastAsia="zh-CN"/>
        </w:rPr>
        <w:t>4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highlight w:val="none"/>
          <w:lang w:val="en-US" w:eastAsia="zh-CN"/>
        </w:rPr>
        <w:t>CoMOF/GOx in the presence of Glu</w:t>
      </w:r>
      <w:r>
        <w:rPr>
          <w:rFonts w:hint="eastAsia" w:ascii="Times New Roman" w:hAnsi="Times New Roman"/>
          <w:b w:val="0"/>
          <w:bCs w:val="0"/>
          <w:highlight w:val="none"/>
          <w:lang w:val="en-US" w:eastAsia="zh-CN"/>
        </w:rPr>
        <w:t>.</w:t>
      </w:r>
    </w:p>
    <w:p w14:paraId="6C857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FF8E4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53A2D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DC45C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67CAC7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3D4D6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5CA37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F875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00B1F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3F1E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79387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B07D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7124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67557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51075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6CB5C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924F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66538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3239770" cy="2684145"/>
            <wp:effectExtent l="0" t="0" r="6350" b="13335"/>
            <wp:docPr id="5" name="图片 5" descr="MOF+GOx稳定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OF+GOx稳定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2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  <w:highlight w:val="none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/>
          <w:b w:val="0"/>
          <w:bCs/>
          <w:sz w:val="20"/>
          <w:szCs w:val="20"/>
          <w:highlight w:val="none"/>
        </w:rPr>
        <w:t xml:space="preserve"> 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highlight w:val="none"/>
          <w:lang w:val="en-US" w:eastAsia="zh-CN"/>
        </w:rPr>
        <w:t xml:space="preserve">Stability 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of Fe</w:t>
      </w:r>
      <w:r>
        <w:rPr>
          <w:rFonts w:hint="default" w:ascii="Times New Roman" w:hAnsi="Times New Roman" w:cs="Times New Roman"/>
          <w:sz w:val="20"/>
          <w:szCs w:val="20"/>
          <w:highlight w:val="none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CoMOF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eastAsia="zh-CN"/>
        </w:rPr>
        <w:t>/GOx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for catalytic Glu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.</w:t>
      </w:r>
    </w:p>
    <w:p w14:paraId="2116C2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745C8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1FD2F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E49E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A29E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7C22D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D8B4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E6EA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00F8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0CC70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0CC3E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32B21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5312C5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478B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4C54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49EDD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</w:p>
    <w:p w14:paraId="292EEA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drawing>
          <wp:inline distT="0" distB="0" distL="114300" distR="114300">
            <wp:extent cx="5273675" cy="2203450"/>
            <wp:effectExtent l="0" t="0" r="14605" b="6350"/>
            <wp:docPr id="10" name="图片 10" descr="Fig.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. S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5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480" w:lineRule="auto"/>
        <w:jc w:val="center"/>
        <w:textAlignment w:val="auto"/>
        <w:rPr>
          <w:rFonts w:ascii="Times New Roman" w:hAnsi="Times New Roman"/>
          <w:sz w:val="20"/>
          <w:szCs w:val="20"/>
          <w:highlight w:val="none"/>
        </w:rPr>
      </w:pP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Fig. S8</w:t>
      </w:r>
      <w:r>
        <w:rPr>
          <w:rFonts w:hint="eastAsia" w:ascii="Times New Roman" w:hAnsi="Times New Roman" w:cs="Times New Roman"/>
          <w:sz w:val="20"/>
          <w:szCs w:val="20"/>
          <w:highlight w:val="none"/>
          <w:lang w:val="en-US" w:eastAsia="zh-CN"/>
        </w:rPr>
        <w:t xml:space="preserve"> S</w:t>
      </w:r>
      <w:r>
        <w:rPr>
          <w:rFonts w:ascii="Times New Roman" w:hAnsi="Times New Roman"/>
          <w:sz w:val="20"/>
          <w:szCs w:val="20"/>
          <w:highlight w:val="none"/>
        </w:rPr>
        <w:t xml:space="preserve">olid agar plate photographs 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(a) and photographs (b) of </w:t>
      </w:r>
      <w:r>
        <w:rPr>
          <w:rFonts w:ascii="Times New Roman" w:hAnsi="Times New Roman"/>
          <w:sz w:val="20"/>
          <w:szCs w:val="20"/>
          <w:highlight w:val="none"/>
        </w:rPr>
        <w:t>Fe</w:t>
      </w:r>
      <w:r>
        <w:rPr>
          <w:rFonts w:ascii="Times New Roman" w:hAnsi="Times New Roman"/>
          <w:sz w:val="20"/>
          <w:szCs w:val="20"/>
          <w:highlight w:val="none"/>
          <w:vertAlign w:val="subscript"/>
        </w:rPr>
        <w:t>4</w:t>
      </w:r>
      <w:r>
        <w:rPr>
          <w:rFonts w:ascii="Times New Roman" w:hAnsi="Times New Roman"/>
          <w:sz w:val="20"/>
          <w:szCs w:val="20"/>
          <w:highlight w:val="none"/>
        </w:rPr>
        <w:t>CoMOF/GOx + Glu system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 after different incubation time in the presence of methyl red: (1) Control; (2) 1 h; (3) 2 h; (4) 3 h; (5) 4 h; (6) 5 h. (c) </w:t>
      </w:r>
      <w:r>
        <w:rPr>
          <w:rFonts w:hint="eastAsia" w:ascii="Times New Roman" w:hAnsi="Times New Roman"/>
          <w:sz w:val="20"/>
          <w:szCs w:val="20"/>
          <w:highlight w:val="none"/>
        </w:rPr>
        <w:t>T</w:t>
      </w:r>
      <w:r>
        <w:rPr>
          <w:rFonts w:ascii="Times New Roman" w:hAnsi="Times New Roman"/>
          <w:sz w:val="20"/>
          <w:szCs w:val="20"/>
          <w:highlight w:val="none"/>
        </w:rPr>
        <w:t xml:space="preserve">he survival rate of </w:t>
      </w:r>
      <w:r>
        <w:rPr>
          <w:rFonts w:ascii="Times New Roman" w:hAnsi="Times New Roman"/>
          <w:i/>
          <w:iCs/>
          <w:sz w:val="20"/>
          <w:szCs w:val="20"/>
          <w:highlight w:val="none"/>
        </w:rPr>
        <w:t>E. coli</w:t>
      </w:r>
      <w:r>
        <w:rPr>
          <w:rFonts w:hint="eastAsia" w:ascii="Times New Roman" w:hAnsi="Times New Roman"/>
          <w:i w:val="0"/>
          <w:iCs w:val="0"/>
          <w:sz w:val="20"/>
          <w:szCs w:val="20"/>
          <w:highlight w:val="none"/>
          <w:lang w:val="en-US" w:eastAsia="zh-CN"/>
        </w:rPr>
        <w:t xml:space="preserve"> treated with c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ontrol group and </w:t>
      </w:r>
      <w:r>
        <w:rPr>
          <w:rFonts w:ascii="Times New Roman" w:hAnsi="Times New Roman"/>
          <w:sz w:val="20"/>
          <w:szCs w:val="20"/>
          <w:highlight w:val="none"/>
        </w:rPr>
        <w:t>Fe</w:t>
      </w:r>
      <w:r>
        <w:rPr>
          <w:rFonts w:ascii="Times New Roman" w:hAnsi="Times New Roman"/>
          <w:sz w:val="20"/>
          <w:szCs w:val="20"/>
          <w:highlight w:val="none"/>
          <w:vertAlign w:val="subscript"/>
        </w:rPr>
        <w:t>4</w:t>
      </w:r>
      <w:r>
        <w:rPr>
          <w:rFonts w:ascii="Times New Roman" w:hAnsi="Times New Roman"/>
          <w:sz w:val="20"/>
          <w:szCs w:val="20"/>
          <w:highlight w:val="none"/>
        </w:rPr>
        <w:t>CoMOF/GOx + Glu system</w:t>
      </w:r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 after different incubation time.</w:t>
      </w:r>
    </w:p>
    <w:p w14:paraId="4FE65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0CCC2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1A1C6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4B2BF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3141C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2F08C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12A21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240C9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1C05A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ascii="Times New Roman" w:hAnsi="Times New Roman"/>
          <w:sz w:val="20"/>
          <w:szCs w:val="20"/>
        </w:rPr>
      </w:pPr>
    </w:p>
    <w:p w14:paraId="3830F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/>
          <w:sz w:val="20"/>
          <w:szCs w:val="20"/>
          <w:lang w:val="en-US" w:eastAsia="zh-CN"/>
        </w:rPr>
      </w:pPr>
    </w:p>
    <w:p w14:paraId="5D0EB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53889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4DD81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</w:p>
    <w:p w14:paraId="19B95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3239135" cy="2649220"/>
            <wp:effectExtent l="0" t="0" r="6985" b="2540"/>
            <wp:docPr id="6" name="图片 6" descr="Fig.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S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90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  <w:bookmarkStart w:id="16" w:name="OLE_LINK6"/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Cell viability of </w:t>
      </w:r>
      <w:r>
        <w:rPr>
          <w:rFonts w:hint="default" w:ascii="Times New Roman" w:hAnsi="Times New Roman" w:cs="Times New Roman"/>
          <w:sz w:val="20"/>
          <w:szCs w:val="20"/>
          <w:highlight w:val="none"/>
        </w:rPr>
        <w:t>L929 cells</w:t>
      </w:r>
      <w:r>
        <w:rPr>
          <w:rFonts w:hint="default" w:ascii="Times New Roman" w:hAnsi="Times New Roman" w:cs="Times New Roman"/>
          <w:sz w:val="20"/>
          <w:szCs w:val="20"/>
        </w:rPr>
        <w:t xml:space="preserve"> treated with different concentrations of Fe</w:t>
      </w:r>
      <w:r>
        <w:rPr>
          <w:rFonts w:hint="default"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hint="default" w:ascii="Times New Roman" w:hAnsi="Times New Roman" w:cs="Times New Roman"/>
          <w:sz w:val="20"/>
          <w:szCs w:val="20"/>
        </w:rPr>
        <w:t>CoMOF.</w:t>
      </w:r>
    </w:p>
    <w:p w14:paraId="10602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013E5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6C363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2768D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67BD4C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7EE4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3F94C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EE2FE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614D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9A1E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E4E2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794D3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738F2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46CB1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546C2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55221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3BC0B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eastAsia="zh-CN"/>
        </w:rPr>
        <w:drawing>
          <wp:inline distT="0" distB="0" distL="114300" distR="114300">
            <wp:extent cx="5273675" cy="1997710"/>
            <wp:effectExtent l="0" t="0" r="14605" b="13970"/>
            <wp:docPr id="2" name="图片 2" descr="Fig. 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56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eastAsia="宋体" w:cs="Times New Roman"/>
          <w:sz w:val="20"/>
          <w:szCs w:val="20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>Fig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0"/>
          <w:szCs w:val="20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sz w:val="20"/>
          <w:szCs w:val="20"/>
          <w:highlight w:val="none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0"/>
          <w:szCs w:val="20"/>
          <w:highlight w:val="none"/>
        </w:rPr>
        <w:t>Quantitative analysis of the expression levels of IL-6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highlight w:val="none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 w:val="0"/>
          <w:bCs/>
          <w:sz w:val="20"/>
          <w:szCs w:val="20"/>
          <w:highlight w:val="none"/>
        </w:rPr>
        <w:t>TNF-α</w:t>
      </w:r>
      <w:r>
        <w:rPr>
          <w:rFonts w:hint="eastAsia" w:ascii="Times New Roman" w:hAnsi="Times New Roman" w:cs="Times New Roman"/>
          <w:b w:val="0"/>
          <w:bCs/>
          <w:sz w:val="20"/>
          <w:szCs w:val="20"/>
          <w:highlight w:val="none"/>
          <w:lang w:val="en-US" w:eastAsia="zh-CN"/>
        </w:rPr>
        <w:t>.</w:t>
      </w:r>
    </w:p>
    <w:p w14:paraId="1F6D3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bookmarkEnd w:id="16"/>
    <w:p w14:paraId="11D48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6F68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59C72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EA927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795F0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2065F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725CA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1B08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37FE65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656D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C833B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18988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7C6DEE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81E2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06871F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75D6A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4A37D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240" w:line="228" w:lineRule="auto"/>
        <w:jc w:val="center"/>
        <w:textAlignment w:val="auto"/>
        <w:rPr>
          <w:rFonts w:hint="default" w:ascii="Times New Roman" w:hAnsi="Times New Roman" w:cs="Times New Roman"/>
          <w:sz w:val="20"/>
          <w:szCs w:val="20"/>
        </w:rPr>
      </w:pPr>
    </w:p>
    <w:p w14:paraId="6AF4C0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480" w:lineRule="auto"/>
        <w:textAlignment w:val="auto"/>
        <w:rPr>
          <w:rFonts w:hint="eastAsia" w:ascii="Times New Roman" w:hAnsi="Times New Roman"/>
          <w:b/>
          <w:bCs/>
          <w:sz w:val="20"/>
          <w:szCs w:val="20"/>
          <w:lang w:val="en-US" w:eastAsia="zh-CN"/>
        </w:rPr>
      </w:pPr>
      <w:r>
        <w:rPr>
          <w:rFonts w:hint="eastAsia" w:ascii="Times New Roman" w:hAnsi="Times New Roman"/>
          <w:b/>
          <w:bCs/>
          <w:sz w:val="20"/>
          <w:szCs w:val="20"/>
          <w:lang w:val="en-US" w:eastAsia="zh-CN"/>
        </w:rPr>
        <w:t>References</w:t>
      </w:r>
    </w:p>
    <w:p w14:paraId="3470FC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hanging="400" w:hangingChars="200"/>
        <w:jc w:val="both"/>
        <w:textAlignment w:val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Kulandaivel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S.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, Lin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C.H.,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Yeh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Y.C.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2022.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The bi-metallic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MOF-919 (Fe-Cu) nanozyme capable of bifunctional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enzyme-mimicking catalytic activity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Chem. Commun.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58, 569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572.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instrText xml:space="preserve"> HYPERLINK "https://doi.org/10.1039/D1CC05908D." </w:instrTex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fldChar w:fldCharType="separate"/>
      </w:r>
      <w:r>
        <w:rPr>
          <w:rStyle w:val="6"/>
          <w:rFonts w:hint="eastAsia" w:ascii="Times New Roman" w:hAnsi="Times New Roman" w:cs="Times New Roman"/>
          <w:sz w:val="20"/>
          <w:szCs w:val="20"/>
          <w:lang w:val="en-US" w:eastAsia="zh-CN"/>
        </w:rPr>
        <w:t>https://doi.org/10.1039/D1CC05908D.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fldChar w:fldCharType="end"/>
      </w:r>
    </w:p>
    <w:p w14:paraId="5E183E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hanging="400" w:hangingChars="200"/>
        <w:jc w:val="both"/>
        <w:textAlignment w:val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bookmarkStart w:id="17" w:name="_Hlk130196571"/>
      <w:bookmarkStart w:id="18" w:name="_Ref129618188"/>
      <w:r>
        <w:rPr>
          <w:rFonts w:ascii="Times New Roman" w:hAnsi="Times New Roman"/>
          <w:sz w:val="20"/>
          <w:szCs w:val="20"/>
        </w:rPr>
        <w:t>Mu, Z.</w:t>
      </w:r>
      <w:r>
        <w:rPr>
          <w:rFonts w:hint="eastAsia" w:ascii="Times New Roman" w:hAnsi="Times New Roman"/>
          <w:sz w:val="20"/>
          <w:szCs w:val="20"/>
          <w:lang w:val="en-US" w:eastAsia="zh-CN"/>
        </w:rPr>
        <w:t>,</w:t>
      </w:r>
      <w:r>
        <w:rPr>
          <w:rFonts w:ascii="Times New Roman" w:hAnsi="Times New Roman"/>
          <w:sz w:val="20"/>
          <w:szCs w:val="20"/>
        </w:rPr>
        <w:t xml:space="preserve"> Wu, S.</w:t>
      </w:r>
      <w:r>
        <w:rPr>
          <w:rFonts w:hint="eastAsia" w:ascii="Times New Roman" w:hAnsi="Times New Roman"/>
          <w:sz w:val="20"/>
          <w:szCs w:val="20"/>
          <w:lang w:val="en-US" w:eastAsia="zh-CN"/>
        </w:rPr>
        <w:t>,</w:t>
      </w:r>
      <w:r>
        <w:rPr>
          <w:rFonts w:ascii="Times New Roman" w:hAnsi="Times New Roman"/>
          <w:sz w:val="20"/>
          <w:szCs w:val="20"/>
        </w:rPr>
        <w:t xml:space="preserve"> Guo, </w:t>
      </w:r>
      <w:r>
        <w:rPr>
          <w:rFonts w:ascii="Times New Roman" w:hAnsi="Times New Roman"/>
          <w:sz w:val="20"/>
          <w:szCs w:val="20"/>
          <w:highlight w:val="none"/>
        </w:rPr>
        <w:t>J.J.</w:t>
      </w:r>
      <w:bookmarkEnd w:id="17"/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>, et</w:t>
      </w:r>
      <w:r>
        <w:rPr>
          <w:rFonts w:hint="eastAsia" w:ascii="Times New Roman" w:hAnsi="Times New Roman"/>
          <w:sz w:val="20"/>
          <w:szCs w:val="20"/>
          <w:lang w:val="en-US" w:eastAsia="zh-CN"/>
        </w:rPr>
        <w:t xml:space="preserve"> al., 2022.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hint="eastAsia" w:ascii="Times New Roman" w:hAnsi="Times New Roman"/>
          <w:sz w:val="20"/>
          <w:szCs w:val="20"/>
        </w:rPr>
        <w:t>Dual mechanism enhanced peroxidase-like activity of Iron-nickel bimetal-organic framework nanozyme and its application for biosensing. ACS Sustainable Chem. Eng.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i w:val="0"/>
          <w:iCs w:val="0"/>
          <w:sz w:val="20"/>
          <w:szCs w:val="20"/>
        </w:rPr>
        <w:t>10, 2984</w:t>
      </w:r>
      <w:r>
        <w:rPr>
          <w:rFonts w:hint="eastAsia" w:ascii="Times New Roman" w:hAnsi="Times New Roman"/>
          <w:i w:val="0"/>
          <w:iCs w:val="0"/>
          <w:sz w:val="20"/>
          <w:szCs w:val="20"/>
        </w:rPr>
        <w:t>-2993</w:t>
      </w:r>
      <w:r>
        <w:rPr>
          <w:rFonts w:ascii="Times New Roman" w:hAnsi="Times New Roman"/>
          <w:i w:val="0"/>
          <w:iCs w:val="0"/>
          <w:sz w:val="20"/>
          <w:szCs w:val="20"/>
        </w:rPr>
        <w:t>.</w:t>
      </w:r>
      <w:bookmarkEnd w:id="18"/>
      <w:r>
        <w:rPr>
          <w:rFonts w:hint="eastAsia" w:ascii="Times New Roman" w:hAnsi="Times New Roman"/>
          <w:i w:val="0"/>
          <w:iCs w:val="0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/>
          <w:i w:val="0"/>
          <w:iCs w:val="0"/>
          <w:sz w:val="20"/>
          <w:szCs w:val="20"/>
          <w:lang w:val="en-US" w:eastAsia="zh-CN"/>
        </w:rPr>
        <w:fldChar w:fldCharType="begin"/>
      </w:r>
      <w:r>
        <w:rPr>
          <w:rFonts w:hint="eastAsia" w:ascii="Times New Roman" w:hAnsi="Times New Roman"/>
          <w:i w:val="0"/>
          <w:iCs w:val="0"/>
          <w:sz w:val="20"/>
          <w:szCs w:val="20"/>
          <w:lang w:val="en-US" w:eastAsia="zh-CN"/>
        </w:rPr>
        <w:instrText xml:space="preserve"> HYPERLINK "https://doi.org/10.1021/acssuschemeng.1c07975." </w:instrText>
      </w:r>
      <w:r>
        <w:rPr>
          <w:rFonts w:hint="eastAsia" w:ascii="Times New Roman" w:hAnsi="Times New Roman"/>
          <w:i w:val="0"/>
          <w:iCs w:val="0"/>
          <w:sz w:val="20"/>
          <w:szCs w:val="20"/>
          <w:lang w:val="en-US" w:eastAsia="zh-CN"/>
        </w:rPr>
        <w:fldChar w:fldCharType="separate"/>
      </w:r>
      <w:r>
        <w:rPr>
          <w:rStyle w:val="6"/>
          <w:rFonts w:hint="eastAsia" w:ascii="Times New Roman" w:hAnsi="Times New Roman"/>
          <w:i w:val="0"/>
          <w:iCs w:val="0"/>
          <w:sz w:val="20"/>
          <w:szCs w:val="20"/>
          <w:lang w:val="en-US" w:eastAsia="zh-CN"/>
        </w:rPr>
        <w:t>https://doi.org/10.1021/acssuschemeng.1c07975.</w:t>
      </w:r>
      <w:r>
        <w:rPr>
          <w:rFonts w:hint="eastAsia" w:ascii="Times New Roman" w:hAnsi="Times New Roman"/>
          <w:i w:val="0"/>
          <w:iCs w:val="0"/>
          <w:sz w:val="20"/>
          <w:szCs w:val="20"/>
          <w:lang w:val="en-US" w:eastAsia="zh-CN"/>
        </w:rPr>
        <w:fldChar w:fldCharType="end"/>
      </w:r>
    </w:p>
    <w:p w14:paraId="6E8388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hanging="400" w:hangingChars="200"/>
        <w:jc w:val="both"/>
        <w:textAlignment w:val="auto"/>
        <w:rPr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</w:pPr>
      <w:bookmarkStart w:id="19" w:name="OLE_LINK40"/>
      <w:bookmarkStart w:id="20" w:name="OLE_LINK52"/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>Shi</w:t>
      </w:r>
      <w:bookmarkEnd w:id="19"/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>, Q.Y., Zhao,Y., Liu, M.H.</w:t>
      </w:r>
      <w:bookmarkEnd w:id="20"/>
      <w:r>
        <w:rPr>
          <w:rFonts w:hint="eastAsia" w:ascii="Times New Roman" w:hAnsi="Times New Roman"/>
          <w:sz w:val="20"/>
          <w:szCs w:val="20"/>
          <w:highlight w:val="none"/>
          <w:lang w:val="en-US" w:eastAsia="zh-CN"/>
        </w:rPr>
        <w:t xml:space="preserve">, et al., 2023. Engineering platelet membrane-coated bimetallic MOFs as biodegradable nanozymes for efficient antibacterial therapy. </w:t>
      </w:r>
      <w:r>
        <w:rPr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  <w:t xml:space="preserve">Small, 2309366.  </w:t>
      </w:r>
      <w:r>
        <w:rPr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  <w:fldChar w:fldCharType="begin"/>
      </w:r>
      <w:r>
        <w:rPr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  <w:instrText xml:space="preserve"> HYPERLINK "https://doi.org/10.1002/smll.202309366." </w:instrText>
      </w:r>
      <w:r>
        <w:rPr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  <w:fldChar w:fldCharType="separate"/>
      </w:r>
      <w:r>
        <w:rPr>
          <w:rStyle w:val="6"/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  <w:t>https://doi.org/10.1002/smll.202309366.</w:t>
      </w:r>
      <w:r>
        <w:rPr>
          <w:rFonts w:hint="eastAsia" w:ascii="Times New Roman" w:hAnsi="Times New Roman"/>
          <w:b w:val="0"/>
          <w:bCs w:val="0"/>
          <w:i w:val="0"/>
          <w:iCs w:val="0"/>
          <w:sz w:val="20"/>
          <w:szCs w:val="20"/>
          <w:highlight w:val="none"/>
          <w:lang w:val="en-US" w:eastAsia="zh-CN"/>
        </w:rPr>
        <w:fldChar w:fldCharType="end"/>
      </w:r>
    </w:p>
    <w:p w14:paraId="1E0921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hanging="400" w:hangingChars="200"/>
        <w:jc w:val="both"/>
        <w:textAlignment w:val="auto"/>
        <w:rPr>
          <w:rFonts w:hint="eastAsia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Wan,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H.M.,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Wang,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Y.F.,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Chen,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J.,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et al., 2021.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2D CoMOF nanosheet-based nanozyme with ultrahigh peroxidase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catalytic activity for detection of biomolecules in human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serum samples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Microchim. Acta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188, 130.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instrText xml:space="preserve"> HYPERLINK "https://doi.org/10.1007/s00604-021-04785-2." </w:instrTex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fldChar w:fldCharType="separate"/>
      </w:r>
      <w:r>
        <w:rPr>
          <w:rStyle w:val="6"/>
          <w:rFonts w:hint="eastAsia" w:ascii="Times New Roman" w:hAnsi="Times New Roman" w:cs="Times New Roman"/>
          <w:sz w:val="20"/>
          <w:szCs w:val="20"/>
          <w:lang w:val="en-US" w:eastAsia="zh-CN"/>
        </w:rPr>
        <w:t>https://doi.org/10.1007/s00604-021-04785-2.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fldChar w:fldCharType="end"/>
      </w:r>
    </w:p>
    <w:p w14:paraId="23A374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hanging="400" w:hangingChars="200"/>
        <w:jc w:val="both"/>
        <w:textAlignment w:val="auto"/>
        <w:rPr>
          <w:rFonts w:hint="default" w:ascii="Times New Roman" w:hAnsi="Times New Roman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Xu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W.Q.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, Jiao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L.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, Yan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H.Y.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et al., 2019.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Glucose oxidase-integrated metal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organic framework hybrids as biomimetic cascade nanozymes for ultrasensitive glucose biosensing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ACS Appl. Mater. Inter. 11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22096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22101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instrText xml:space="preserve"> HYPERLINK "https://doi.org/10.1021/acsami.9b0300410.1021/acsami.9b03004.s001." </w:instrTex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fldChar w:fldCharType="separate"/>
      </w:r>
      <w:bookmarkStart w:id="21" w:name="OLE_LINK1"/>
      <w:r>
        <w:rPr>
          <w:rStyle w:val="6"/>
          <w:rFonts w:hint="default" w:ascii="Times New Roman" w:hAnsi="Times New Roman" w:cs="Times New Roman"/>
          <w:sz w:val="20"/>
          <w:szCs w:val="20"/>
          <w:lang w:val="en-US" w:eastAsia="zh-CN"/>
        </w:rPr>
        <w:t>https://doi.org/10.1021/acsami.9b03004</w:t>
      </w:r>
      <w:bookmarkEnd w:id="21"/>
      <w:r>
        <w:rPr>
          <w:rStyle w:val="6"/>
          <w:rFonts w:hint="default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fldChar w:fldCharType="end"/>
      </w:r>
    </w:p>
    <w:p w14:paraId="70383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hanging="400" w:hangingChars="200"/>
        <w:jc w:val="both"/>
        <w:textAlignment w:val="auto"/>
        <w:rPr>
          <w:rFonts w:hint="default" w:ascii="Palatino Linotype" w:hAnsi="Palatino Linotype" w:cs="Palatino Linotype"/>
          <w:sz w:val="20"/>
          <w:szCs w:val="20"/>
          <w:highlight w:val="none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Yang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H.G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, Yang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R.T.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, Zhang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 P.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et al.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2017.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A bimetallic (Co/2Fe) metalorganic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framework with oxidase and peroxidase mimicking activity for colorimetric detection of hydrogen peroxide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Microchim. Acta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184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,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4629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4635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instrText xml:space="preserve"> HYPERLINK "https://doi.org/10.1007/s00604-017-2509-4." </w:instrTex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cs="Times New Roman"/>
          <w:sz w:val="20"/>
          <w:szCs w:val="20"/>
          <w:lang w:val="en-US" w:eastAsia="zh-CN"/>
        </w:rPr>
        <w:t>https://doi.org/10.1007/s00604-017-2509-4.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fldChar w:fldCharType="end"/>
      </w:r>
      <w:bookmarkStart w:id="22" w:name="_GoBack"/>
      <w:bookmarkEnd w:id="22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558532B0">
      <w:pPr>
        <w:pStyle w:val="3"/>
        <w:rPr>
          <w:rFonts w:ascii="Times" w:hAnsi="Times" w:eastAsia="宋体"/>
          <w:kern w:val="0"/>
          <w:sz w:val="14"/>
          <w:szCs w:val="14"/>
        </w:rPr>
      </w:pPr>
      <w:r>
        <w:rPr>
          <w:rStyle w:val="7"/>
        </w:rPr>
        <w:t>*</w:t>
      </w:r>
      <w:r>
        <w:rPr>
          <w:sz w:val="14"/>
          <w:szCs w:val="14"/>
        </w:rPr>
        <w:t xml:space="preserve"> </w:t>
      </w:r>
      <w:r>
        <w:rPr>
          <w:rFonts w:ascii="Times" w:hAnsi="Times" w:eastAsia="宋体"/>
          <w:kern w:val="0"/>
          <w:sz w:val="14"/>
          <w:szCs w:val="14"/>
          <w:lang w:eastAsia="en-US"/>
        </w:rPr>
        <w:t xml:space="preserve">Corresponding authors. </w:t>
      </w:r>
      <w:r>
        <w:rPr>
          <w:rFonts w:ascii="Times" w:hAnsi="Times" w:eastAsia="宋体"/>
          <w:i/>
          <w:kern w:val="0"/>
          <w:sz w:val="14"/>
          <w:szCs w:val="14"/>
          <w:lang w:eastAsia="en-US"/>
        </w:rPr>
        <w:t>E-mail addresses</w:t>
      </w:r>
      <w:r>
        <w:rPr>
          <w:rFonts w:ascii="Times" w:hAnsi="Times" w:eastAsia="宋体"/>
          <w:kern w:val="0"/>
          <w:sz w:val="14"/>
          <w:szCs w:val="14"/>
          <w:lang w:eastAsia="en-US"/>
        </w:rPr>
        <w:t xml:space="preserve">: </w:t>
      </w:r>
      <w:r>
        <w:fldChar w:fldCharType="begin"/>
      </w:r>
      <w:r>
        <w:instrText xml:space="preserve"> HYPERLINK "mailto:niejisheng@sxmu.edu.cn" </w:instrText>
      </w:r>
      <w:r>
        <w:fldChar w:fldCharType="separate"/>
      </w:r>
      <w:r>
        <w:rPr>
          <w:rStyle w:val="6"/>
          <w:rFonts w:hint="eastAsia" w:ascii="Times" w:hAnsi="Times" w:eastAsia="宋体"/>
          <w:kern w:val="0"/>
          <w:sz w:val="14"/>
          <w:szCs w:val="14"/>
          <w:lang w:eastAsia="en-US"/>
        </w:rPr>
        <w:t>niejisheng@sxmu.edu.cn</w:t>
      </w:r>
      <w:r>
        <w:rPr>
          <w:rStyle w:val="6"/>
          <w:rFonts w:hint="eastAsia" w:ascii="Times" w:hAnsi="Times" w:eastAsia="宋体"/>
          <w:kern w:val="0"/>
          <w:sz w:val="14"/>
          <w:szCs w:val="14"/>
          <w:lang w:eastAsia="en-US"/>
        </w:rPr>
        <w:fldChar w:fldCharType="end"/>
      </w:r>
      <w:r>
        <w:rPr>
          <w:rFonts w:hint="eastAsia" w:ascii="Times" w:hAnsi="Times" w:eastAsia="宋体"/>
          <w:kern w:val="0"/>
          <w:sz w:val="14"/>
          <w:szCs w:val="14"/>
        </w:rPr>
        <w:t xml:space="preserve"> (J</w:t>
      </w:r>
      <w:r>
        <w:rPr>
          <w:rFonts w:ascii="Times" w:hAnsi="Times" w:eastAsia="宋体"/>
          <w:kern w:val="0"/>
          <w:sz w:val="14"/>
          <w:szCs w:val="14"/>
          <w:lang w:eastAsia="en-US"/>
        </w:rPr>
        <w:t>.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t>S.</w:t>
      </w:r>
      <w:r>
        <w:rPr>
          <w:rFonts w:hint="eastAsia" w:ascii="Times" w:hAnsi="Times" w:eastAsia="宋体"/>
          <w:kern w:val="0"/>
          <w:sz w:val="14"/>
          <w:szCs w:val="14"/>
        </w:rPr>
        <w:t>N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t>.</w:t>
      </w:r>
      <w:r>
        <w:rPr>
          <w:rFonts w:hint="eastAsia" w:ascii="Times" w:hAnsi="Times" w:eastAsia="宋体"/>
          <w:kern w:val="0"/>
          <w:sz w:val="14"/>
          <w:szCs w:val="14"/>
        </w:rPr>
        <w:t>)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t xml:space="preserve">, 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fldChar w:fldCharType="begin"/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instrText xml:space="preserve"> HYPERLINK "mailto:cuihong19872007@126.com" </w:instrTex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fldChar w:fldCharType="separate"/>
      </w:r>
      <w:r>
        <w:rPr>
          <w:rStyle w:val="6"/>
          <w:rFonts w:hint="eastAsia" w:ascii="Times" w:hAnsi="Times"/>
          <w:kern w:val="0"/>
          <w:sz w:val="14"/>
          <w:szCs w:val="14"/>
          <w:lang w:val="en-US" w:eastAsia="zh-CN"/>
        </w:rPr>
        <w:t>cuihong19872007@126.com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fldChar w:fldCharType="end"/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t xml:space="preserve"> </w:t>
      </w:r>
      <w:r>
        <w:rPr>
          <w:rFonts w:hint="eastAsia" w:ascii="Times" w:hAnsi="Times" w:eastAsia="宋体"/>
          <w:kern w:val="0"/>
          <w:sz w:val="14"/>
          <w:szCs w:val="14"/>
          <w:lang w:val="en-US" w:eastAsia="zh-CN"/>
        </w:rPr>
        <w:t>(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t>H</w:t>
      </w:r>
      <w:r>
        <w:rPr>
          <w:rFonts w:hint="eastAsia" w:ascii="Times" w:hAnsi="Times" w:eastAsia="宋体"/>
          <w:kern w:val="0"/>
          <w:sz w:val="14"/>
          <w:szCs w:val="14"/>
          <w:lang w:val="en-US" w:eastAsia="zh-CN"/>
        </w:rPr>
        <w:t>.</w:t>
      </w:r>
      <w:r>
        <w:rPr>
          <w:rFonts w:hint="eastAsia" w:ascii="Times" w:hAnsi="Times"/>
          <w:kern w:val="0"/>
          <w:sz w:val="14"/>
          <w:szCs w:val="14"/>
          <w:lang w:val="en-US" w:eastAsia="zh-CN"/>
        </w:rPr>
        <w:t>C.</w:t>
      </w:r>
      <w:r>
        <w:rPr>
          <w:rFonts w:hint="eastAsia" w:ascii="Times" w:hAnsi="Times" w:eastAsia="宋体"/>
          <w:kern w:val="0"/>
          <w:sz w:val="14"/>
          <w:szCs w:val="14"/>
          <w:lang w:val="en-US" w:eastAsia="zh-CN"/>
        </w:rPr>
        <w:t>)</w:t>
      </w:r>
      <w:r>
        <w:rPr>
          <w:rFonts w:hint="eastAsia" w:ascii="Times" w:hAnsi="Times" w:eastAsia="宋体"/>
          <w:kern w:val="0"/>
          <w:sz w:val="14"/>
          <w:szCs w:val="14"/>
        </w:rPr>
        <w:t>.</w:t>
      </w:r>
    </w:p>
    <w:p w14:paraId="03C72C3F">
      <w:pPr>
        <w:pStyle w:val="3"/>
      </w:pPr>
      <w:r>
        <w:rPr>
          <w:rFonts w:hint="eastAsia" w:ascii="Times" w:hAnsi="Times"/>
          <w:kern w:val="0"/>
          <w:sz w:val="14"/>
          <w:szCs w:val="14"/>
          <w:vertAlign w:val="superscript"/>
          <w:lang w:val="en-US" w:eastAsia="zh-CN"/>
        </w:rPr>
        <w:t>#</w:t>
      </w:r>
      <w:r>
        <w:rPr>
          <w:rFonts w:ascii="Times" w:hAnsi="Times" w:eastAsia="宋体"/>
          <w:kern w:val="0"/>
          <w:sz w:val="14"/>
          <w:szCs w:val="14"/>
        </w:rPr>
        <w:t xml:space="preserve"> co-first authors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OTc2N2VlZTZkNTYxOTc5YjRiMDAzN2M3Y2NjYzkifQ=="/>
  </w:docVars>
  <w:rsids>
    <w:rsidRoot w:val="650A3AAD"/>
    <w:rsid w:val="008E7D06"/>
    <w:rsid w:val="01177617"/>
    <w:rsid w:val="03EE5D3B"/>
    <w:rsid w:val="04DA4474"/>
    <w:rsid w:val="058A7C48"/>
    <w:rsid w:val="06444169"/>
    <w:rsid w:val="081D4AC5"/>
    <w:rsid w:val="0A6E5D8A"/>
    <w:rsid w:val="0A9521E2"/>
    <w:rsid w:val="0B4B1C27"/>
    <w:rsid w:val="0C3703FE"/>
    <w:rsid w:val="0EC13A64"/>
    <w:rsid w:val="0F003901"/>
    <w:rsid w:val="10795DF4"/>
    <w:rsid w:val="10F13C5C"/>
    <w:rsid w:val="11C6025A"/>
    <w:rsid w:val="12A460C1"/>
    <w:rsid w:val="12F6691D"/>
    <w:rsid w:val="189D0617"/>
    <w:rsid w:val="1A412277"/>
    <w:rsid w:val="1ABB6E11"/>
    <w:rsid w:val="1AD81468"/>
    <w:rsid w:val="1D9C27B6"/>
    <w:rsid w:val="1E401394"/>
    <w:rsid w:val="1F0625DD"/>
    <w:rsid w:val="1F697B09"/>
    <w:rsid w:val="20B341F4"/>
    <w:rsid w:val="2197751D"/>
    <w:rsid w:val="22010E3A"/>
    <w:rsid w:val="2320592D"/>
    <w:rsid w:val="23312A20"/>
    <w:rsid w:val="23AD48A9"/>
    <w:rsid w:val="24EC7B7F"/>
    <w:rsid w:val="25755DC7"/>
    <w:rsid w:val="25DD396C"/>
    <w:rsid w:val="25F52A64"/>
    <w:rsid w:val="275F617F"/>
    <w:rsid w:val="28431A51"/>
    <w:rsid w:val="28657B91"/>
    <w:rsid w:val="28D728F5"/>
    <w:rsid w:val="28F95122"/>
    <w:rsid w:val="2A9211C9"/>
    <w:rsid w:val="2C167BD8"/>
    <w:rsid w:val="2C531F1C"/>
    <w:rsid w:val="2D4B38B1"/>
    <w:rsid w:val="2D597D7C"/>
    <w:rsid w:val="2E960B5C"/>
    <w:rsid w:val="2EAB4607"/>
    <w:rsid w:val="2F646705"/>
    <w:rsid w:val="2F8F5CD7"/>
    <w:rsid w:val="31F96532"/>
    <w:rsid w:val="328238D1"/>
    <w:rsid w:val="34266DEB"/>
    <w:rsid w:val="36FF3742"/>
    <w:rsid w:val="3A66342C"/>
    <w:rsid w:val="3A970D43"/>
    <w:rsid w:val="3AF17846"/>
    <w:rsid w:val="3B007A89"/>
    <w:rsid w:val="3B742225"/>
    <w:rsid w:val="3CFE624A"/>
    <w:rsid w:val="3F19380F"/>
    <w:rsid w:val="3F5860E5"/>
    <w:rsid w:val="41A62EC1"/>
    <w:rsid w:val="42E87780"/>
    <w:rsid w:val="43EF7B01"/>
    <w:rsid w:val="44402462"/>
    <w:rsid w:val="44BC7116"/>
    <w:rsid w:val="466727DF"/>
    <w:rsid w:val="47902E4E"/>
    <w:rsid w:val="481225E0"/>
    <w:rsid w:val="48256D81"/>
    <w:rsid w:val="48711FC6"/>
    <w:rsid w:val="496C37C9"/>
    <w:rsid w:val="4A01737A"/>
    <w:rsid w:val="4B2B2900"/>
    <w:rsid w:val="4D057181"/>
    <w:rsid w:val="4D5B4FF3"/>
    <w:rsid w:val="4D950505"/>
    <w:rsid w:val="4E775E5C"/>
    <w:rsid w:val="4EA47EA7"/>
    <w:rsid w:val="4F863BEA"/>
    <w:rsid w:val="5008329F"/>
    <w:rsid w:val="505218E5"/>
    <w:rsid w:val="50EA6DB9"/>
    <w:rsid w:val="525A469E"/>
    <w:rsid w:val="547370C6"/>
    <w:rsid w:val="54C930B2"/>
    <w:rsid w:val="54CB0CB0"/>
    <w:rsid w:val="556D0F5F"/>
    <w:rsid w:val="55BE4C30"/>
    <w:rsid w:val="56332FB1"/>
    <w:rsid w:val="563B3C13"/>
    <w:rsid w:val="57527466"/>
    <w:rsid w:val="587A0B5B"/>
    <w:rsid w:val="5891595B"/>
    <w:rsid w:val="5A0E58C7"/>
    <w:rsid w:val="5B1D68C5"/>
    <w:rsid w:val="5DD36E1D"/>
    <w:rsid w:val="5DD454EA"/>
    <w:rsid w:val="5E275F9F"/>
    <w:rsid w:val="5E9D546B"/>
    <w:rsid w:val="610D0E27"/>
    <w:rsid w:val="613D4CE3"/>
    <w:rsid w:val="614918DA"/>
    <w:rsid w:val="636522D0"/>
    <w:rsid w:val="650A3AAD"/>
    <w:rsid w:val="661A426B"/>
    <w:rsid w:val="661B3D51"/>
    <w:rsid w:val="668F4A03"/>
    <w:rsid w:val="677475D2"/>
    <w:rsid w:val="68F45CA7"/>
    <w:rsid w:val="6A0A597F"/>
    <w:rsid w:val="6B764645"/>
    <w:rsid w:val="6BC32289"/>
    <w:rsid w:val="6D2A25C0"/>
    <w:rsid w:val="6D4525DB"/>
    <w:rsid w:val="6E351822"/>
    <w:rsid w:val="706C74B4"/>
    <w:rsid w:val="708351E6"/>
    <w:rsid w:val="70EB02B8"/>
    <w:rsid w:val="729B6D42"/>
    <w:rsid w:val="73F83ECD"/>
    <w:rsid w:val="7402176C"/>
    <w:rsid w:val="744273F2"/>
    <w:rsid w:val="74440F40"/>
    <w:rsid w:val="76464DAE"/>
    <w:rsid w:val="767E572A"/>
    <w:rsid w:val="76BC59FF"/>
    <w:rsid w:val="78FD1E3E"/>
    <w:rsid w:val="7A067F11"/>
    <w:rsid w:val="7A545430"/>
    <w:rsid w:val="7AAB2A31"/>
    <w:rsid w:val="7B8A5F50"/>
    <w:rsid w:val="7C2E374F"/>
    <w:rsid w:val="7DAC0DCF"/>
    <w:rsid w:val="7F3A3C91"/>
    <w:rsid w:val="7FAA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note text"/>
    <w:basedOn w:val="1"/>
    <w:autoRedefine/>
    <w:unhideWhenUsed/>
    <w:qFormat/>
    <w:uiPriority w:val="99"/>
    <w:pPr>
      <w:snapToGrid w:val="0"/>
      <w:jc w:val="left"/>
    </w:pPr>
    <w:rPr>
      <w:sz w:val="18"/>
      <w:szCs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character" w:styleId="7">
    <w:name w:val="footnote reference"/>
    <w:autoRedefine/>
    <w:unhideWhenUsed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518</Words>
  <Characters>3109</Characters>
  <Lines>0</Lines>
  <Paragraphs>0</Paragraphs>
  <TotalTime>16</TotalTime>
  <ScaleCrop>false</ScaleCrop>
  <LinksUpToDate>false</LinksUpToDate>
  <CharactersWithSpaces>3573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2024-04-14T03:10:00Z</dcterms:created>
  <dc:creator>崔宏</dc:creator>
  <cp:lastModifiedBy>崔宏</cp:lastModifiedBy>
  <dcterms:modified xsi:type="dcterms:W3CDTF">2024-10-22T03:49:28Z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F8B9863453344B63BE28ACAD9A26438E_13</vt:lpwstr>
  </property>
</Properties>
</file>