
<file path=[Content_Types].xml><?xml version="1.0" encoding="utf-8"?>
<Types xmlns="http://schemas.openxmlformats.org/package/2006/content-types">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0C691C">
      <w:pPr>
        <w:jc w:val="center"/>
        <w:rPr>
          <w:rFonts w:ascii="Times New Roman" w:hAnsi="Times New Roman" w:cs="Times New Roman"/>
          <w:b/>
          <w:sz w:val="40"/>
        </w:rPr>
      </w:pPr>
      <w:r>
        <w:rPr>
          <w:rFonts w:ascii="Times New Roman" w:hAnsi="Times New Roman" w:cs="Times New Roman"/>
          <w:b/>
          <w:sz w:val="40"/>
        </w:rPr>
        <w:t>Supporting information</w:t>
      </w:r>
    </w:p>
    <w:p w14:paraId="442935E2">
      <w:pPr>
        <w:jc w:val="center"/>
        <w:rPr>
          <w:rFonts w:ascii="Times New Roman" w:hAnsi="Times New Roman" w:cs="Times New Roman"/>
          <w:b/>
          <w:sz w:val="40"/>
        </w:rPr>
      </w:pPr>
    </w:p>
    <w:p w14:paraId="7C04E95A">
      <w:pPr>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eastAsia="TimesNewRomanPS-BoldMT" w:cs="Times New Roman"/>
          <w:b/>
          <w:bCs/>
          <w:kern w:val="0"/>
          <w:sz w:val="28"/>
        </w:rPr>
        <w:t xml:space="preserve">Ultrasonic-assisted DES extraction, characterization, </w:t>
      </w:r>
      <w:r>
        <w:rPr>
          <w:rFonts w:ascii="Times New Roman" w:hAnsi="Times New Roman" w:cs="Times New Roman"/>
          <w:b/>
          <w:bCs/>
          <w:color w:val="000000" w:themeColor="text1"/>
          <w:sz w:val="28"/>
          <w:szCs w:val="28"/>
          <w14:textFill>
            <w14:solidFill>
              <w14:schemeClr w14:val="tx1"/>
            </w14:solidFill>
          </w14:textFill>
        </w:rPr>
        <w:t xml:space="preserve">antioxidant and </w:t>
      </w:r>
      <w:r>
        <w:rPr>
          <w:rFonts w:ascii="Times New Roman" w:hAnsi="Times New Roman" w:cs="Times New Roman"/>
          <w:b/>
          <w:bCs/>
          <w:i/>
          <w:color w:val="000000" w:themeColor="text1"/>
          <w:sz w:val="28"/>
          <w:szCs w:val="28"/>
          <w14:textFill>
            <w14:solidFill>
              <w14:schemeClr w14:val="tx1"/>
            </w14:solidFill>
          </w14:textFill>
        </w:rPr>
        <w:t>in silico</w:t>
      </w:r>
      <w:r>
        <w:rPr>
          <w:rFonts w:ascii="Times New Roman" w:hAnsi="Times New Roman" w:cs="Times New Roman"/>
          <w:b/>
          <w:bCs/>
          <w:color w:val="000000" w:themeColor="text1"/>
          <w:sz w:val="28"/>
          <w:szCs w:val="28"/>
          <w14:textFill>
            <w14:solidFill>
              <w14:schemeClr w14:val="tx1"/>
            </w14:solidFill>
          </w14:textFill>
        </w:rPr>
        <w:t xml:space="preserve"> study</w:t>
      </w:r>
      <w:r>
        <w:rPr>
          <w:rFonts w:ascii="Times New Roman" w:hAnsi="Times New Roman" w:eastAsia="TimesNewRomanPS-BoldMT" w:cs="Times New Roman"/>
          <w:b/>
          <w:bCs/>
          <w:kern w:val="0"/>
          <w:sz w:val="28"/>
        </w:rPr>
        <w:t xml:space="preserve"> of polysaccharides from </w:t>
      </w:r>
      <w:bookmarkStart w:id="0" w:name="OLE_LINK4"/>
      <w:r>
        <w:rPr>
          <w:rFonts w:ascii="Times New Roman" w:hAnsi="Times New Roman" w:cs="Times New Roman"/>
          <w:b/>
          <w:bCs/>
          <w:i/>
          <w:iCs/>
          <w:color w:val="000000" w:themeColor="text1"/>
          <w:sz w:val="28"/>
          <w:szCs w:val="28"/>
          <w14:textFill>
            <w14:solidFill>
              <w14:schemeClr w14:val="tx1"/>
            </w14:solidFill>
          </w14:textFill>
        </w:rPr>
        <w:t xml:space="preserve">Angelica dahurica </w:t>
      </w:r>
      <w:r>
        <w:rPr>
          <w:rFonts w:ascii="Times New Roman" w:hAnsi="Times New Roman" w:cs="Times New Roman"/>
          <w:b/>
          <w:bCs/>
          <w:color w:val="000000" w:themeColor="text1"/>
          <w:sz w:val="28"/>
          <w:szCs w:val="28"/>
          <w14:textFill>
            <w14:solidFill>
              <w14:schemeClr w14:val="tx1"/>
            </w14:solidFill>
          </w14:textFill>
        </w:rPr>
        <w:t>Radix</w:t>
      </w:r>
      <w:bookmarkEnd w:id="0"/>
      <w:r>
        <w:rPr>
          <w:rFonts w:ascii="Times New Roman" w:hAnsi="Times New Roman" w:cs="Times New Roman"/>
          <w:b/>
          <w:sz w:val="28"/>
        </w:rPr>
        <w:t xml:space="preserve"> </w:t>
      </w:r>
    </w:p>
    <w:p w14:paraId="6379221F">
      <w:pPr>
        <w:jc w:val="center"/>
        <w:rPr>
          <w:rFonts w:ascii="Times New Roman" w:hAnsi="Times New Roman" w:cs="Times New Roman"/>
          <w:b/>
          <w:bCs/>
          <w:color w:val="000000" w:themeColor="text1"/>
          <w:sz w:val="28"/>
          <w:szCs w:val="28"/>
          <w14:textFill>
            <w14:solidFill>
              <w14:schemeClr w14:val="tx1"/>
            </w14:solidFill>
          </w14:textFill>
        </w:rPr>
      </w:pPr>
    </w:p>
    <w:p w14:paraId="391EE5FD">
      <w:pPr>
        <w:jc w:val="center"/>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Qian Li*, Ting Wang, Chenyue Wang, Xiaoqin Ding</w:t>
      </w:r>
    </w:p>
    <w:p w14:paraId="7169F5DF">
      <w:pPr>
        <w:ind w:firstLine="48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College of Agronomy, State Key Laboratory of Aridland Crop Science, </w:t>
      </w:r>
      <w:bookmarkStart w:id="1" w:name="OLE_LINK91"/>
      <w:r>
        <w:rPr>
          <w:rFonts w:ascii="Times New Roman" w:hAnsi="Times New Roman" w:cs="Times New Roman"/>
          <w:color w:val="000000" w:themeColor="text1"/>
          <w14:textFill>
            <w14:solidFill>
              <w14:schemeClr w14:val="tx1"/>
            </w14:solidFill>
          </w14:textFill>
        </w:rPr>
        <w:t>Gansu Agricultural University, Lanzhou 730070, Chin</w:t>
      </w:r>
      <w:bookmarkEnd w:id="1"/>
      <w:r>
        <w:rPr>
          <w:rFonts w:ascii="Times New Roman" w:hAnsi="Times New Roman" w:cs="Times New Roman"/>
          <w:color w:val="000000" w:themeColor="text1"/>
          <w14:textFill>
            <w14:solidFill>
              <w14:schemeClr w14:val="tx1"/>
            </w14:solidFill>
          </w14:textFill>
        </w:rPr>
        <w:t>a</w:t>
      </w:r>
    </w:p>
    <w:p w14:paraId="090A597C">
      <w:pPr>
        <w:ind w:firstLine="480"/>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*Corresponding author.</w:t>
      </w:r>
    </w:p>
    <w:p w14:paraId="6D17AC0E">
      <w:pPr>
        <w:ind w:firstLine="480"/>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E-mail address: </w:t>
      </w:r>
      <w:r>
        <w:rPr>
          <w:rFonts w:ascii="Times New Roman" w:hAnsi="Times New Roman" w:cs="Times New Roman"/>
          <w:color w:val="000000" w:themeColor="text1"/>
          <w:u w:val="single"/>
          <w14:textFill>
            <w14:solidFill>
              <w14:schemeClr w14:val="tx1"/>
            </w14:solidFill>
          </w14:textFill>
        </w:rPr>
        <w:t>liqian1984@gsau.edu.cn</w:t>
      </w:r>
      <w:r>
        <w:rPr>
          <w:rFonts w:ascii="Times New Roman" w:hAnsi="Times New Roman" w:cs="Times New Roman"/>
          <w:color w:val="000000" w:themeColor="text1"/>
          <w14:textFill>
            <w14:solidFill>
              <w14:schemeClr w14:val="tx1"/>
            </w14:solidFill>
          </w14:textFill>
        </w:rPr>
        <w:t>(Qian Li)</w:t>
      </w:r>
    </w:p>
    <w:p w14:paraId="40309643">
      <w:pPr>
        <w:jc w:val="center"/>
        <w:rPr>
          <w:rFonts w:ascii="Times New Roman" w:hAnsi="Times New Roman" w:cs="Times New Roman"/>
          <w:b/>
          <w:sz w:val="32"/>
        </w:rPr>
      </w:pPr>
    </w:p>
    <w:p w14:paraId="230167E0">
      <w:pPr>
        <w:pStyle w:val="3"/>
        <w:numPr>
          <w:ilvl w:val="0"/>
          <w:numId w:val="1"/>
        </w:numP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Materials</w:t>
      </w:r>
    </w:p>
    <w:p w14:paraId="07FAC68F">
      <w:pPr>
        <w:ind w:firstLine="42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i/>
          <w:iCs/>
          <w:color w:val="000000" w:themeColor="text1"/>
          <w:szCs w:val="21"/>
          <w14:textFill>
            <w14:solidFill>
              <w14:schemeClr w14:val="tx1"/>
            </w14:solidFill>
          </w14:textFill>
        </w:rPr>
        <w:t>Angelica dahurica</w:t>
      </w:r>
      <w:r>
        <w:rPr>
          <w:rFonts w:ascii="Times New Roman" w:hAnsi="Times New Roman" w:cs="Times New Roman"/>
          <w:color w:val="000000" w:themeColor="text1"/>
          <w:szCs w:val="21"/>
          <w14:textFill>
            <w14:solidFill>
              <w14:schemeClr w14:val="tx1"/>
            </w14:solidFill>
          </w14:textFill>
        </w:rPr>
        <w:t xml:space="preserve"> Radix</w:t>
      </w:r>
      <w:r>
        <w:rPr>
          <w:rFonts w:ascii="Times New Roman" w:hAnsi="Times New Roman" w:cs="Times New Roman"/>
          <w:i/>
          <w:iCs/>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 xml:space="preserve">was bought from Qingshan Sulfur-free food Store in Suining city (Sichuan, China), which was identified as </w:t>
      </w:r>
      <w:r>
        <w:rPr>
          <w:rFonts w:ascii="Times New Roman" w:hAnsi="Times New Roman" w:cs="Times New Roman"/>
          <w:i/>
          <w:iCs/>
          <w:color w:val="000000" w:themeColor="text1"/>
          <w:szCs w:val="21"/>
          <w14:textFill>
            <w14:solidFill>
              <w14:schemeClr w14:val="tx1"/>
            </w14:solidFill>
          </w14:textFill>
        </w:rPr>
        <w:t xml:space="preserve">Angelica dahurica </w:t>
      </w:r>
      <w:r>
        <w:rPr>
          <w:rFonts w:ascii="Times New Roman" w:hAnsi="Times New Roman" w:cs="Times New Roman"/>
          <w:color w:val="000000" w:themeColor="text1"/>
          <w:szCs w:val="21"/>
          <w14:textFill>
            <w14:solidFill>
              <w14:schemeClr w14:val="tx1"/>
            </w14:solidFill>
          </w14:textFill>
        </w:rPr>
        <w:t>(Fisch.ex Hoffm.) Benth.et Hook.f.var.formosana (Boiss.) Shan et Yuan by Professor Yuan Chen, Gansu Agricultural University. A proper amount of the herbs were taken and baked for 12 h in the oven at 60</w:t>
      </w:r>
      <w:r>
        <w:rPr>
          <w:rFonts w:hint="eastAsia" w:ascii="宋体" w:hAnsi="宋体" w:eastAsia="宋体" w:cs="宋体"/>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 After being crushed and sifted through 40 mesh, the crude powder of RDA</w:t>
      </w:r>
      <w:r>
        <w:rPr>
          <w:rFonts w:ascii="Times New Roman" w:hAnsi="Times New Roman" w:cs="Times New Roman"/>
          <w:i/>
          <w:iCs/>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 xml:space="preserve">was prepared.   </w:t>
      </w:r>
    </w:p>
    <w:p w14:paraId="3AA008AF">
      <w:pPr>
        <w:ind w:firstLine="42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All chemicals used for the preparation of DES and for the determination were purchased from companies in several Chinese cities mentioned below. Choline chloride, glycerin, </w:t>
      </w:r>
      <w:bookmarkStart w:id="2" w:name="OLE_LINK2"/>
      <w:r>
        <w:rPr>
          <w:rFonts w:ascii="Times New Roman" w:hAnsi="Times New Roman" w:cs="Times New Roman"/>
          <w:color w:val="000000" w:themeColor="text1"/>
          <w:szCs w:val="21"/>
          <w14:textFill>
            <w14:solidFill>
              <w14:schemeClr w14:val="tx1"/>
            </w14:solidFill>
          </w14:textFill>
        </w:rPr>
        <w:t>1, 4-butanediol,</w:t>
      </w:r>
      <w:bookmarkEnd w:id="2"/>
      <w:r>
        <w:rPr>
          <w:rFonts w:ascii="Times New Roman" w:hAnsi="Times New Roman" w:cs="Times New Roman"/>
          <w:color w:val="000000" w:themeColor="text1"/>
          <w:szCs w:val="21"/>
          <w14:textFill>
            <w14:solidFill>
              <w14:schemeClr w14:val="tx1"/>
            </w14:solidFill>
          </w14:textFill>
        </w:rPr>
        <w:t xml:space="preserve"> </w:t>
      </w:r>
      <w:bookmarkStart w:id="3" w:name="OLE_LINK1"/>
      <w:r>
        <w:rPr>
          <w:rFonts w:ascii="Times New Roman" w:hAnsi="Times New Roman" w:cs="Times New Roman"/>
          <w:color w:val="000000" w:themeColor="text1"/>
          <w:szCs w:val="21"/>
          <w14:textFill>
            <w14:solidFill>
              <w14:schemeClr w14:val="tx1"/>
            </w14:solidFill>
          </w14:textFill>
        </w:rPr>
        <w:t>urea</w:t>
      </w:r>
      <w:bookmarkEnd w:id="3"/>
      <w:r>
        <w:rPr>
          <w:rFonts w:ascii="Times New Roman" w:hAnsi="Times New Roman" w:cs="Times New Roman"/>
          <w:color w:val="000000" w:themeColor="text1"/>
          <w:szCs w:val="21"/>
          <w14:textFill>
            <w14:solidFill>
              <w14:schemeClr w14:val="tx1"/>
            </w14:solidFill>
          </w14:textFill>
        </w:rPr>
        <w:t xml:space="preserve"> and other analytical reagents were purchased from Shanghai Sinopharm Chemical Reagent Co., LTD. (Shanghai, China); Lactic acid was purchased from Yantai Shuangshuang Chemical Co., LTD. (Yantai, China). Anhydrous glucose was purchased from Beijing Solaibao Technology Co., LTD. (Beijing, China); Anhydrous ethanol was purchased from Tianjin Beichen Founder Reagent Factory (Tianjin, China); Concentrated sulfuric acid and phenol were purchased from Sinopharm Chemical Reagent Co., LTD. (Shanghai, China). The above reagents are analytically pure. Ultrapure water from Milli-Q Water Purification System - Bedford, USA.</w:t>
      </w:r>
    </w:p>
    <w:p w14:paraId="2879E5E9">
      <w:pPr>
        <w:rPr>
          <w:rFonts w:ascii="Times New Roman" w:hAnsi="Times New Roman" w:cs="Times New Roman"/>
          <w:szCs w:val="21"/>
        </w:rPr>
      </w:pPr>
      <w:r>
        <w:rPr>
          <w:rFonts w:hint="eastAsia" w:ascii="Times New Roman" w:hAnsi="Times New Roman" w:eastAsia="黑体" w:cs="Times New Roman"/>
          <w:b/>
          <w:color w:val="000000" w:themeColor="text1"/>
          <w:sz w:val="24"/>
          <w:szCs w:val="24"/>
          <w14:textFill>
            <w14:solidFill>
              <w14:schemeClr w14:val="tx1"/>
            </w14:solidFill>
          </w14:textFill>
        </w:rPr>
        <w:t xml:space="preserve">2. Experimental </w:t>
      </w:r>
    </w:p>
    <w:p w14:paraId="6775E84B">
      <w:pPr>
        <w:pStyle w:val="3"/>
        <w:rPr>
          <w:rFonts w:cs="Times New Roman"/>
          <w:sz w:val="21"/>
          <w:szCs w:val="21"/>
        </w:rPr>
      </w:pPr>
      <w:r>
        <w:rPr>
          <w:rFonts w:cs="Times New Roman"/>
          <w:sz w:val="21"/>
          <w:szCs w:val="21"/>
        </w:rPr>
        <w:t>2.</w:t>
      </w:r>
      <w:r>
        <w:rPr>
          <w:rFonts w:hint="eastAsia" w:cs="Times New Roman"/>
          <w:sz w:val="21"/>
          <w:szCs w:val="21"/>
        </w:rPr>
        <w:t>1</w:t>
      </w:r>
      <w:r>
        <w:rPr>
          <w:rFonts w:cs="Times New Roman"/>
          <w:sz w:val="21"/>
          <w:szCs w:val="21"/>
        </w:rPr>
        <w:t>. Preparation of DESs</w:t>
      </w:r>
    </w:p>
    <w:p w14:paraId="315D7E7B">
      <w:pPr>
        <w:ind w:firstLine="420"/>
        <w:rPr>
          <w:rFonts w:ascii="Times New Roman" w:hAnsi="Times New Roman" w:cs="Times New Roman"/>
          <w:szCs w:val="21"/>
        </w:rPr>
      </w:pPr>
      <w:r>
        <w:rPr>
          <w:rFonts w:ascii="Times New Roman" w:hAnsi="Times New Roman" w:cs="Times New Roman"/>
          <w:color w:val="000000" w:themeColor="text1"/>
          <w:szCs w:val="21"/>
          <w14:textFill>
            <w14:solidFill>
              <w14:schemeClr w14:val="tx1"/>
            </w14:solidFill>
          </w14:textFill>
        </w:rPr>
        <w:t>It is crucial to carefully select the appropriate DES type for the extraction of the target compound from the sample. In this study, 12 sets of DES systems (refer to Table 1) were prepared using a simple heating method that requires minimal equipment. Each DES system was sealed in bottles, positioned on a constant-temperature magnetic stirrer, and stirred magnetically (typically for 120-180 min). The temperature was maintained between 80-95 °C until a homogeneous and transparent liquid was achieved. However, the direct synthesis by heating often faces challenges in producing ideal solvents due to the high viscosity and melting points observed in certain components. To address this issue, a specific amount of water was added to the DESs prior to heating to reduce viscosity.</w:t>
      </w:r>
      <w:r>
        <w:rPr>
          <w:rFonts w:ascii="Times New Roman" w:hAnsi="Times New Roman" w:cs="Times New Roman"/>
          <w:szCs w:val="21"/>
        </w:rPr>
        <w:t xml:space="preserve"> </w:t>
      </w:r>
    </w:p>
    <w:p w14:paraId="6ACA0A79">
      <w:pPr>
        <w:pStyle w:val="4"/>
        <w:rPr>
          <w:rFonts w:cs="Times New Roman"/>
          <w:sz w:val="21"/>
          <w:szCs w:val="21"/>
        </w:rPr>
      </w:pPr>
      <w:r>
        <w:rPr>
          <w:rFonts w:cs="Times New Roman"/>
          <w:sz w:val="21"/>
          <w:szCs w:val="21"/>
        </w:rPr>
        <w:t>2.</w:t>
      </w:r>
      <w:r>
        <w:rPr>
          <w:rFonts w:hint="eastAsia" w:cs="Times New Roman"/>
          <w:sz w:val="21"/>
          <w:szCs w:val="21"/>
        </w:rPr>
        <w:t>2</w:t>
      </w:r>
      <w:r>
        <w:rPr>
          <w:rFonts w:cs="Times New Roman"/>
          <w:sz w:val="21"/>
          <w:szCs w:val="21"/>
        </w:rPr>
        <w:t>. Preparation of Standard Solution</w:t>
      </w:r>
    </w:p>
    <w:p w14:paraId="6400C355">
      <w:pPr>
        <w:ind w:firstLine="420"/>
        <w:rPr>
          <w:rFonts w:ascii="Times New Roman" w:hAnsi="Times New Roman" w:cs="Times New Roman"/>
          <w:szCs w:val="21"/>
        </w:rPr>
      </w:pPr>
      <w:r>
        <w:rPr>
          <w:rFonts w:ascii="Times New Roman" w:hAnsi="Times New Roman" w:cs="Times New Roman"/>
          <w:szCs w:val="21"/>
        </w:rPr>
        <w:t xml:space="preserve">A 10.00 mg glucose standard of constant weight was accurately measured and transferred to a 10 mL volumetric flask. Purified water was added for dissolution, and the volume was adjusted to the calibration mark. The solution was thoroughly dissolved using a vortex mixer to achieve a glucose standard solution with a concentration of 1 mg/mL. A series of polysaccharide standard solutions (1.00 mg/mL) were prepared by pipetting 0.20, 0.40, 0.60, 0.80, and 1.00 mL into separate test tubes. Purified water was added to dilute each solution to a total volume of 2.00 mL, followed by incubation. Subsequently, 1 mL of 5% phenol solution was added, mixed thoroughly, and then 4.00 mL of concentrated sulfuric acid was added. The mixture was shaken well, allowed to sit for 15 min, placed in a water bath at 40 </w:t>
      </w:r>
      <w:r>
        <w:rPr>
          <w:rFonts w:hint="eastAsia" w:ascii="宋体" w:hAnsi="宋体" w:eastAsia="宋体" w:cs="宋体"/>
          <w:szCs w:val="21"/>
        </w:rPr>
        <w:t>℃</w:t>
      </w:r>
      <w:r>
        <w:rPr>
          <w:rFonts w:ascii="Times New Roman" w:hAnsi="Times New Roman" w:cs="Times New Roman"/>
          <w:szCs w:val="21"/>
        </w:rPr>
        <w:t xml:space="preserve"> for another 15 min, and then transferred to a beaker of cold water for 10 minutes to cool. </w:t>
      </w:r>
    </w:p>
    <w:p w14:paraId="0C528BFE">
      <w:pPr>
        <w:pStyle w:val="4"/>
        <w:rPr>
          <w:rFonts w:cs="Times New Roman"/>
          <w:sz w:val="21"/>
          <w:szCs w:val="21"/>
        </w:rPr>
      </w:pPr>
      <w:r>
        <w:rPr>
          <w:rFonts w:cs="Times New Roman"/>
          <w:sz w:val="21"/>
          <w:szCs w:val="21"/>
        </w:rPr>
        <w:t>2.</w:t>
      </w:r>
      <w:r>
        <w:rPr>
          <w:rFonts w:hint="eastAsia" w:cs="Times New Roman"/>
          <w:sz w:val="21"/>
          <w:szCs w:val="21"/>
        </w:rPr>
        <w:t>3</w:t>
      </w:r>
      <w:r>
        <w:rPr>
          <w:rFonts w:cs="Times New Roman"/>
          <w:sz w:val="21"/>
          <w:szCs w:val="21"/>
        </w:rPr>
        <w:t>. Preparation of Sample Solution</w:t>
      </w:r>
    </w:p>
    <w:p w14:paraId="55D14944">
      <w:pPr>
        <w:pStyle w:val="4"/>
        <w:rPr>
          <w:rFonts w:cs="Times New Roman"/>
        </w:rPr>
      </w:pPr>
      <w:r>
        <w:rPr>
          <w:rFonts w:cs="Times New Roman"/>
          <w:sz w:val="21"/>
          <w:szCs w:val="21"/>
        </w:rPr>
        <w:t>2.</w:t>
      </w:r>
      <w:r>
        <w:rPr>
          <w:rFonts w:hint="eastAsia" w:cs="Times New Roman"/>
          <w:sz w:val="21"/>
          <w:szCs w:val="21"/>
        </w:rPr>
        <w:t>3</w:t>
      </w:r>
      <w:r>
        <w:rPr>
          <w:rFonts w:cs="Times New Roman"/>
          <w:sz w:val="21"/>
          <w:szCs w:val="21"/>
        </w:rPr>
        <w:t>.1. Polysaccharide solution preparation</w:t>
      </w:r>
    </w:p>
    <w:p w14:paraId="58F4A62B">
      <w:pPr>
        <w:ind w:firstLine="420"/>
        <w:rPr>
          <w:rFonts w:ascii="Times New Roman" w:hAnsi="Times New Roman" w:cs="Times New Roman"/>
          <w:szCs w:val="21"/>
        </w:rPr>
      </w:pPr>
      <w:r>
        <w:rPr>
          <w:rFonts w:ascii="Times New Roman" w:hAnsi="Times New Roman" w:cs="Times New Roman"/>
          <w:szCs w:val="21"/>
        </w:rPr>
        <w:t xml:space="preserve">Approximately 1.00 g of sieved </w:t>
      </w:r>
      <w:r>
        <w:rPr>
          <w:rFonts w:ascii="Times New Roman" w:hAnsi="Times New Roman" w:cs="Times New Roman"/>
          <w:i/>
          <w:iCs/>
          <w:szCs w:val="21"/>
        </w:rPr>
        <w:t>A. dahurica</w:t>
      </w:r>
      <w:r>
        <w:rPr>
          <w:rFonts w:ascii="Times New Roman" w:hAnsi="Times New Roman" w:cs="Times New Roman"/>
          <w:szCs w:val="21"/>
        </w:rPr>
        <w:t xml:space="preserve"> powder was accurately weighed and transferred to a 150 mL conical flask. A pre-prepared DES was added using a liquid-solid ratio of 20:1 mL/g. The ultrasonic extraction conditions included a power setting of 300 W and frequency of 50 Hz, with an ultrasonic duration of 45 min at a temperature of 60 </w:t>
      </w:r>
      <w:r>
        <w:rPr>
          <w:rFonts w:hint="eastAsia" w:ascii="宋体" w:hAnsi="宋体" w:eastAsia="宋体" w:cs="宋体"/>
          <w:szCs w:val="21"/>
        </w:rPr>
        <w:t>℃</w:t>
      </w:r>
      <w:r>
        <w:rPr>
          <w:rFonts w:ascii="Times New Roman" w:hAnsi="Times New Roman" w:cs="Times New Roman"/>
          <w:szCs w:val="21"/>
        </w:rPr>
        <w:t xml:space="preserve"> for the extraction of polysaccharides.</w:t>
      </w:r>
    </w:p>
    <w:p w14:paraId="3C97B21D">
      <w:pPr>
        <w:pStyle w:val="4"/>
        <w:rPr>
          <w:rFonts w:cs="Times New Roman"/>
          <w:sz w:val="21"/>
          <w:szCs w:val="21"/>
        </w:rPr>
      </w:pPr>
      <w:r>
        <w:rPr>
          <w:rFonts w:cs="Times New Roman"/>
          <w:sz w:val="21"/>
          <w:szCs w:val="21"/>
        </w:rPr>
        <w:t>2.</w:t>
      </w:r>
      <w:r>
        <w:rPr>
          <w:rFonts w:hint="eastAsia" w:cs="Times New Roman"/>
          <w:sz w:val="21"/>
          <w:szCs w:val="21"/>
        </w:rPr>
        <w:t>3</w:t>
      </w:r>
      <w:r>
        <w:rPr>
          <w:rFonts w:cs="Times New Roman"/>
          <w:sz w:val="21"/>
          <w:szCs w:val="21"/>
        </w:rPr>
        <w:t>.2. Crude polysaccharide preparation</w:t>
      </w:r>
    </w:p>
    <w:p w14:paraId="2298CAFE">
      <w:pPr>
        <w:ind w:firstLine="420"/>
        <w:rPr>
          <w:rFonts w:ascii="Times New Roman" w:hAnsi="Times New Roman" w:cs="Times New Roman"/>
          <w:szCs w:val="21"/>
        </w:rPr>
      </w:pPr>
      <w:r>
        <w:rPr>
          <w:rFonts w:ascii="Times New Roman" w:hAnsi="Times New Roman" w:cs="Times New Roman"/>
          <w:szCs w:val="21"/>
        </w:rPr>
        <w:t>The extract derived from section 2.4.1 underwent concentration to reduce to one-fifth of its initial volume through a rotary evaporator. Following this, the concentrated solution was diluted with anhydrous ethanol at a volume ratio of 1:4 and refrigerated at 4</w:t>
      </w:r>
      <w:r>
        <w:rPr>
          <w:rFonts w:hint="eastAsia" w:ascii="宋体" w:hAnsi="宋体" w:eastAsia="宋体" w:cs="宋体"/>
          <w:szCs w:val="21"/>
        </w:rPr>
        <w:t>℃</w:t>
      </w:r>
      <w:r>
        <w:rPr>
          <w:rFonts w:ascii="Times New Roman" w:hAnsi="Times New Roman" w:cs="Times New Roman"/>
          <w:szCs w:val="21"/>
        </w:rPr>
        <w:t xml:space="preserve"> overnight to induce precipitation. Subsequent centrifugation and drying processes yielded the crude polysaccharide product.  </w:t>
      </w:r>
    </w:p>
    <w:p w14:paraId="5AB03E8D">
      <w:pPr>
        <w:pStyle w:val="4"/>
        <w:rPr>
          <w:rFonts w:cs="Times New Roman"/>
          <w:sz w:val="21"/>
          <w:szCs w:val="21"/>
        </w:rPr>
      </w:pPr>
      <w:r>
        <w:rPr>
          <w:rFonts w:cs="Times New Roman"/>
          <w:sz w:val="21"/>
          <w:szCs w:val="21"/>
        </w:rPr>
        <w:t>2.</w:t>
      </w:r>
      <w:r>
        <w:rPr>
          <w:rFonts w:hint="eastAsia" w:cs="Times New Roman"/>
          <w:sz w:val="21"/>
          <w:szCs w:val="21"/>
        </w:rPr>
        <w:t>3</w:t>
      </w:r>
      <w:r>
        <w:rPr>
          <w:rFonts w:cs="Times New Roman"/>
          <w:sz w:val="21"/>
          <w:szCs w:val="21"/>
        </w:rPr>
        <w:t>.3. Traditional Extraction Method Comparison</w:t>
      </w:r>
    </w:p>
    <w:p w14:paraId="365C7D9E">
      <w:pPr>
        <w:ind w:firstLine="420"/>
        <w:rPr>
          <w:rFonts w:ascii="Times New Roman" w:hAnsi="Times New Roman" w:cs="Times New Roman"/>
          <w:szCs w:val="21"/>
        </w:rPr>
      </w:pPr>
      <w:r>
        <w:rPr>
          <w:rFonts w:ascii="Times New Roman" w:hAnsi="Times New Roman" w:cs="Times New Roman"/>
          <w:szCs w:val="21"/>
        </w:rPr>
        <w:t>To contrast ultrasound-assisted extraction with hot water extraction, polysaccharides were extracted using hot water in this study. The procedure involved extracting 5.00 g of pretreated sample powder with 150 mL of boiling water for 2 hours. After three rounds of extraction, the resultant extracts were combined and subjected to alcohol precipitation to isolate the crude polysaccharide.  </w:t>
      </w:r>
    </w:p>
    <w:p w14:paraId="154BDA70">
      <w:pPr>
        <w:pStyle w:val="3"/>
        <w:rPr>
          <w:rFonts w:cs="Times New Roman"/>
        </w:rPr>
      </w:pPr>
      <w:r>
        <w:rPr>
          <w:rFonts w:cs="Times New Roman"/>
          <w:sz w:val="21"/>
          <w:szCs w:val="21"/>
        </w:rPr>
        <w:t>2.</w:t>
      </w:r>
      <w:r>
        <w:rPr>
          <w:rFonts w:hint="eastAsia" w:cs="Times New Roman"/>
          <w:sz w:val="21"/>
          <w:szCs w:val="21"/>
        </w:rPr>
        <w:t>4</w:t>
      </w:r>
      <w:r>
        <w:rPr>
          <w:rFonts w:cs="Times New Roman"/>
          <w:sz w:val="21"/>
          <w:szCs w:val="21"/>
        </w:rPr>
        <w:t>. Single factor experiment</w:t>
      </w:r>
      <w:r>
        <w:rPr>
          <w:rFonts w:cs="Times New Roman"/>
          <w:i/>
          <w:iCs/>
          <w:sz w:val="21"/>
          <w:szCs w:val="21"/>
        </w:rPr>
        <w:t xml:space="preserve"> </w:t>
      </w:r>
    </w:p>
    <w:p w14:paraId="1A07AB78">
      <w:pPr>
        <w:pStyle w:val="4"/>
        <w:rPr>
          <w:rFonts w:cs="Times New Roman"/>
          <w:sz w:val="21"/>
          <w:szCs w:val="21"/>
        </w:rPr>
      </w:pPr>
      <w:r>
        <w:rPr>
          <w:rFonts w:cs="Times New Roman"/>
          <w:sz w:val="21"/>
          <w:szCs w:val="21"/>
        </w:rPr>
        <w:t>2.</w:t>
      </w:r>
      <w:r>
        <w:rPr>
          <w:rFonts w:hint="eastAsia" w:cs="Times New Roman"/>
          <w:sz w:val="21"/>
          <w:szCs w:val="21"/>
        </w:rPr>
        <w:t>4</w:t>
      </w:r>
      <w:r>
        <w:rPr>
          <w:rFonts w:cs="Times New Roman"/>
          <w:sz w:val="21"/>
          <w:szCs w:val="21"/>
        </w:rPr>
        <w:t>.1. Effect of Liquid-Solid Ratio</w:t>
      </w:r>
    </w:p>
    <w:p w14:paraId="3349D796">
      <w:pPr>
        <w:ind w:firstLine="42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szCs w:val="21"/>
        </w:rPr>
        <w:t xml:space="preserve">The impact of varying the liquid-solid ratio on the yield of ADRP was investigated under specific ultrasonic conditions: 300 W power, 50 Hz frequency, 45 min of ultrasonic time, and a temperature of 60 </w:t>
      </w:r>
      <w:r>
        <w:rPr>
          <w:rFonts w:hint="eastAsia" w:ascii="宋体" w:hAnsi="宋体" w:eastAsia="宋体" w:cs="宋体"/>
          <w:szCs w:val="21"/>
        </w:rPr>
        <w:t>℃</w:t>
      </w:r>
      <w:r>
        <w:rPr>
          <w:rFonts w:ascii="Times New Roman" w:hAnsi="Times New Roman" w:cs="Times New Roman"/>
          <w:szCs w:val="21"/>
        </w:rPr>
        <w:t xml:space="preserve">. Various liquid-solid ratios of 10, 15, 20, 25, and 30 mL/g were employed for the extraction of </w:t>
      </w:r>
      <w:r>
        <w:rPr>
          <w:rFonts w:ascii="Times New Roman" w:hAnsi="Times New Roman" w:cs="Times New Roman"/>
          <w:i/>
          <w:iCs/>
          <w:szCs w:val="21"/>
        </w:rPr>
        <w:t>A. dahurica</w:t>
      </w:r>
      <w:r>
        <w:rPr>
          <w:rFonts w:ascii="Times New Roman" w:hAnsi="Times New Roman" w:cs="Times New Roman"/>
          <w:szCs w:val="21"/>
        </w:rPr>
        <w:t xml:space="preserve">, and the extraction efficiency of ADRP was subsequently determined. </w:t>
      </w:r>
    </w:p>
    <w:p w14:paraId="32E069CA">
      <w:pPr>
        <w:pStyle w:val="4"/>
        <w:rPr>
          <w:rFonts w:cs="Times New Roman"/>
          <w:sz w:val="21"/>
          <w:szCs w:val="21"/>
        </w:rPr>
      </w:pPr>
      <w:r>
        <w:rPr>
          <w:rFonts w:cs="Times New Roman"/>
          <w:sz w:val="21"/>
          <w:szCs w:val="21"/>
        </w:rPr>
        <w:t>2.</w:t>
      </w:r>
      <w:r>
        <w:rPr>
          <w:rFonts w:hint="eastAsia" w:cs="Times New Roman"/>
          <w:sz w:val="21"/>
          <w:szCs w:val="21"/>
        </w:rPr>
        <w:t>4</w:t>
      </w:r>
      <w:r>
        <w:rPr>
          <w:rFonts w:cs="Times New Roman"/>
          <w:sz w:val="21"/>
          <w:szCs w:val="21"/>
        </w:rPr>
        <w:t>.2. Effect of Extraction Temperature</w:t>
      </w:r>
    </w:p>
    <w:p w14:paraId="66472B1E">
      <w:pPr>
        <w:ind w:firstLine="420"/>
        <w:rPr>
          <w:rFonts w:ascii="Times New Roman" w:hAnsi="Times New Roman" w:cs="Times New Roman"/>
          <w:szCs w:val="21"/>
        </w:rPr>
      </w:pPr>
      <w:r>
        <w:rPr>
          <w:rFonts w:ascii="Times New Roman" w:hAnsi="Times New Roman" w:cs="Times New Roman"/>
          <w:szCs w:val="21"/>
        </w:rPr>
        <w:t xml:space="preserve">In this study, the liquid-solid ratio was maintained at 20:1 mL/g, with an ultrasonic power of 300 W at 50 Hz, and an ultrasonic time of 45 min. The impact of extraction temperature on the yield of ADRP was investigated across temperatures of 30, 40, 50, 60, and 70 </w:t>
      </w:r>
      <w:r>
        <w:rPr>
          <w:rFonts w:hint="eastAsia" w:ascii="宋体" w:hAnsi="宋体" w:eastAsia="宋体" w:cs="宋体"/>
          <w:szCs w:val="21"/>
        </w:rPr>
        <w:t>℃</w:t>
      </w:r>
      <w:r>
        <w:rPr>
          <w:rFonts w:ascii="Times New Roman" w:hAnsi="Times New Roman" w:cs="Times New Roman"/>
          <w:szCs w:val="21"/>
        </w:rPr>
        <w:t xml:space="preserve">, followed by the calculation of the extraction efficiency of ADRP. </w:t>
      </w:r>
    </w:p>
    <w:p w14:paraId="534E1BB4">
      <w:pPr>
        <w:pStyle w:val="4"/>
        <w:rPr>
          <w:rFonts w:cs="Times New Roman"/>
          <w:sz w:val="21"/>
          <w:szCs w:val="21"/>
        </w:rPr>
      </w:pPr>
      <w:r>
        <w:rPr>
          <w:rFonts w:cs="Times New Roman"/>
          <w:sz w:val="21"/>
          <w:szCs w:val="21"/>
        </w:rPr>
        <w:t>2.</w:t>
      </w:r>
      <w:r>
        <w:rPr>
          <w:rFonts w:hint="eastAsia" w:cs="Times New Roman"/>
          <w:sz w:val="21"/>
          <w:szCs w:val="21"/>
        </w:rPr>
        <w:t>4</w:t>
      </w:r>
      <w:r>
        <w:rPr>
          <w:rFonts w:cs="Times New Roman"/>
          <w:sz w:val="21"/>
          <w:szCs w:val="21"/>
        </w:rPr>
        <w:t>.3. Effect of Extraction Time</w:t>
      </w:r>
    </w:p>
    <w:p w14:paraId="7689A141">
      <w:pPr>
        <w:ind w:firstLine="420"/>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szCs w:val="21"/>
        </w:rPr>
        <w:t xml:space="preserve">In this experiment, the influence of extraction time duration on the yield of ADRP was examined under specified conditions: a liquid-solid ratio of 20:1 mL/g, a power of 300 W at 50 Hz, and an ultrasonic temperature of 60 </w:t>
      </w:r>
      <w:r>
        <w:rPr>
          <w:rFonts w:hint="eastAsia" w:ascii="宋体" w:hAnsi="宋体" w:eastAsia="宋体" w:cs="宋体"/>
          <w:szCs w:val="21"/>
        </w:rPr>
        <w:t>℃</w:t>
      </w:r>
      <w:r>
        <w:rPr>
          <w:rFonts w:ascii="Times New Roman" w:hAnsi="Times New Roman" w:cs="Times New Roman"/>
          <w:szCs w:val="21"/>
        </w:rPr>
        <w:t xml:space="preserve">. Different extraction periods of 15, 25, 35, 45, and 55 min were applied for ADRP extraction to assess the extraction efficiency. </w:t>
      </w:r>
    </w:p>
    <w:p w14:paraId="18FC24CA">
      <w:pPr>
        <w:pStyle w:val="4"/>
        <w:rPr>
          <w:rFonts w:cs="Times New Roman"/>
          <w:sz w:val="21"/>
          <w:szCs w:val="21"/>
        </w:rPr>
      </w:pPr>
      <w:r>
        <w:rPr>
          <w:rFonts w:cs="Times New Roman"/>
          <w:sz w:val="21"/>
          <w:szCs w:val="21"/>
        </w:rPr>
        <w:t>2.</w:t>
      </w:r>
      <w:r>
        <w:rPr>
          <w:rFonts w:hint="eastAsia" w:cs="Times New Roman"/>
          <w:sz w:val="21"/>
          <w:szCs w:val="21"/>
        </w:rPr>
        <w:t>4</w:t>
      </w:r>
      <w:r>
        <w:rPr>
          <w:rFonts w:cs="Times New Roman"/>
          <w:sz w:val="21"/>
          <w:szCs w:val="21"/>
        </w:rPr>
        <w:t>.4. E</w:t>
      </w:r>
      <w:r>
        <w:rPr>
          <w:rStyle w:val="14"/>
          <w:rFonts w:cs="Times New Roman"/>
          <w:b/>
          <w:sz w:val="21"/>
          <w:szCs w:val="21"/>
        </w:rPr>
        <w:t>f</w:t>
      </w:r>
      <w:r>
        <w:rPr>
          <w:rFonts w:cs="Times New Roman"/>
          <w:sz w:val="21"/>
          <w:szCs w:val="21"/>
        </w:rPr>
        <w:t>fect of ultrasonic power</w:t>
      </w:r>
    </w:p>
    <w:p w14:paraId="1C1C1BB2">
      <w:pPr>
        <w:ind w:firstLine="420"/>
        <w:rPr>
          <w:rFonts w:ascii="Times New Roman" w:hAnsi="Times New Roman" w:cs="Times New Roman"/>
          <w:szCs w:val="21"/>
        </w:rPr>
      </w:pPr>
      <w:r>
        <w:rPr>
          <w:rFonts w:ascii="Times New Roman" w:hAnsi="Times New Roman" w:cs="Times New Roman"/>
          <w:szCs w:val="21"/>
        </w:rPr>
        <w:t xml:space="preserve">In this study, the liquid-to-solid ratio was defined as 20:1 mL/g, the ultrasonic extraction time was standardized at 45 min, and the ultrasonic temperature was maintained at 60 </w:t>
      </w:r>
      <w:r>
        <w:rPr>
          <w:rFonts w:hint="eastAsia" w:ascii="宋体" w:hAnsi="宋体" w:eastAsia="宋体" w:cs="宋体"/>
          <w:szCs w:val="21"/>
        </w:rPr>
        <w:t>℃</w:t>
      </w:r>
      <w:r>
        <w:rPr>
          <w:rFonts w:ascii="Times New Roman" w:hAnsi="Times New Roman" w:cs="Times New Roman"/>
          <w:szCs w:val="21"/>
        </w:rPr>
        <w:t xml:space="preserve">. Varied ultrasonic power levels of 250 W, 300 W, 350 W, 400 W, and 450 W were chosen for ADRP extraction to investigate the impact of different ultrasonic powers on the polysaccharide yield. </w:t>
      </w:r>
    </w:p>
    <w:p w14:paraId="7D5F4BFC">
      <w:pPr>
        <w:pStyle w:val="3"/>
        <w:rPr>
          <w:rFonts w:cs="Times New Roman"/>
          <w:sz w:val="21"/>
          <w:szCs w:val="21"/>
        </w:rPr>
      </w:pPr>
      <w:r>
        <w:rPr>
          <w:rFonts w:cs="Times New Roman"/>
          <w:sz w:val="21"/>
          <w:szCs w:val="21"/>
        </w:rPr>
        <w:t>2.</w:t>
      </w:r>
      <w:r>
        <w:rPr>
          <w:rFonts w:hint="eastAsia" w:cs="Times New Roman"/>
          <w:sz w:val="21"/>
          <w:szCs w:val="21"/>
        </w:rPr>
        <w:t>5</w:t>
      </w:r>
      <w:r>
        <w:rPr>
          <w:rFonts w:cs="Times New Roman"/>
          <w:sz w:val="21"/>
          <w:szCs w:val="21"/>
        </w:rPr>
        <w:t>. Structural characterization</w:t>
      </w:r>
    </w:p>
    <w:p w14:paraId="4BF2F7F6">
      <w:pPr>
        <w:pStyle w:val="3"/>
        <w:rPr>
          <w:rFonts w:cs="Times New Roman"/>
          <w:sz w:val="21"/>
          <w:szCs w:val="21"/>
        </w:rPr>
      </w:pPr>
      <w:r>
        <w:rPr>
          <w:rFonts w:cs="Times New Roman"/>
          <w:sz w:val="21"/>
          <w:szCs w:val="21"/>
        </w:rPr>
        <w:t>2.</w:t>
      </w:r>
      <w:r>
        <w:rPr>
          <w:rFonts w:hint="eastAsia" w:cs="Times New Roman"/>
          <w:sz w:val="21"/>
          <w:szCs w:val="21"/>
        </w:rPr>
        <w:t>5</w:t>
      </w:r>
      <w:r>
        <w:rPr>
          <w:rFonts w:cs="Times New Roman"/>
          <w:sz w:val="21"/>
          <w:szCs w:val="21"/>
        </w:rPr>
        <w:t>.1. Fourier infrared spectroscopy</w:t>
      </w:r>
    </w:p>
    <w:p w14:paraId="431F641F">
      <w:pPr>
        <w:ind w:firstLine="420"/>
        <w:rPr>
          <w:rFonts w:ascii="Times New Roman" w:hAnsi="Times New Roman" w:cs="Times New Roman"/>
          <w:szCs w:val="21"/>
        </w:rPr>
      </w:pPr>
      <w:r>
        <w:rPr>
          <w:rFonts w:ascii="Times New Roman" w:hAnsi="Times New Roman" w:cs="Times New Roman"/>
          <w:szCs w:val="21"/>
        </w:rPr>
        <w:t>The PerkinElmer FT-IR Spectrum 3, furnished with universal ATR accessories such as ZnSe crystals and pressure pliers (PerkinElmer Corporation, Waltham, USA), was utilized for FT-IR analysis. Spectral data were acquired in the mid-infrared region spanning from 4000 to 400 cm</w:t>
      </w:r>
      <w:r>
        <w:rPr>
          <w:rFonts w:ascii="Times New Roman" w:hAnsi="Times New Roman" w:cs="Times New Roman"/>
          <w:szCs w:val="21"/>
          <w:vertAlign w:val="superscript"/>
        </w:rPr>
        <w:t>-1</w:t>
      </w:r>
      <w:r>
        <w:rPr>
          <w:rFonts w:ascii="Times New Roman" w:hAnsi="Times New Roman" w:cs="Times New Roman"/>
          <w:szCs w:val="21"/>
        </w:rPr>
        <w:t>, with a spectral resolution set at 4 cm</w:t>
      </w:r>
      <w:r>
        <w:rPr>
          <w:rFonts w:ascii="Times New Roman" w:hAnsi="Times New Roman" w:cs="Times New Roman"/>
          <w:szCs w:val="21"/>
          <w:vertAlign w:val="superscript"/>
        </w:rPr>
        <w:t>-1</w:t>
      </w:r>
      <w:r>
        <w:rPr>
          <w:rFonts w:ascii="Times New Roman" w:hAnsi="Times New Roman" w:cs="Times New Roman"/>
          <w:szCs w:val="21"/>
        </w:rPr>
        <w:t xml:space="preserve">. The analysis involved 32 scans, complemented by an additional 256 background scans to facilitate noise correction. </w:t>
      </w:r>
    </w:p>
    <w:p w14:paraId="2650C53E">
      <w:pPr>
        <w:pStyle w:val="3"/>
        <w:rPr>
          <w:rFonts w:cs="Times New Roman"/>
          <w:sz w:val="21"/>
          <w:szCs w:val="21"/>
        </w:rPr>
      </w:pPr>
      <w:r>
        <w:rPr>
          <w:rFonts w:cs="Times New Roman"/>
          <w:sz w:val="21"/>
          <w:szCs w:val="21"/>
        </w:rPr>
        <w:t>2.</w:t>
      </w:r>
      <w:r>
        <w:rPr>
          <w:rFonts w:hint="eastAsia" w:cs="Times New Roman"/>
          <w:sz w:val="21"/>
          <w:szCs w:val="21"/>
        </w:rPr>
        <w:t>5</w:t>
      </w:r>
      <w:r>
        <w:rPr>
          <w:rFonts w:cs="Times New Roman"/>
          <w:sz w:val="21"/>
          <w:szCs w:val="21"/>
        </w:rPr>
        <w:t>.2. Monosaccharide composition</w:t>
      </w:r>
    </w:p>
    <w:p w14:paraId="03AB960C">
      <w:pPr>
        <w:ind w:firstLine="420"/>
        <w:rPr>
          <w:rFonts w:ascii="Times New Roman" w:hAnsi="Times New Roman" w:cs="Times New Roman"/>
          <w:szCs w:val="21"/>
        </w:rPr>
      </w:pPr>
      <w:r>
        <w:rPr>
          <w:rFonts w:ascii="Times New Roman" w:hAnsi="Times New Roman" w:cs="Times New Roman"/>
          <w:szCs w:val="21"/>
        </w:rPr>
        <w:t>The sample (approx 5 mg) was hydrolyzed in a sealed tube with 2M trifluoroacetic acid at 121 °C for 2 h. Post-hydrolysis, the sample was dried under N</w:t>
      </w:r>
      <w:r>
        <w:rPr>
          <w:rFonts w:ascii="Times New Roman" w:hAnsi="Times New Roman" w:cs="Times New Roman"/>
          <w:szCs w:val="21"/>
          <w:vertAlign w:val="subscript"/>
        </w:rPr>
        <w:t>2</w:t>
      </w:r>
      <w:r>
        <w:rPr>
          <w:rFonts w:ascii="Times New Roman" w:hAnsi="Times New Roman" w:cs="Times New Roman"/>
          <w:szCs w:val="21"/>
        </w:rPr>
        <w:t xml:space="preserve"> gas, methanol-washed, and blow-dried; this methanol washing process was reiterated 2-3 times. The resultant residue was dissolved in deionized water, filtered through a 0.22 μm microporous membrane, and analyzed. Monosaccharide types were identified using standard solutions.</w:t>
      </w:r>
    </w:p>
    <w:p w14:paraId="68A7F883">
      <w:pPr>
        <w:ind w:firstLine="420"/>
        <w:rPr>
          <w:rFonts w:ascii="Times New Roman" w:hAnsi="Times New Roman" w:cs="Times New Roman"/>
          <w:szCs w:val="21"/>
        </w:rPr>
      </w:pPr>
      <w:r>
        <w:rPr>
          <w:rFonts w:ascii="Times New Roman" w:hAnsi="Times New Roman" w:cs="Times New Roman"/>
          <w:szCs w:val="21"/>
        </w:rPr>
        <w:t>The sample was then analyzed employing a CarboPac PA-20 anion exchange column (3×150 mm; Dionex) coupled with a pulsed amperometric detector (PAD; Dionex ICS 5000+). The analysis was performed at 0.5 mL/min, with an injection volume of 5μL. Three solvent systems were featured: A (ddH</w:t>
      </w:r>
      <w:r>
        <w:rPr>
          <w:rFonts w:ascii="Times New Roman" w:hAnsi="Times New Roman" w:cs="Times New Roman"/>
          <w:szCs w:val="21"/>
          <w:vertAlign w:val="subscript"/>
        </w:rPr>
        <w:t>2</w:t>
      </w:r>
      <w:r>
        <w:rPr>
          <w:rFonts w:ascii="Times New Roman" w:hAnsi="Times New Roman" w:cs="Times New Roman"/>
          <w:szCs w:val="21"/>
        </w:rPr>
        <w:t>O), B (0.1M NaOH), and C (0.1M NaOH, 0.2M NaAc). The gradient program was as follows: 0 min - 95% A, 5% B, 0% C; 26 min - 85% A, 5% B, 10% C; 42 min - 85% A, 5% B, 10% C; 42.1 min - 60% A, 0% B, 40% C; 52 min - 60% A, 40% B, 0% C; 52.1 min - 95% A, 5% B, 0% C; with a hold to 60 min at 95% A, 5% B, 0% C.</w:t>
      </w:r>
    </w:p>
    <w:p w14:paraId="0EF5B599">
      <w:pPr>
        <w:pStyle w:val="3"/>
        <w:rPr>
          <w:rFonts w:cs="Times New Roman"/>
          <w:sz w:val="21"/>
          <w:szCs w:val="21"/>
        </w:rPr>
      </w:pPr>
      <w:r>
        <w:rPr>
          <w:rFonts w:cs="Times New Roman"/>
          <w:sz w:val="21"/>
          <w:szCs w:val="21"/>
        </w:rPr>
        <w:t>2.</w:t>
      </w:r>
      <w:r>
        <w:rPr>
          <w:rFonts w:hint="eastAsia" w:cs="Times New Roman"/>
          <w:sz w:val="21"/>
          <w:szCs w:val="21"/>
        </w:rPr>
        <w:t>5</w:t>
      </w:r>
      <w:r>
        <w:rPr>
          <w:rFonts w:cs="Times New Roman"/>
          <w:sz w:val="21"/>
          <w:szCs w:val="21"/>
        </w:rPr>
        <w:t>.3. Molecular weight distribution</w:t>
      </w:r>
    </w:p>
    <w:p w14:paraId="034479AA">
      <w:pPr>
        <w:ind w:firstLine="420"/>
        <w:rPr>
          <w:rFonts w:ascii="Times New Roman" w:hAnsi="Times New Roman" w:cs="Times New Roman"/>
          <w:szCs w:val="21"/>
        </w:rPr>
      </w:pPr>
      <w:r>
        <w:rPr>
          <w:rFonts w:ascii="Times New Roman" w:hAnsi="Times New Roman" w:cs="Times New Roman"/>
          <w:szCs w:val="21"/>
        </w:rPr>
        <w:t>The sample was dissolved in a 0.1M NaNO</w:t>
      </w:r>
      <w:r>
        <w:rPr>
          <w:rFonts w:ascii="Times New Roman" w:hAnsi="Times New Roman" w:cs="Times New Roman"/>
          <w:szCs w:val="21"/>
          <w:vertAlign w:val="subscript"/>
        </w:rPr>
        <w:t>3</w:t>
      </w:r>
      <w:r>
        <w:rPr>
          <w:rFonts w:ascii="Times New Roman" w:hAnsi="Times New Roman" w:cs="Times New Roman"/>
          <w:szCs w:val="21"/>
        </w:rPr>
        <w:t xml:space="preserve"> aqueous solution containing 0.02% NaN</w:t>
      </w:r>
      <w:r>
        <w:rPr>
          <w:rFonts w:ascii="Times New Roman" w:hAnsi="Times New Roman" w:cs="Times New Roman"/>
          <w:szCs w:val="21"/>
          <w:vertAlign w:val="subscript"/>
        </w:rPr>
        <w:t>3</w:t>
      </w:r>
      <w:r>
        <w:rPr>
          <w:rFonts w:ascii="Times New Roman" w:hAnsi="Times New Roman" w:cs="Times New Roman"/>
          <w:szCs w:val="21"/>
        </w:rPr>
        <w:t xml:space="preserve"> at a concentration of 1 mg/mL and filtered using a 0.45 μm pore filter. Gel chromatography with differential and multi-angle laser light scattering detection was employed. In this method, the U3000 liquid phase system (Thermo, USA) featured an Optilab T-rEX differential detector and a DAWN HELEOS II laser light scattering detector from Wyatt Technology, CA, USA. Gel filtration columns Ohpak SB-805 HQ (300×8mm) and Ohpak SB-803 HQ (300×8mm) were connected in series. The column was maintained at 45°C, with a 100 μL injection volume using mobile phase A (0.02% NaN</w:t>
      </w:r>
      <w:r>
        <w:rPr>
          <w:rFonts w:ascii="Times New Roman" w:hAnsi="Times New Roman" w:cs="Times New Roman"/>
          <w:szCs w:val="21"/>
          <w:vertAlign w:val="subscript"/>
        </w:rPr>
        <w:t>3</w:t>
      </w:r>
      <w:r>
        <w:rPr>
          <w:rFonts w:ascii="Times New Roman" w:hAnsi="Times New Roman" w:cs="Times New Roman"/>
          <w:szCs w:val="21"/>
        </w:rPr>
        <w:t>, 0.1M NaNO</w:t>
      </w:r>
      <w:r>
        <w:rPr>
          <w:rFonts w:ascii="Times New Roman" w:hAnsi="Times New Roman" w:cs="Times New Roman"/>
          <w:szCs w:val="21"/>
          <w:vertAlign w:val="subscript"/>
        </w:rPr>
        <w:t>3</w:t>
      </w:r>
      <w:r>
        <w:rPr>
          <w:rFonts w:ascii="Times New Roman" w:hAnsi="Times New Roman" w:cs="Times New Roman"/>
          <w:szCs w:val="21"/>
        </w:rPr>
        <w:t>), a flow rate of 0.6 mL/min, and a 75-min isocratic elution gradient.</w:t>
      </w:r>
    </w:p>
    <w:p w14:paraId="74FC2261">
      <w:pPr>
        <w:pStyle w:val="3"/>
        <w:rPr>
          <w:rFonts w:cs="Times New Roman"/>
          <w:sz w:val="21"/>
          <w:szCs w:val="21"/>
        </w:rPr>
      </w:pPr>
      <w:r>
        <w:rPr>
          <w:rFonts w:cs="Times New Roman"/>
          <w:sz w:val="21"/>
          <w:szCs w:val="21"/>
        </w:rPr>
        <w:t>2.</w:t>
      </w:r>
      <w:r>
        <w:rPr>
          <w:rFonts w:hint="eastAsia" w:cs="Times New Roman"/>
          <w:sz w:val="21"/>
          <w:szCs w:val="21"/>
        </w:rPr>
        <w:t>6</w:t>
      </w:r>
      <w:r>
        <w:rPr>
          <w:rFonts w:cs="Times New Roman"/>
          <w:sz w:val="21"/>
          <w:szCs w:val="21"/>
        </w:rPr>
        <w:t>. Antioxidant activity test in vitro</w:t>
      </w:r>
    </w:p>
    <w:p w14:paraId="16EB62E1">
      <w:pPr>
        <w:ind w:firstLine="420"/>
        <w:rPr>
          <w:rFonts w:ascii="Times New Roman" w:hAnsi="Times New Roman" w:cs="Times New Roman"/>
          <w:szCs w:val="21"/>
        </w:rPr>
      </w:pPr>
      <w:r>
        <w:rPr>
          <w:rFonts w:ascii="Times New Roman" w:hAnsi="Times New Roman" w:cs="Times New Roman"/>
          <w:color w:val="FF0000"/>
          <w:szCs w:val="21"/>
        </w:rPr>
        <w:t>The DPPH, ABTS and hydroxyl radical scavenging method were</w:t>
      </w:r>
      <w:r>
        <w:rPr>
          <w:rFonts w:ascii="Times New Roman" w:hAnsi="Times New Roman" w:cs="Times New Roman"/>
          <w:szCs w:val="21"/>
        </w:rPr>
        <w:t xml:space="preserve"> used to analyze the samples’ antioxidant properties in vitro. Extracts from two methods, traditional hot water and DES ultrasonic-assisted extraction, were compared. Each sample was prepared at maximum extraction concentration, and an ascorbic acid (VC) solution served as a control.</w:t>
      </w:r>
    </w:p>
    <w:p w14:paraId="07BFE937">
      <w:pPr>
        <w:ind w:firstLine="420"/>
        <w:rPr>
          <w:rFonts w:ascii="Times New Roman" w:hAnsi="Times New Roman" w:cs="Times New Roman"/>
          <w:color w:val="FF0000"/>
          <w:szCs w:val="21"/>
        </w:rPr>
      </w:pPr>
      <w:r>
        <w:rPr>
          <w:rFonts w:ascii="Times New Roman" w:hAnsi="Times New Roman" w:cs="Times New Roman"/>
          <w:color w:val="FF0000"/>
          <w:szCs w:val="21"/>
        </w:rPr>
        <w:t xml:space="preserve"> Scavenging activity on DPPH radical</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Absorbance readings were taken at 517 nm, and the scavenging activity percentage was calculated by [1 - (A1 - A2)/A0] × 100%, where A0 is DPPH solution absorbance, A1 is sample absorbance in the DPPH mixture, and A2 is blank sample absorbance. </w:t>
      </w:r>
    </w:p>
    <w:p w14:paraId="1E15F2D3">
      <w:pPr>
        <w:ind w:firstLine="420" w:firstLineChars="200"/>
        <w:rPr>
          <w:rFonts w:ascii="Times New Roman" w:hAnsi="Times New Roman" w:cs="Times New Roman"/>
          <w:color w:val="FF0000"/>
          <w:szCs w:val="21"/>
        </w:rPr>
      </w:pPr>
      <w:r>
        <w:rPr>
          <w:rFonts w:ascii="Times New Roman" w:hAnsi="Times New Roman" w:cs="Times New Roman"/>
          <w:color w:val="FF0000"/>
          <w:szCs w:val="21"/>
        </w:rPr>
        <w:t xml:space="preserve">Scavenging activity on </w:t>
      </w:r>
      <w:r>
        <w:rPr>
          <w:rFonts w:hint="eastAsia" w:ascii="Times New Roman" w:hAnsi="Times New Roman" w:cs="Times New Roman"/>
          <w:color w:val="FF0000"/>
          <w:szCs w:val="21"/>
        </w:rPr>
        <w:t>ABTS</w:t>
      </w:r>
      <w:r>
        <w:rPr>
          <w:rFonts w:ascii="Times New Roman" w:hAnsi="Times New Roman" w:cs="Times New Roman"/>
          <w:color w:val="FF0000"/>
          <w:szCs w:val="21"/>
        </w:rPr>
        <w:t xml:space="preserve"> radical</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Absorbance readings were taken at </w:t>
      </w:r>
      <w:r>
        <w:rPr>
          <w:rFonts w:hint="eastAsia" w:ascii="Times New Roman" w:hAnsi="Times New Roman" w:cs="Times New Roman"/>
          <w:color w:val="FF0000"/>
          <w:szCs w:val="21"/>
        </w:rPr>
        <w:t>734</w:t>
      </w:r>
      <w:r>
        <w:rPr>
          <w:rFonts w:ascii="Times New Roman" w:hAnsi="Times New Roman" w:cs="Times New Roman"/>
          <w:color w:val="FF0000"/>
          <w:szCs w:val="21"/>
        </w:rPr>
        <w:t xml:space="preserve"> nm,</w:t>
      </w:r>
      <w:r>
        <w:rPr>
          <w:rFonts w:hint="eastAsia" w:ascii="Times New Roman" w:hAnsi="Times New Roman" w:cs="Times New Roman"/>
          <w:color w:val="FF0000"/>
          <w:szCs w:val="21"/>
        </w:rPr>
        <w:t xml:space="preserve"> </w:t>
      </w:r>
      <w:r>
        <w:rPr>
          <w:rFonts w:ascii="Times New Roman" w:hAnsi="Times New Roman" w:cs="Times New Roman"/>
          <w:color w:val="FF0000"/>
          <w:szCs w:val="21"/>
        </w:rPr>
        <w:t>and the scavenging activity percentage was calculated by [1 - (A1 - A2)/A0] × 100%,</w:t>
      </w:r>
      <w:r>
        <w:rPr>
          <w:rFonts w:hint="eastAsia" w:ascii="Times New Roman" w:hAnsi="Times New Roman" w:cs="Times New Roman"/>
          <w:color w:val="FF0000"/>
          <w:szCs w:val="21"/>
        </w:rPr>
        <w:t xml:space="preserve"> </w:t>
      </w:r>
      <w:r>
        <w:rPr>
          <w:rFonts w:ascii="Times New Roman" w:hAnsi="Times New Roman" w:cs="Times New Roman"/>
          <w:color w:val="FF0000"/>
          <w:szCs w:val="21"/>
        </w:rPr>
        <w:t>where A0 was the absorbance of the sample blank (the sample was replaced by distilled water), A1 was the absorbance of the sample, and A2 was the absorbance of the reagent blank</w:t>
      </w:r>
      <w:r>
        <w:rPr>
          <w:rFonts w:hint="eastAsia" w:ascii="Times New Roman" w:hAnsi="Times New Roman" w:cs="Times New Roman"/>
          <w:color w:val="FF0000"/>
          <w:szCs w:val="21"/>
        </w:rPr>
        <w:t xml:space="preserve">. </w:t>
      </w:r>
    </w:p>
    <w:p w14:paraId="60F11DD4">
      <w:pPr>
        <w:ind w:firstLine="420" w:firstLineChars="200"/>
        <w:rPr>
          <w:rFonts w:hint="eastAsia" w:ascii="Times New Roman" w:hAnsi="Times New Roman" w:cs="Times New Roman"/>
          <w:color w:val="FF0000"/>
          <w:szCs w:val="21"/>
        </w:rPr>
      </w:pPr>
      <w:r>
        <w:rPr>
          <w:rFonts w:ascii="Times New Roman" w:hAnsi="Times New Roman" w:cs="Times New Roman"/>
          <w:color w:val="FF0000"/>
          <w:szCs w:val="21"/>
        </w:rPr>
        <w:t>Scavenging activity on hydroxyl radical</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Absorbance readings were taken at </w:t>
      </w:r>
      <w:r>
        <w:rPr>
          <w:rFonts w:hint="eastAsia" w:ascii="Times New Roman" w:hAnsi="Times New Roman" w:cs="Times New Roman"/>
          <w:color w:val="FF0000"/>
          <w:szCs w:val="21"/>
        </w:rPr>
        <w:t>510</w:t>
      </w:r>
      <w:r>
        <w:rPr>
          <w:rFonts w:ascii="Times New Roman" w:hAnsi="Times New Roman" w:cs="Times New Roman"/>
          <w:color w:val="FF0000"/>
          <w:szCs w:val="21"/>
        </w:rPr>
        <w:t xml:space="preserve"> nm,</w:t>
      </w:r>
      <w:r>
        <w:rPr>
          <w:rFonts w:hint="eastAsia" w:ascii="Times New Roman" w:hAnsi="Times New Roman" w:cs="Times New Roman"/>
          <w:color w:val="FF0000"/>
          <w:szCs w:val="21"/>
        </w:rPr>
        <w:t xml:space="preserve"> </w:t>
      </w:r>
      <w:r>
        <w:rPr>
          <w:rFonts w:ascii="Times New Roman" w:hAnsi="Times New Roman" w:cs="Times New Roman"/>
          <w:color w:val="FF0000"/>
          <w:szCs w:val="21"/>
        </w:rPr>
        <w:t>and the scavenging activity percentage was calculated by [1 - (A1 - A2)/A0] × 100%,</w:t>
      </w:r>
      <w:r>
        <w:t xml:space="preserve"> </w:t>
      </w:r>
      <w:r>
        <w:rPr>
          <w:rFonts w:ascii="Times New Roman" w:hAnsi="Times New Roman" w:cs="Times New Roman"/>
          <w:color w:val="FF0000"/>
          <w:szCs w:val="21"/>
        </w:rPr>
        <w:t>where A0 was the absorbance of the sample blank (no sample in the mixed solution), A1 was the absorbance of the samples, and the A2 was the absorbance of the reagent blank</w:t>
      </w:r>
      <w:r>
        <w:rPr>
          <w:rFonts w:hint="eastAsia" w:ascii="Times New Roman" w:hAnsi="Times New Roman" w:cs="Times New Roman"/>
          <w:color w:val="FF0000"/>
          <w:szCs w:val="21"/>
        </w:rPr>
        <w:t>.</w:t>
      </w:r>
    </w:p>
    <w:p w14:paraId="6862A4D7">
      <w:pPr>
        <w:pStyle w:val="3"/>
        <w:rPr>
          <w:rFonts w:cs="Times New Roman"/>
          <w:sz w:val="21"/>
          <w:szCs w:val="21"/>
        </w:rPr>
      </w:pPr>
      <w:r>
        <w:rPr>
          <w:rFonts w:cs="Times New Roman"/>
          <w:sz w:val="21"/>
          <w:szCs w:val="21"/>
        </w:rPr>
        <w:t>2.</w:t>
      </w:r>
      <w:r>
        <w:rPr>
          <w:rFonts w:hint="eastAsia" w:cs="Times New Roman"/>
          <w:sz w:val="21"/>
          <w:szCs w:val="21"/>
        </w:rPr>
        <w:t>7</w:t>
      </w:r>
      <w:r>
        <w:rPr>
          <w:rFonts w:cs="Times New Roman"/>
          <w:sz w:val="21"/>
          <w:szCs w:val="21"/>
        </w:rPr>
        <w:t>. Network pharmacology</w:t>
      </w:r>
    </w:p>
    <w:p w14:paraId="2B5ABF59">
      <w:pPr>
        <w:ind w:firstLine="420"/>
        <w:rPr>
          <w:rFonts w:ascii="Times New Roman" w:hAnsi="Times New Roman" w:cs="Times New Roman"/>
          <w:szCs w:val="21"/>
        </w:rPr>
      </w:pPr>
      <w:r>
        <w:rPr>
          <w:rFonts w:ascii="Times New Roman" w:hAnsi="Times New Roman" w:cs="Times New Roman"/>
          <w:szCs w:val="21"/>
        </w:rPr>
        <w:t>The target proteins for five different sugars – trehalose, sorbitol, arabinose, lactose, and glucose – were predicted using the TCMSP (https://old.tcmsp-e.com/tcmsp.php), Swiss Target Prediction (http://swisstargetprediction.ch/), and BATMAN-TCM (http://bionet.ncpsb.org.cn/batman-tcm/index.php) databases. Subsequently, the nomenclature of the target proteins was standardized through UniProt (https://www.uniprot.org/). Disease target prediction utilizing the OMIM (https://www.omim.org/search/advanced/geneMap) and GeneCards databases (https://www.genecards.org/) involved keyword searches such as “oxidative,” “anti-oxidant,” “oxidative stress,” and “anti-oxidative stress.” The results were merged and duplicates eliminated to identify targets associated with antioxidant properties. Gene function enrichment analysis was conducted using the DAVID database (https://david.ncifcrf.gov/), and the visualization of enrichment results was completed on the Microbiota website (http://www.bioinformatics.com.cn/). The Microbiota website was also utilized to identify common targets pertaining to components and diseases. A Protein-Protein Interaction (PPI) network, with a confidence threshold of medium (0.4), was constructed utilizing the STRING database (https://cn.string-db.org/), and Cytoscape 3.7.2 software was employed for PPI network visualization.</w:t>
      </w:r>
    </w:p>
    <w:p w14:paraId="536B7ABE">
      <w:pPr>
        <w:rPr>
          <w:rFonts w:ascii="Times New Roman" w:hAnsi="Times New Roman" w:cs="Times New Roman"/>
          <w:szCs w:val="21"/>
        </w:rPr>
      </w:pPr>
      <w:r>
        <w:rPr>
          <w:rFonts w:ascii="Times New Roman" w:hAnsi="Times New Roman" w:cs="Times New Roman"/>
          <w:b/>
          <w:bCs/>
          <w:szCs w:val="21"/>
        </w:rPr>
        <w:t>2.</w:t>
      </w:r>
      <w:r>
        <w:rPr>
          <w:rFonts w:hint="eastAsia" w:ascii="Times New Roman" w:hAnsi="Times New Roman" w:cs="Times New Roman"/>
          <w:b/>
          <w:bCs/>
          <w:szCs w:val="21"/>
        </w:rPr>
        <w:t>8</w:t>
      </w:r>
      <w:r>
        <w:rPr>
          <w:rFonts w:ascii="Times New Roman" w:hAnsi="Times New Roman" w:cs="Times New Roman"/>
          <w:b/>
          <w:bCs/>
          <w:szCs w:val="21"/>
        </w:rPr>
        <w:t>. Molecular docking</w:t>
      </w:r>
    </w:p>
    <w:p w14:paraId="5D50BAD1">
      <w:pPr>
        <w:pStyle w:val="2"/>
        <w:spacing w:before="156" w:after="156"/>
        <w:ind w:firstLine="420" w:firstLineChars="200"/>
        <w:rPr>
          <w:rFonts w:cs="Times New Roman"/>
          <w:b w:val="0"/>
          <w:kern w:val="2"/>
          <w:sz w:val="21"/>
          <w:szCs w:val="21"/>
        </w:rPr>
      </w:pPr>
      <w:r>
        <w:rPr>
          <w:rFonts w:cs="Times New Roman"/>
          <w:b w:val="0"/>
          <w:kern w:val="2"/>
          <w:sz w:val="21"/>
          <w:szCs w:val="21"/>
        </w:rPr>
        <w:t>The protein structure files in PDB format were retrieved from the PDB database (https://www.rcsb.org) and processed using PyMOL (https://www.pymol.org) to remove water and ligands. The chemical compound’s SDF structure formula was obtained from PubChem (https://pubchem.ncbi.nlm.nih.gov) and converted from SDF to mol2 format through the utilization of OpenBabel software (v2.3.1). Subsequently, AutoDock Vina software (v1.1.2) was utilized for full-atom molecular docking to calculate the binding energy. The results of the docking analysis were visualized with PyMOL (3D, Version 2.2.0).</w:t>
      </w:r>
    </w:p>
    <w:p w14:paraId="7D1BBE10">
      <w:pPr>
        <w:jc w:val="center"/>
        <w:rPr>
          <w:rFonts w:ascii="Times New Roman" w:hAnsi="Times New Roman" w:cs="Times New Roman"/>
          <w:b/>
          <w:sz w:val="32"/>
        </w:rPr>
      </w:pPr>
    </w:p>
    <w:p w14:paraId="2C57595C">
      <w:pPr>
        <w:ind w:firstLine="420"/>
        <w:jc w:val="center"/>
        <w:rPr>
          <w:rFonts w:cs="Times New Roman"/>
          <w:szCs w:val="21"/>
        </w:rPr>
      </w:pPr>
      <w:r>
        <w:rPr>
          <w:rFonts w:cs="Times New Roman"/>
          <w:szCs w:val="21"/>
        </w:rPr>
        <w:drawing>
          <wp:inline distT="0" distB="0" distL="114300" distR="114300">
            <wp:extent cx="4032885" cy="2266950"/>
            <wp:effectExtent l="0" t="0" r="5715" b="0"/>
            <wp:docPr id="2" name="图片 2" descr="标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标曲"/>
                    <pic:cNvPicPr>
                      <a:picLocks noChangeAspect="1"/>
                    </pic:cNvPicPr>
                  </pic:nvPicPr>
                  <pic:blipFill>
                    <a:blip r:embed="rId4"/>
                    <a:srcRect l="2334" t="2522" r="1461" b="2920"/>
                    <a:stretch>
                      <a:fillRect/>
                    </a:stretch>
                  </pic:blipFill>
                  <pic:spPr>
                    <a:xfrm>
                      <a:off x="0" y="0"/>
                      <a:ext cx="4033278" cy="2266950"/>
                    </a:xfrm>
                    <a:prstGeom prst="rect">
                      <a:avLst/>
                    </a:prstGeom>
                  </pic:spPr>
                </pic:pic>
              </a:graphicData>
            </a:graphic>
          </wp:inline>
        </w:drawing>
      </w:r>
    </w:p>
    <w:p w14:paraId="2E0BE77A">
      <w:pPr>
        <w:ind w:firstLine="422"/>
        <w:jc w:val="center"/>
        <w:rPr>
          <w:rFonts w:ascii="Times New Roman" w:hAnsi="Times New Roman" w:cs="Times New Roman"/>
        </w:rPr>
      </w:pPr>
      <w:r>
        <w:rPr>
          <w:rFonts w:ascii="Times New Roman" w:hAnsi="Times New Roman" w:cs="Times New Roman"/>
          <w:b/>
          <w:bCs/>
          <w:color w:val="000000" w:themeColor="text1"/>
          <w:szCs w:val="21"/>
          <w14:textFill>
            <w14:solidFill>
              <w14:schemeClr w14:val="tx1"/>
            </w14:solidFill>
          </w14:textFill>
        </w:rPr>
        <w:t>Fig</w:t>
      </w:r>
      <w:r>
        <w:rPr>
          <w:rFonts w:hint="eastAsia" w:ascii="Times New Roman" w:hAnsi="Times New Roman" w:cs="Times New Roman"/>
          <w:b/>
          <w:bCs/>
          <w:color w:val="000000" w:themeColor="text1"/>
          <w:szCs w:val="21"/>
          <w14:textFill>
            <w14:solidFill>
              <w14:schemeClr w14:val="tx1"/>
            </w14:solidFill>
          </w14:textFill>
        </w:rPr>
        <w:t>.</w:t>
      </w:r>
      <w:r>
        <w:rPr>
          <w:rFonts w:ascii="Times New Roman" w:hAnsi="Times New Roman" w:cs="Times New Roman"/>
          <w:b/>
          <w:bCs/>
          <w:color w:val="000000" w:themeColor="text1"/>
          <w:szCs w:val="21"/>
          <w14:textFill>
            <w14:solidFill>
              <w14:schemeClr w14:val="tx1"/>
            </w14:solidFill>
          </w14:textFill>
        </w:rPr>
        <w:t xml:space="preserve"> S1. Glucose standard curve</w:t>
      </w:r>
    </w:p>
    <w:p w14:paraId="19BC10FC">
      <w:pPr>
        <w:rPr>
          <w:rFonts w:ascii="Times New Roman" w:hAnsi="Times New Roman" w:cs="Times New Roman"/>
          <w:b/>
          <w:sz w:val="32"/>
        </w:rPr>
      </w:pPr>
    </w:p>
    <w:p w14:paraId="5EE448F8">
      <w:pPr>
        <w:pStyle w:val="3"/>
        <w:ind w:firstLine="422" w:firstLineChars="200"/>
        <w:jc w:val="center"/>
        <w:rPr>
          <w:rFonts w:cs="Times New Roman"/>
          <w:sz w:val="21"/>
          <w:szCs w:val="21"/>
        </w:rPr>
      </w:pPr>
      <w:r>
        <w:rPr>
          <w:rFonts w:cs="Times New Roman"/>
          <w:sz w:val="21"/>
          <w:szCs w:val="21"/>
        </w:rPr>
        <w:drawing>
          <wp:inline distT="0" distB="0" distL="0" distR="0">
            <wp:extent cx="3152775" cy="25146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152775" cy="2514600"/>
                    </a:xfrm>
                    <a:prstGeom prst="rect">
                      <a:avLst/>
                    </a:prstGeom>
                    <a:noFill/>
                    <a:ln>
                      <a:noFill/>
                    </a:ln>
                  </pic:spPr>
                </pic:pic>
              </a:graphicData>
            </a:graphic>
          </wp:inline>
        </w:drawing>
      </w:r>
    </w:p>
    <w:p w14:paraId="76D03F7C">
      <w:pPr>
        <w:ind w:firstLine="422"/>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Fig.S2. Effect of liquid/solid ratio on the extraction rate of polysaccharide</w:t>
      </w:r>
      <w:r>
        <w:rPr>
          <w:rFonts w:hint="eastAsia" w:ascii="Times New Roman" w:hAnsi="Times New Roman" w:cs="Times New Roman"/>
          <w:b/>
          <w:bCs/>
          <w:color w:val="000000" w:themeColor="text1"/>
          <w:szCs w:val="21"/>
          <w14:textFill>
            <w14:solidFill>
              <w14:schemeClr w14:val="tx1"/>
            </w14:solidFill>
          </w14:textFill>
        </w:rPr>
        <w:t>s</w:t>
      </w:r>
    </w:p>
    <w:p w14:paraId="2E207FBE">
      <w:pPr>
        <w:ind w:firstLine="422"/>
        <w:jc w:val="center"/>
        <w:rPr>
          <w:rFonts w:cs="Times New Roman"/>
          <w:b/>
          <w:bCs/>
          <w:color w:val="000000" w:themeColor="text1"/>
          <w:szCs w:val="21"/>
          <w14:textFill>
            <w14:solidFill>
              <w14:schemeClr w14:val="tx1"/>
            </w14:solidFill>
          </w14:textFill>
        </w:rPr>
      </w:pPr>
    </w:p>
    <w:p w14:paraId="2FD17411">
      <w:pPr>
        <w:ind w:firstLine="420"/>
        <w:jc w:val="center"/>
        <w:rPr>
          <w:rFonts w:cs="Times New Roman"/>
          <w:szCs w:val="21"/>
        </w:rPr>
      </w:pPr>
      <w:r>
        <w:rPr>
          <w:rFonts w:cs="Times New Roman"/>
          <w:szCs w:val="21"/>
        </w:rPr>
        <w:drawing>
          <wp:inline distT="0" distB="0" distL="0" distR="0">
            <wp:extent cx="3171825" cy="25241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171825" cy="2524125"/>
                    </a:xfrm>
                    <a:prstGeom prst="rect">
                      <a:avLst/>
                    </a:prstGeom>
                    <a:noFill/>
                    <a:ln>
                      <a:noFill/>
                    </a:ln>
                  </pic:spPr>
                </pic:pic>
              </a:graphicData>
            </a:graphic>
          </wp:inline>
        </w:drawing>
      </w:r>
    </w:p>
    <w:p w14:paraId="115E7410">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 xml:space="preserve">Fig. S3. </w:t>
      </w:r>
      <w:bookmarkStart w:id="4" w:name="OLE_LINK6"/>
      <w:r>
        <w:rPr>
          <w:rFonts w:ascii="Times New Roman" w:hAnsi="Times New Roman" w:cs="Times New Roman"/>
          <w:b/>
          <w:bCs/>
          <w:color w:val="000000" w:themeColor="text1"/>
          <w:szCs w:val="21"/>
          <w14:textFill>
            <w14:solidFill>
              <w14:schemeClr w14:val="tx1"/>
            </w14:solidFill>
          </w14:textFill>
        </w:rPr>
        <w:t>Effect</w:t>
      </w:r>
      <w:bookmarkEnd w:id="4"/>
      <w:r>
        <w:rPr>
          <w:rFonts w:ascii="Times New Roman" w:hAnsi="Times New Roman" w:cs="Times New Roman"/>
          <w:b/>
          <w:bCs/>
          <w:color w:val="000000" w:themeColor="text1"/>
          <w:szCs w:val="21"/>
          <w14:textFill>
            <w14:solidFill>
              <w14:schemeClr w14:val="tx1"/>
            </w14:solidFill>
          </w14:textFill>
        </w:rPr>
        <w:t xml:space="preserve"> of ultrasonic temperature on the extraction rate of polysaccharide</w:t>
      </w:r>
      <w:r>
        <w:rPr>
          <w:rFonts w:hint="eastAsia" w:ascii="Times New Roman" w:hAnsi="Times New Roman" w:cs="Times New Roman"/>
          <w:b/>
          <w:bCs/>
          <w:color w:val="000000" w:themeColor="text1"/>
          <w:szCs w:val="21"/>
          <w14:textFill>
            <w14:solidFill>
              <w14:schemeClr w14:val="tx1"/>
            </w14:solidFill>
          </w14:textFill>
        </w:rPr>
        <w:t>s</w:t>
      </w:r>
    </w:p>
    <w:p w14:paraId="6F975304">
      <w:pPr>
        <w:ind w:firstLine="422"/>
        <w:jc w:val="center"/>
        <w:rPr>
          <w:rFonts w:cs="Times New Roman"/>
          <w:b/>
          <w:bCs/>
          <w:color w:val="000000" w:themeColor="text1"/>
          <w:szCs w:val="21"/>
          <w14:textFill>
            <w14:solidFill>
              <w14:schemeClr w14:val="tx1"/>
            </w14:solidFill>
          </w14:textFill>
        </w:rPr>
      </w:pPr>
    </w:p>
    <w:p w14:paraId="1B58AC0D">
      <w:pPr>
        <w:jc w:val="center"/>
        <w:rPr>
          <w:rFonts w:cs="Times New Roman"/>
          <w:szCs w:val="21"/>
        </w:rPr>
      </w:pPr>
      <w:r>
        <w:rPr>
          <w:rFonts w:cs="Times New Roman"/>
          <w:szCs w:val="21"/>
        </w:rPr>
        <w:drawing>
          <wp:inline distT="0" distB="0" distL="0" distR="0">
            <wp:extent cx="3427095" cy="2381250"/>
            <wp:effectExtent l="0" t="0" r="190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427095" cy="2381250"/>
                    </a:xfrm>
                    <a:prstGeom prst="rect">
                      <a:avLst/>
                    </a:prstGeom>
                    <a:noFill/>
                    <a:ln>
                      <a:noFill/>
                    </a:ln>
                  </pic:spPr>
                </pic:pic>
              </a:graphicData>
            </a:graphic>
          </wp:inline>
        </w:drawing>
      </w:r>
    </w:p>
    <w:p w14:paraId="33CD4245">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Fig S4. Effect of extraction time on the extraction rate of polysaccharides</w:t>
      </w:r>
    </w:p>
    <w:p w14:paraId="647418D9">
      <w:pPr>
        <w:rPr>
          <w:rFonts w:ascii="Times New Roman" w:hAnsi="Times New Roman" w:cs="Times New Roman"/>
          <w:b/>
          <w:sz w:val="32"/>
        </w:rPr>
      </w:pPr>
    </w:p>
    <w:p w14:paraId="54EA171F">
      <w:pPr>
        <w:ind w:firstLine="420"/>
        <w:jc w:val="center"/>
        <w:rPr>
          <w:rFonts w:cs="Times New Roman"/>
          <w:szCs w:val="21"/>
        </w:rPr>
      </w:pPr>
      <w:r>
        <w:rPr>
          <w:rFonts w:cs="Times New Roman"/>
          <w:szCs w:val="21"/>
        </w:rPr>
        <w:drawing>
          <wp:inline distT="0" distB="0" distL="0" distR="0">
            <wp:extent cx="3129915" cy="2134870"/>
            <wp:effectExtent l="0" t="0" r="698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129915" cy="2134870"/>
                    </a:xfrm>
                    <a:prstGeom prst="rect">
                      <a:avLst/>
                    </a:prstGeom>
                    <a:noFill/>
                    <a:ln>
                      <a:noFill/>
                    </a:ln>
                  </pic:spPr>
                </pic:pic>
              </a:graphicData>
            </a:graphic>
          </wp:inline>
        </w:drawing>
      </w:r>
    </w:p>
    <w:p w14:paraId="3385D562">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Fig S5. Effect of ultrasonic power on the extraction rate of polysaccharides</w:t>
      </w:r>
    </w:p>
    <w:p w14:paraId="3057D144">
      <w:pPr>
        <w:jc w:val="center"/>
        <w:rPr>
          <w:rFonts w:cs="Times New Roman"/>
          <w:b/>
          <w:bCs/>
          <w:color w:val="000000" w:themeColor="text1"/>
          <w:szCs w:val="21"/>
          <w14:textFill>
            <w14:solidFill>
              <w14:schemeClr w14:val="tx1"/>
            </w14:solidFill>
          </w14:textFill>
        </w:rPr>
      </w:pPr>
    </w:p>
    <w:p w14:paraId="339693A8">
      <w:pPr>
        <w:jc w:val="center"/>
        <w:rPr>
          <w:rFonts w:hint="eastAsia" w:cs="Times New Roman" w:eastAsiaTheme="minorEastAsia"/>
          <w:b/>
          <w:bCs/>
          <w:color w:val="000000" w:themeColor="text1"/>
          <w:szCs w:val="21"/>
          <w:lang w:eastAsia="zh-CN"/>
          <w14:textFill>
            <w14:solidFill>
              <w14:schemeClr w14:val="tx1"/>
            </w14:solidFill>
          </w14:textFill>
        </w:rPr>
      </w:pPr>
      <w:r>
        <w:rPr>
          <w:rFonts w:hint="eastAsia" w:cs="Times New Roman" w:eastAsiaTheme="minorEastAsia"/>
          <w:b/>
          <w:bCs/>
          <w:color w:val="000000" w:themeColor="text1"/>
          <w:szCs w:val="21"/>
          <w:lang w:eastAsia="zh-CN"/>
          <w14:textFill>
            <w14:solidFill>
              <w14:schemeClr w14:val="tx1"/>
            </w14:solidFill>
          </w14:textFill>
        </w:rPr>
        <w:drawing>
          <wp:inline distT="0" distB="0" distL="114300" distR="114300">
            <wp:extent cx="3659505" cy="8061325"/>
            <wp:effectExtent l="0" t="0" r="10795" b="3175"/>
            <wp:docPr id="5" name="图片 5" descr="响应面图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响应面图_02"/>
                    <pic:cNvPicPr>
                      <a:picLocks noChangeAspect="1"/>
                    </pic:cNvPicPr>
                  </pic:nvPicPr>
                  <pic:blipFill>
                    <a:blip r:embed="rId9"/>
                    <a:srcRect r="43671" b="4997"/>
                    <a:stretch>
                      <a:fillRect/>
                    </a:stretch>
                  </pic:blipFill>
                  <pic:spPr>
                    <a:xfrm>
                      <a:off x="0" y="0"/>
                      <a:ext cx="3659505" cy="8061325"/>
                    </a:xfrm>
                    <a:prstGeom prst="rect">
                      <a:avLst/>
                    </a:prstGeom>
                  </pic:spPr>
                </pic:pic>
              </a:graphicData>
            </a:graphic>
          </wp:inline>
        </w:drawing>
      </w:r>
      <w:bookmarkStart w:id="5" w:name="_GoBack"/>
      <w:bookmarkEnd w:id="5"/>
    </w:p>
    <w:p w14:paraId="03747460">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Fig</w:t>
      </w:r>
      <w:r>
        <w:rPr>
          <w:rFonts w:hint="eastAsia" w:ascii="Times New Roman" w:hAnsi="Times New Roman" w:cs="Times New Roman"/>
          <w:b/>
          <w:bCs/>
          <w:color w:val="000000" w:themeColor="text1"/>
          <w:szCs w:val="21"/>
          <w14:textFill>
            <w14:solidFill>
              <w14:schemeClr w14:val="tx1"/>
            </w14:solidFill>
          </w14:textFill>
        </w:rPr>
        <w:t>.</w:t>
      </w:r>
      <w:r>
        <w:rPr>
          <w:rFonts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b/>
          <w:bCs/>
          <w:color w:val="000000" w:themeColor="text1"/>
          <w:szCs w:val="21"/>
          <w:lang w:val="en-US" w:eastAsia="zh-CN"/>
          <w14:textFill>
            <w14:solidFill>
              <w14:schemeClr w14:val="tx1"/>
            </w14:solidFill>
          </w14:textFill>
        </w:rPr>
        <w:t>S6</w:t>
      </w:r>
      <w:r>
        <w:rPr>
          <w:rFonts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b/>
          <w:bCs/>
          <w:color w:val="000000" w:themeColor="text1"/>
          <w:szCs w:val="21"/>
          <w:lang w:val="en-US" w:eastAsia="zh-CN"/>
          <w14:textFill>
            <w14:solidFill>
              <w14:schemeClr w14:val="tx1"/>
            </w14:solidFill>
          </w14:textFill>
        </w:rPr>
        <w:t>C</w:t>
      </w:r>
      <w:r>
        <w:rPr>
          <w:rFonts w:hint="eastAsia" w:ascii="Times New Roman" w:hAnsi="Times New Roman" w:cs="Times New Roman"/>
          <w:b/>
          <w:bCs/>
          <w:color w:val="000000" w:themeColor="text1"/>
          <w:szCs w:val="21"/>
          <w14:textFill>
            <w14:solidFill>
              <w14:schemeClr w14:val="tx1"/>
            </w14:solidFill>
          </w14:textFill>
        </w:rPr>
        <w:t>ontour map (right)</w:t>
      </w:r>
      <w:r>
        <w:rPr>
          <w:rFonts w:ascii="Times New Roman" w:hAnsi="Times New Roman" w:cs="Times New Roman"/>
          <w:b/>
          <w:bCs/>
          <w:color w:val="000000" w:themeColor="text1"/>
          <w:szCs w:val="21"/>
          <w14:textFill>
            <w14:solidFill>
              <w14:schemeClr w14:val="tx1"/>
            </w14:solidFill>
          </w14:textFill>
        </w:rPr>
        <w:t xml:space="preserve"> of the two independent variables interdependency</w:t>
      </w:r>
      <w:r>
        <w:rPr>
          <w:rFonts w:hint="eastAsia" w:ascii="Times New Roman" w:hAnsi="Times New Roman" w:cs="Times New Roman"/>
          <w:b/>
          <w:bCs/>
          <w:color w:val="000000" w:themeColor="text1"/>
          <w:szCs w:val="21"/>
          <w14:textFill>
            <w14:solidFill>
              <w14:schemeClr w14:val="tx1"/>
            </w14:solidFill>
          </w14:textFill>
        </w:rPr>
        <w:t xml:space="preserve">: </w:t>
      </w:r>
      <w:r>
        <w:rPr>
          <w:rFonts w:ascii="Times New Roman" w:hAnsi="Times New Roman" w:cs="Times New Roman"/>
          <w:b/>
          <w:bCs/>
          <w:color w:val="000000" w:themeColor="text1"/>
          <w:szCs w:val="21"/>
          <w14:textFill>
            <w14:solidFill>
              <w14:schemeClr w14:val="tx1"/>
            </w14:solidFill>
          </w14:textFill>
        </w:rPr>
        <w:t xml:space="preserve">ultrasonic time and ultrasonic temperature </w:t>
      </w:r>
      <w:r>
        <w:rPr>
          <w:rFonts w:hint="eastAsia" w:ascii="Times New Roman" w:hAnsi="Times New Roman" w:cs="Times New Roman"/>
          <w:b/>
          <w:bCs/>
          <w:color w:val="000000" w:themeColor="text1"/>
          <w:szCs w:val="21"/>
          <w14:textFill>
            <w14:solidFill>
              <w14:schemeClr w14:val="tx1"/>
            </w14:solidFill>
          </w14:textFill>
        </w:rPr>
        <w:t>(</w:t>
      </w:r>
      <w:r>
        <w:rPr>
          <w:rFonts w:ascii="Times New Roman" w:hAnsi="Times New Roman" w:cs="Times New Roman"/>
          <w:b/>
          <w:bCs/>
          <w:color w:val="000000" w:themeColor="text1"/>
          <w:szCs w:val="21"/>
          <w14:textFill>
            <w14:solidFill>
              <w14:schemeClr w14:val="tx1"/>
            </w14:solidFill>
          </w14:textFill>
        </w:rPr>
        <w:t>a</w:t>
      </w:r>
      <w:r>
        <w:rPr>
          <w:rFonts w:hint="eastAsia" w:ascii="Times New Roman" w:hAnsi="Times New Roman" w:cs="Times New Roman"/>
          <w:b/>
          <w:bCs/>
          <w:color w:val="000000" w:themeColor="text1"/>
          <w:szCs w:val="21"/>
          <w14:textFill>
            <w14:solidFill>
              <w14:schemeClr w14:val="tx1"/>
            </w14:solidFill>
          </w14:textFill>
        </w:rPr>
        <w:t>),</w:t>
      </w:r>
      <w:r>
        <w:rPr>
          <w:rFonts w:ascii="Times New Roman" w:hAnsi="Times New Roman" w:cs="Times New Roman"/>
          <w:b/>
          <w:bCs/>
          <w:color w:val="000000" w:themeColor="text1"/>
          <w:szCs w:val="21"/>
          <w14:textFill>
            <w14:solidFill>
              <w14:schemeClr w14:val="tx1"/>
            </w14:solidFill>
          </w14:textFill>
        </w:rPr>
        <w:t xml:space="preserve"> ultrasonic time and ultrasonic power </w:t>
      </w:r>
      <w:r>
        <w:rPr>
          <w:rFonts w:hint="eastAsia" w:ascii="Times New Roman" w:hAnsi="Times New Roman" w:cs="Times New Roman"/>
          <w:b/>
          <w:bCs/>
          <w:color w:val="000000" w:themeColor="text1"/>
          <w:szCs w:val="21"/>
          <w14:textFill>
            <w14:solidFill>
              <w14:schemeClr w14:val="tx1"/>
            </w14:solidFill>
          </w14:textFill>
        </w:rPr>
        <w:t>(</w:t>
      </w:r>
      <w:r>
        <w:rPr>
          <w:rFonts w:ascii="Times New Roman" w:hAnsi="Times New Roman" w:cs="Times New Roman"/>
          <w:b/>
          <w:bCs/>
          <w:color w:val="000000" w:themeColor="text1"/>
          <w:szCs w:val="21"/>
          <w14:textFill>
            <w14:solidFill>
              <w14:schemeClr w14:val="tx1"/>
            </w14:solidFill>
          </w14:textFill>
        </w:rPr>
        <w:t>b</w:t>
      </w:r>
      <w:r>
        <w:rPr>
          <w:rFonts w:hint="eastAsia" w:ascii="Times New Roman" w:hAnsi="Times New Roman" w:cs="Times New Roman"/>
          <w:b/>
          <w:bCs/>
          <w:color w:val="000000" w:themeColor="text1"/>
          <w:szCs w:val="21"/>
          <w14:textFill>
            <w14:solidFill>
              <w14:schemeClr w14:val="tx1"/>
            </w14:solidFill>
          </w14:textFill>
        </w:rPr>
        <w:t>) and</w:t>
      </w:r>
      <w:r>
        <w:rPr>
          <w:rFonts w:ascii="Times New Roman" w:hAnsi="Times New Roman" w:cs="Times New Roman"/>
          <w:b/>
          <w:bCs/>
          <w:color w:val="000000" w:themeColor="text1"/>
          <w:szCs w:val="21"/>
          <w14:textFill>
            <w14:solidFill>
              <w14:schemeClr w14:val="tx1"/>
            </w14:solidFill>
          </w14:textFill>
        </w:rPr>
        <w:t xml:space="preserve"> ultrasonic temperature and ultrasonic power </w:t>
      </w:r>
      <w:r>
        <w:rPr>
          <w:rFonts w:hint="eastAsia" w:ascii="Times New Roman" w:hAnsi="Times New Roman" w:cs="Times New Roman"/>
          <w:b/>
          <w:bCs/>
          <w:color w:val="000000" w:themeColor="text1"/>
          <w:szCs w:val="21"/>
          <w14:textFill>
            <w14:solidFill>
              <w14:schemeClr w14:val="tx1"/>
            </w14:solidFill>
          </w14:textFill>
        </w:rPr>
        <w:t>(</w:t>
      </w:r>
      <w:r>
        <w:rPr>
          <w:rFonts w:ascii="Times New Roman" w:hAnsi="Times New Roman" w:cs="Times New Roman"/>
          <w:b/>
          <w:bCs/>
          <w:color w:val="000000" w:themeColor="text1"/>
          <w:szCs w:val="21"/>
          <w14:textFill>
            <w14:solidFill>
              <w14:schemeClr w14:val="tx1"/>
            </w14:solidFill>
          </w14:textFill>
        </w:rPr>
        <w:t>c</w:t>
      </w:r>
      <w:r>
        <w:rPr>
          <w:rFonts w:hint="eastAsia" w:ascii="Times New Roman" w:hAnsi="Times New Roman" w:cs="Times New Roman"/>
          <w:b/>
          <w:bCs/>
          <w:color w:val="000000" w:themeColor="text1"/>
          <w:szCs w:val="21"/>
          <w14:textFill>
            <w14:solidFill>
              <w14:schemeClr w14:val="tx1"/>
            </w14:solidFill>
          </w14:textFill>
        </w:rPr>
        <w:t>).</w:t>
      </w:r>
      <w:r>
        <w:rPr>
          <w:rFonts w:ascii="Times New Roman" w:hAnsi="Times New Roman" w:cs="Times New Roman"/>
          <w:b/>
          <w:bCs/>
          <w:color w:val="000000" w:themeColor="text1"/>
          <w:szCs w:val="21"/>
          <w14:textFill>
            <w14:solidFill>
              <w14:schemeClr w14:val="tx1"/>
            </w14:solidFill>
          </w14:textFill>
        </w:rPr>
        <w:t xml:space="preserve"> </w:t>
      </w:r>
    </w:p>
    <w:p w14:paraId="68637E53">
      <w:pPr>
        <w:jc w:val="center"/>
        <w:rPr>
          <w:rFonts w:cs="Times New Roman"/>
          <w:b/>
          <w:bCs/>
          <w:color w:val="000000" w:themeColor="text1"/>
          <w:szCs w:val="21"/>
          <w14:textFill>
            <w14:solidFill>
              <w14:schemeClr w14:val="tx1"/>
            </w14:solidFill>
          </w14:textFill>
        </w:rPr>
      </w:pPr>
    </w:p>
    <w:p w14:paraId="3403EE2D">
      <w:pPr>
        <w:rPr>
          <w:rFonts w:ascii="Times New Roman" w:hAnsi="Times New Roman" w:cs="Times New Roman"/>
          <w:b/>
          <w:sz w:val="32"/>
        </w:rPr>
      </w:pPr>
    </w:p>
    <w:p w14:paraId="15D51156">
      <w:pPr>
        <w:ind w:firstLine="420"/>
        <w:jc w:val="center"/>
        <w:rPr>
          <w:rFonts w:cs="Times New Roman"/>
          <w:szCs w:val="21"/>
        </w:rPr>
      </w:pPr>
      <w:r>
        <w:rPr>
          <w:rFonts w:cs="Times New Roman"/>
          <w:szCs w:val="21"/>
        </w:rPr>
        <w:drawing>
          <wp:inline distT="0" distB="0" distL="114300" distR="114300">
            <wp:extent cx="5578475" cy="2314575"/>
            <wp:effectExtent l="0" t="0" r="3175" b="0"/>
            <wp:docPr id="3" name="图片 3"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标题-3"/>
                    <pic:cNvPicPr>
                      <a:picLocks noChangeAspect="1"/>
                    </pic:cNvPicPr>
                  </pic:nvPicPr>
                  <pic:blipFill>
                    <a:blip r:embed="rId10"/>
                    <a:stretch>
                      <a:fillRect/>
                    </a:stretch>
                  </pic:blipFill>
                  <pic:spPr>
                    <a:xfrm>
                      <a:off x="0" y="0"/>
                      <a:ext cx="5595233" cy="2321284"/>
                    </a:xfrm>
                    <a:prstGeom prst="rect">
                      <a:avLst/>
                    </a:prstGeom>
                  </pic:spPr>
                </pic:pic>
              </a:graphicData>
            </a:graphic>
          </wp:inline>
        </w:drawing>
      </w:r>
    </w:p>
    <w:p w14:paraId="2A06D3AE">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Fig. S</w:t>
      </w:r>
      <w:r>
        <w:rPr>
          <w:rFonts w:hint="eastAsia" w:ascii="Times New Roman" w:hAnsi="Times New Roman" w:cs="Times New Roman"/>
          <w:b/>
          <w:bCs/>
          <w:color w:val="000000" w:themeColor="text1"/>
          <w:szCs w:val="21"/>
          <w:lang w:val="en-US" w:eastAsia="zh-CN"/>
          <w14:textFill>
            <w14:solidFill>
              <w14:schemeClr w14:val="tx1"/>
            </w14:solidFill>
          </w14:textFill>
        </w:rPr>
        <w:t>7</w:t>
      </w:r>
      <w:r>
        <w:rPr>
          <w:rFonts w:ascii="Times New Roman" w:hAnsi="Times New Roman" w:cs="Times New Roman"/>
          <w:b/>
          <w:bCs/>
          <w:color w:val="000000" w:themeColor="text1"/>
          <w:szCs w:val="21"/>
          <w14:textFill>
            <w14:solidFill>
              <w14:schemeClr w14:val="tx1"/>
            </w14:solidFill>
          </w14:textFill>
        </w:rPr>
        <w:t>. Fourier transform infrared spectrum of A. dahurica polysaccharide</w:t>
      </w:r>
    </w:p>
    <w:p w14:paraId="62F37FF8">
      <w:pPr>
        <w:rPr>
          <w:rFonts w:ascii="Times New Roman" w:hAnsi="Times New Roman" w:cs="Times New Roman"/>
          <w:b/>
          <w:sz w:val="32"/>
        </w:rPr>
      </w:pPr>
    </w:p>
    <w:p w14:paraId="32812B0E">
      <w:pPr>
        <w:jc w:val="center"/>
        <w:rPr>
          <w:rFonts w:cs="Times New Roman"/>
          <w:sz w:val="28"/>
          <w:szCs w:val="28"/>
        </w:rPr>
      </w:pPr>
      <w:r>
        <w:rPr>
          <w:rFonts w:hint="eastAsia" w:cs="Times New Roman"/>
          <w:sz w:val="28"/>
          <w:szCs w:val="28"/>
        </w:rPr>
        <w:drawing>
          <wp:inline distT="0" distB="0" distL="114300" distR="114300">
            <wp:extent cx="6034405" cy="4467225"/>
            <wp:effectExtent l="0" t="0" r="4445" b="0"/>
            <wp:docPr id="13" name="图片 13" descr="GO_Three_Ont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O_Three_Ontologies"/>
                    <pic:cNvPicPr>
                      <a:picLocks noChangeAspect="1"/>
                    </pic:cNvPicPr>
                  </pic:nvPicPr>
                  <pic:blipFill>
                    <a:blip r:embed="rId11"/>
                    <a:stretch>
                      <a:fillRect/>
                    </a:stretch>
                  </pic:blipFill>
                  <pic:spPr>
                    <a:xfrm>
                      <a:off x="0" y="0"/>
                      <a:ext cx="6045199" cy="4475004"/>
                    </a:xfrm>
                    <a:prstGeom prst="rect">
                      <a:avLst/>
                    </a:prstGeom>
                  </pic:spPr>
                </pic:pic>
              </a:graphicData>
            </a:graphic>
          </wp:inline>
        </w:drawing>
      </w:r>
    </w:p>
    <w:p w14:paraId="205D8963">
      <w:pPr>
        <w:ind w:firstLine="422"/>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 xml:space="preserve">Fig </w:t>
      </w:r>
      <w:r>
        <w:rPr>
          <w:rFonts w:hint="eastAsia" w:cs="Times New Roman"/>
          <w:b/>
          <w:bCs/>
          <w:color w:val="000000" w:themeColor="text1"/>
          <w:szCs w:val="21"/>
          <w14:textFill>
            <w14:solidFill>
              <w14:schemeClr w14:val="tx1"/>
            </w14:solidFill>
          </w14:textFill>
        </w:rPr>
        <w:t>S</w:t>
      </w:r>
      <w:r>
        <w:rPr>
          <w:rFonts w:hint="eastAsia" w:cs="Times New Roman"/>
          <w:b/>
          <w:bCs/>
          <w:color w:val="000000" w:themeColor="text1"/>
          <w:szCs w:val="21"/>
          <w:lang w:val="en-US" w:eastAsia="zh-CN"/>
          <w14:textFill>
            <w14:solidFill>
              <w14:schemeClr w14:val="tx1"/>
            </w14:solidFill>
          </w14:textFill>
        </w:rPr>
        <w:t>8</w:t>
      </w:r>
      <w:r>
        <w:rPr>
          <w:rFonts w:cs="Times New Roman"/>
          <w:b/>
          <w:bCs/>
          <w:color w:val="000000" w:themeColor="text1"/>
          <w:szCs w:val="21"/>
          <w14:textFill>
            <w14:solidFill>
              <w14:schemeClr w14:val="tx1"/>
            </w14:solidFill>
          </w14:textFill>
        </w:rPr>
        <w:t>. GO enrichment analysis for the intersection targets.</w:t>
      </w:r>
    </w:p>
    <w:p w14:paraId="3F6C5183">
      <w:pPr>
        <w:ind w:firstLine="420"/>
        <w:rPr>
          <w:rFonts w:ascii="Times New Roman" w:hAnsi="Times New Roman" w:cs="Times New Roman"/>
          <w:szCs w:val="21"/>
        </w:rPr>
      </w:pPr>
    </w:p>
    <w:p w14:paraId="397FF16C">
      <w:pPr>
        <w:ind w:firstLine="420"/>
        <w:rPr>
          <w:rFonts w:ascii="Times New Roman" w:hAnsi="Times New Roman" w:cs="Times New Roman"/>
          <w:szCs w:val="21"/>
        </w:rPr>
      </w:pPr>
      <w:r>
        <w:rPr>
          <w:rFonts w:ascii="Times New Roman" w:hAnsi="Times New Roman" w:cs="Times New Roman"/>
          <w:szCs w:val="21"/>
        </w:rPr>
        <w:t>BP mainly includes: response to oxidative stress, cellular response to chemical stress, reactive oxygen species metabolic process, glutathione metabolic process. CC mainly includes: ficolin-1-rich granule, caveola, plasma membrane raft, secretory granule lumen, cytoplasmic vesicle lumen, vesicle lumen, membrane raft, membrane region. MF mainly includes: antioxidant activity, glutathione transferase activity, peroxidase activity. NADP binding, heme binding, oxidoreductase activity, tetrapyrrole binding, MAP kinase activity.</w:t>
      </w:r>
    </w:p>
    <w:p w14:paraId="7C5D861C">
      <w:pPr>
        <w:ind w:firstLine="422"/>
        <w:rPr>
          <w:rFonts w:cs="Times New Roman"/>
          <w:b/>
          <w:bCs/>
          <w:color w:val="000000" w:themeColor="text1"/>
          <w:szCs w:val="21"/>
          <w14:textFill>
            <w14:solidFill>
              <w14:schemeClr w14:val="tx1"/>
            </w14:solidFill>
          </w14:textFill>
        </w:rPr>
      </w:pPr>
    </w:p>
    <w:p w14:paraId="2AEEE41F">
      <w:pPr>
        <w:ind w:firstLine="422"/>
        <w:rPr>
          <w:rFonts w:cs="Times New Roman"/>
          <w:b/>
          <w:bCs/>
          <w:color w:val="000000" w:themeColor="text1"/>
          <w:szCs w:val="21"/>
          <w14:textFill>
            <w14:solidFill>
              <w14:schemeClr w14:val="tx1"/>
            </w14:solidFill>
          </w14:textFill>
        </w:rPr>
      </w:pPr>
    </w:p>
    <w:p w14:paraId="29B24E28">
      <w:pPr>
        <w:jc w:val="center"/>
        <w:rPr>
          <w:rFonts w:cs="Times New Roman"/>
          <w:sz w:val="28"/>
          <w:szCs w:val="28"/>
        </w:rPr>
      </w:pPr>
      <w:r>
        <w:rPr>
          <w:rFonts w:cs="Times New Roman"/>
          <w:sz w:val="28"/>
          <w:szCs w:val="28"/>
        </w:rPr>
        <w:drawing>
          <wp:inline distT="0" distB="0" distL="114300" distR="114300">
            <wp:extent cx="5758815" cy="4114800"/>
            <wp:effectExtent l="0" t="0" r="0" b="0"/>
            <wp:docPr id="14" name="图片 14" descr="K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KEGG"/>
                    <pic:cNvPicPr>
                      <a:picLocks noChangeAspect="1"/>
                    </pic:cNvPicPr>
                  </pic:nvPicPr>
                  <pic:blipFill>
                    <a:blip r:embed="rId12"/>
                    <a:stretch>
                      <a:fillRect/>
                    </a:stretch>
                  </pic:blipFill>
                  <pic:spPr>
                    <a:xfrm>
                      <a:off x="0" y="0"/>
                      <a:ext cx="5779546" cy="4129592"/>
                    </a:xfrm>
                    <a:prstGeom prst="rect">
                      <a:avLst/>
                    </a:prstGeom>
                  </pic:spPr>
                </pic:pic>
              </a:graphicData>
            </a:graphic>
          </wp:inline>
        </w:drawing>
      </w:r>
    </w:p>
    <w:p w14:paraId="386D26A7">
      <w:pPr>
        <w:ind w:firstLine="422"/>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Fig. S</w:t>
      </w:r>
      <w:r>
        <w:rPr>
          <w:rFonts w:hint="eastAsia" w:ascii="Times New Roman" w:hAnsi="Times New Roman" w:cs="Times New Roman"/>
          <w:b/>
          <w:bCs/>
          <w:color w:val="000000" w:themeColor="text1"/>
          <w:szCs w:val="21"/>
          <w:lang w:val="en-US" w:eastAsia="zh-CN"/>
          <w14:textFill>
            <w14:solidFill>
              <w14:schemeClr w14:val="tx1"/>
            </w14:solidFill>
          </w14:textFill>
        </w:rPr>
        <w:t>9</w:t>
      </w:r>
      <w:r>
        <w:rPr>
          <w:rFonts w:ascii="Times New Roman" w:hAnsi="Times New Roman" w:cs="Times New Roman"/>
          <w:b/>
          <w:bCs/>
          <w:color w:val="000000" w:themeColor="text1"/>
          <w:szCs w:val="21"/>
          <w14:textFill>
            <w14:solidFill>
              <w14:schemeClr w14:val="tx1"/>
            </w14:solidFill>
          </w14:textFill>
        </w:rPr>
        <w:t>. Bar chart of KEGG enrichment analysis.</w:t>
      </w:r>
    </w:p>
    <w:p w14:paraId="4E70B181">
      <w:pPr>
        <w:ind w:firstLine="422"/>
        <w:jc w:val="center"/>
        <w:rPr>
          <w:rFonts w:ascii="Times New Roman" w:hAnsi="Times New Roman" w:cs="Times New Roman"/>
          <w:b/>
          <w:bCs/>
          <w:color w:val="000000" w:themeColor="text1"/>
          <w:szCs w:val="21"/>
          <w14:textFill>
            <w14:solidFill>
              <w14:schemeClr w14:val="tx1"/>
            </w14:solidFill>
          </w14:textFill>
        </w:rPr>
      </w:pPr>
    </w:p>
    <w:p w14:paraId="54567DB9">
      <w:pPr>
        <w:rPr>
          <w:rFonts w:ascii="Times New Roman" w:hAnsi="Times New Roman" w:cs="Times New Roman"/>
          <w:b/>
          <w:sz w:val="32"/>
        </w:rPr>
      </w:pPr>
      <w:r>
        <w:rPr>
          <w:rFonts w:ascii="Times New Roman" w:hAnsi="Times New Roman" w:cs="Times New Roman"/>
          <w:szCs w:val="21"/>
        </w:rPr>
        <w:t>A total of 88 KEGG pathways were predicted for the 23 intersecting target genes. The top ten pathways by gene count include Pathways in cancer, Metabolic pathways, Fluid shear stress and atherosclerosis, Chemical carcinogenesis-reactive oxygen species, and Lipid and atherosclerosis.</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NewRomanPS-BoldMT">
    <w:altName w:val="微软雅黑"/>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606E27"/>
    <w:multiLevelType w:val="multilevel"/>
    <w:tmpl w:val="1B606E2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2YjVhZjVhMjdiZjYyNTRmZjlhOWUyYTM1YmYzMjkifQ=="/>
  </w:docVars>
  <w:rsids>
    <w:rsidRoot w:val="00D22DA9"/>
    <w:rsid w:val="000F76E9"/>
    <w:rsid w:val="001044BA"/>
    <w:rsid w:val="001E2021"/>
    <w:rsid w:val="0024734E"/>
    <w:rsid w:val="002637B9"/>
    <w:rsid w:val="002B0D60"/>
    <w:rsid w:val="0033235B"/>
    <w:rsid w:val="003D25CF"/>
    <w:rsid w:val="003E7109"/>
    <w:rsid w:val="00406B0E"/>
    <w:rsid w:val="00484749"/>
    <w:rsid w:val="004D3DAA"/>
    <w:rsid w:val="00581F19"/>
    <w:rsid w:val="005A6467"/>
    <w:rsid w:val="00601290"/>
    <w:rsid w:val="006442C2"/>
    <w:rsid w:val="006805C6"/>
    <w:rsid w:val="006B4C79"/>
    <w:rsid w:val="00870CE6"/>
    <w:rsid w:val="008D181E"/>
    <w:rsid w:val="0096188C"/>
    <w:rsid w:val="009D18B3"/>
    <w:rsid w:val="00A15DD7"/>
    <w:rsid w:val="00A3698E"/>
    <w:rsid w:val="00B9347B"/>
    <w:rsid w:val="00CA6A64"/>
    <w:rsid w:val="00CA73FE"/>
    <w:rsid w:val="00CD4B32"/>
    <w:rsid w:val="00D0539B"/>
    <w:rsid w:val="00D22DA9"/>
    <w:rsid w:val="00DE5851"/>
    <w:rsid w:val="00E76503"/>
    <w:rsid w:val="00E84AD9"/>
    <w:rsid w:val="00E97962"/>
    <w:rsid w:val="00EB17AE"/>
    <w:rsid w:val="00ED61E0"/>
    <w:rsid w:val="00F01452"/>
    <w:rsid w:val="00F76B16"/>
    <w:rsid w:val="129A3B39"/>
    <w:rsid w:val="77D667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0"/>
    <w:pPr>
      <w:keepNext/>
      <w:keepLines/>
      <w:spacing w:before="50" w:beforeLines="50" w:after="50" w:afterLines="50" w:line="360" w:lineRule="auto"/>
      <w:outlineLvl w:val="0"/>
    </w:pPr>
    <w:rPr>
      <w:rFonts w:ascii="Times New Roman" w:hAnsi="Times New Roman"/>
      <w:b/>
      <w:kern w:val="44"/>
      <w:sz w:val="24"/>
      <w:szCs w:val="24"/>
    </w:rPr>
  </w:style>
  <w:style w:type="paragraph" w:styleId="3">
    <w:name w:val="heading 2"/>
    <w:basedOn w:val="1"/>
    <w:next w:val="1"/>
    <w:link w:val="13"/>
    <w:unhideWhenUsed/>
    <w:qFormat/>
    <w:uiPriority w:val="0"/>
    <w:pPr>
      <w:keepNext/>
      <w:keepLines/>
      <w:spacing w:line="360" w:lineRule="auto"/>
      <w:outlineLvl w:val="1"/>
    </w:pPr>
    <w:rPr>
      <w:rFonts w:ascii="Times New Roman" w:hAnsi="Times New Roman" w:eastAsia="黑体"/>
      <w:b/>
      <w:sz w:val="24"/>
      <w:szCs w:val="24"/>
    </w:rPr>
  </w:style>
  <w:style w:type="paragraph" w:styleId="4">
    <w:name w:val="heading 3"/>
    <w:basedOn w:val="1"/>
    <w:next w:val="1"/>
    <w:link w:val="14"/>
    <w:unhideWhenUsed/>
    <w:qFormat/>
    <w:uiPriority w:val="0"/>
    <w:pPr>
      <w:keepNext/>
      <w:keepLines/>
      <w:spacing w:line="360" w:lineRule="auto"/>
      <w:outlineLvl w:val="2"/>
    </w:pPr>
    <w:rPr>
      <w:rFonts w:ascii="Times New Roman" w:hAnsi="Times New Roman"/>
      <w:b/>
      <w:sz w:val="24"/>
      <w:szCs w:val="24"/>
    </w:rPr>
  </w:style>
  <w:style w:type="paragraph" w:styleId="5">
    <w:name w:val="heading 4"/>
    <w:basedOn w:val="1"/>
    <w:next w:val="1"/>
    <w:link w:val="18"/>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6">
    <w:name w:val="Balloon Text"/>
    <w:basedOn w:val="1"/>
    <w:link w:val="17"/>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1 字符"/>
    <w:basedOn w:val="11"/>
    <w:link w:val="2"/>
    <w:uiPriority w:val="0"/>
    <w:rPr>
      <w:rFonts w:ascii="Times New Roman" w:hAnsi="Times New Roman"/>
      <w:b/>
      <w:kern w:val="44"/>
      <w:sz w:val="24"/>
      <w:szCs w:val="24"/>
    </w:rPr>
  </w:style>
  <w:style w:type="character" w:customStyle="1" w:styleId="13">
    <w:name w:val="标题 2 字符"/>
    <w:basedOn w:val="11"/>
    <w:link w:val="3"/>
    <w:uiPriority w:val="0"/>
    <w:rPr>
      <w:rFonts w:ascii="Times New Roman" w:hAnsi="Times New Roman" w:eastAsia="黑体"/>
      <w:b/>
      <w:sz w:val="24"/>
      <w:szCs w:val="24"/>
    </w:rPr>
  </w:style>
  <w:style w:type="character" w:customStyle="1" w:styleId="14">
    <w:name w:val="标题 3 字符"/>
    <w:basedOn w:val="11"/>
    <w:link w:val="4"/>
    <w:qFormat/>
    <w:uiPriority w:val="0"/>
    <w:rPr>
      <w:rFonts w:ascii="Times New Roman" w:hAnsi="Times New Roman"/>
      <w:b/>
      <w:sz w:val="24"/>
      <w:szCs w:val="24"/>
    </w:rPr>
  </w:style>
  <w:style w:type="character" w:customStyle="1" w:styleId="15">
    <w:name w:val="页眉 字符"/>
    <w:basedOn w:val="11"/>
    <w:link w:val="8"/>
    <w:qFormat/>
    <w:uiPriority w:val="99"/>
    <w:rPr>
      <w:sz w:val="18"/>
      <w:szCs w:val="18"/>
    </w:rPr>
  </w:style>
  <w:style w:type="character" w:customStyle="1" w:styleId="16">
    <w:name w:val="页脚 字符"/>
    <w:basedOn w:val="11"/>
    <w:link w:val="7"/>
    <w:qFormat/>
    <w:uiPriority w:val="99"/>
    <w:rPr>
      <w:sz w:val="18"/>
      <w:szCs w:val="18"/>
    </w:rPr>
  </w:style>
  <w:style w:type="character" w:customStyle="1" w:styleId="17">
    <w:name w:val="批注框文本 字符"/>
    <w:basedOn w:val="11"/>
    <w:link w:val="6"/>
    <w:semiHidden/>
    <w:qFormat/>
    <w:uiPriority w:val="99"/>
    <w:rPr>
      <w:sz w:val="18"/>
      <w:szCs w:val="18"/>
    </w:rPr>
  </w:style>
  <w:style w:type="character" w:customStyle="1" w:styleId="18">
    <w:name w:val="标题 4 字符"/>
    <w:basedOn w:val="11"/>
    <w:link w:val="5"/>
    <w:semiHidden/>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tiff"/><Relationship Id="rId11" Type="http://schemas.openxmlformats.org/officeDocument/2006/relationships/image" Target="media/image8.png"/><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2032</Words>
  <Characters>11566</Characters>
  <Lines>95</Lines>
  <Paragraphs>26</Paragraphs>
  <TotalTime>1</TotalTime>
  <ScaleCrop>false</ScaleCrop>
  <LinksUpToDate>false</LinksUpToDate>
  <CharactersWithSpaces>13554</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2024-05-06T00:30:00Z</dcterms:created>
  <dc:creator>lenovo</dc:creator>
  <cp:lastModifiedBy>⊙ε⊙任性~</cp:lastModifiedBy>
  <dcterms:modified xsi:type="dcterms:W3CDTF">2024-09-28T02:53:27Z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EA921752F038402D8EDDAC25B44C0693_12</vt:lpwstr>
  </property>
</Properties>
</file>