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3ABD8" w14:textId="3481C639" w:rsidR="00BE53A3" w:rsidRDefault="00BE53A3" w:rsidP="00BE53A3">
      <w:pPr>
        <w:spacing w:afterLines="100" w:after="312" w:line="480" w:lineRule="auto"/>
        <w:jc w:val="center"/>
        <w:rPr>
          <w:rFonts w:cs="Times New Roman"/>
          <w:b/>
          <w:bCs/>
          <w:sz w:val="30"/>
          <w:szCs w:val="30"/>
        </w:rPr>
      </w:pPr>
      <w:r>
        <w:rPr>
          <w:rFonts w:cs="Times New Roman" w:hint="eastAsia"/>
          <w:b/>
          <w:bCs/>
          <w:sz w:val="30"/>
          <w:szCs w:val="30"/>
        </w:rPr>
        <w:t>S</w:t>
      </w:r>
      <w:r>
        <w:rPr>
          <w:rFonts w:cs="Times New Roman"/>
          <w:b/>
          <w:bCs/>
          <w:sz w:val="30"/>
          <w:szCs w:val="30"/>
        </w:rPr>
        <w:t>upplementary File</w:t>
      </w:r>
    </w:p>
    <w:p w14:paraId="20237BC5" w14:textId="77777777" w:rsidR="0041565F" w:rsidRPr="00BE53A3" w:rsidRDefault="009A3521" w:rsidP="00BE53A3">
      <w:pPr>
        <w:spacing w:afterLines="100" w:after="312" w:line="480" w:lineRule="auto"/>
        <w:jc w:val="center"/>
        <w:rPr>
          <w:rFonts w:cs="Times New Roman"/>
          <w:b/>
          <w:bCs/>
          <w:sz w:val="24"/>
        </w:rPr>
      </w:pPr>
      <w:r w:rsidRPr="00BE53A3">
        <w:rPr>
          <w:rFonts w:cs="Times New Roman"/>
          <w:b/>
          <w:bCs/>
          <w:sz w:val="24"/>
        </w:rPr>
        <w:t>Degradation of ribavirin by Fe</w:t>
      </w:r>
      <w:r w:rsidRPr="00BE53A3">
        <w:rPr>
          <w:rFonts w:cs="Times New Roman"/>
          <w:b/>
          <w:bCs/>
          <w:sz w:val="24"/>
          <w:vertAlign w:val="superscript"/>
        </w:rPr>
        <w:t>2+</w:t>
      </w:r>
      <w:r w:rsidRPr="00BE53A3">
        <w:rPr>
          <w:rFonts w:cs="Times New Roman"/>
          <w:b/>
          <w:bCs/>
          <w:sz w:val="24"/>
        </w:rPr>
        <w:t>/PS oxidation technology: performance, mechanism and toxicity control</w:t>
      </w:r>
    </w:p>
    <w:p w14:paraId="0C50092A" w14:textId="77777777" w:rsidR="0041565F" w:rsidRPr="00BE53A3" w:rsidRDefault="009A3521" w:rsidP="00BE53A3">
      <w:pPr>
        <w:spacing w:beforeLines="50" w:before="156" w:afterLines="50" w:after="156" w:line="480" w:lineRule="auto"/>
        <w:jc w:val="center"/>
        <w:rPr>
          <w:rFonts w:cs="Times New Roman"/>
          <w:iCs/>
          <w:sz w:val="24"/>
        </w:rPr>
      </w:pPr>
      <w:r w:rsidRPr="00BE53A3">
        <w:rPr>
          <w:rFonts w:cs="Times New Roman"/>
          <w:iCs/>
          <w:sz w:val="24"/>
        </w:rPr>
        <w:t>Xiaohui Sun</w:t>
      </w:r>
      <w:r w:rsidRPr="00BE53A3">
        <w:rPr>
          <w:rFonts w:cs="Times New Roman"/>
          <w:iCs/>
          <w:sz w:val="24"/>
          <w:vertAlign w:val="superscript"/>
        </w:rPr>
        <w:t xml:space="preserve"> a, b</w:t>
      </w:r>
      <w:r w:rsidRPr="00BE53A3">
        <w:rPr>
          <w:rFonts w:cs="Times New Roman"/>
          <w:iCs/>
          <w:sz w:val="24"/>
        </w:rPr>
        <w:t>, Wei Li</w:t>
      </w:r>
      <w:r w:rsidRPr="00BE53A3">
        <w:rPr>
          <w:rFonts w:cs="Times New Roman"/>
          <w:iCs/>
          <w:sz w:val="24"/>
          <w:vertAlign w:val="superscript"/>
        </w:rPr>
        <w:t xml:space="preserve"> c</w:t>
      </w:r>
      <w:r w:rsidRPr="00BE53A3">
        <w:rPr>
          <w:rFonts w:cs="Times New Roman"/>
          <w:iCs/>
          <w:sz w:val="24"/>
        </w:rPr>
        <w:t>, Zijun Dong</w:t>
      </w:r>
      <w:r w:rsidRPr="00BE53A3">
        <w:rPr>
          <w:rFonts w:cs="Times New Roman"/>
          <w:iCs/>
          <w:sz w:val="24"/>
          <w:vertAlign w:val="superscript"/>
        </w:rPr>
        <w:t xml:space="preserve"> a, b, *</w:t>
      </w:r>
      <w:r w:rsidRPr="00BE53A3">
        <w:rPr>
          <w:rFonts w:cs="Times New Roman"/>
          <w:iCs/>
          <w:sz w:val="24"/>
        </w:rPr>
        <w:t>, Yunhe Hou</w:t>
      </w:r>
      <w:r w:rsidRPr="00BE53A3">
        <w:rPr>
          <w:rFonts w:cs="Times New Roman"/>
          <w:iCs/>
          <w:sz w:val="24"/>
          <w:vertAlign w:val="superscript"/>
        </w:rPr>
        <w:t xml:space="preserve"> c</w:t>
      </w:r>
      <w:r w:rsidRPr="00BE53A3">
        <w:rPr>
          <w:rFonts w:cs="Times New Roman"/>
          <w:iCs/>
          <w:sz w:val="24"/>
        </w:rPr>
        <w:t>, Yuyang Ning</w:t>
      </w:r>
      <w:r w:rsidRPr="00BE53A3">
        <w:rPr>
          <w:rFonts w:cs="Times New Roman"/>
          <w:iCs/>
          <w:sz w:val="24"/>
          <w:vertAlign w:val="superscript"/>
        </w:rPr>
        <w:t xml:space="preserve"> c</w:t>
      </w:r>
      <w:r w:rsidRPr="00BE53A3">
        <w:rPr>
          <w:rFonts w:cs="Times New Roman"/>
          <w:iCs/>
          <w:sz w:val="24"/>
        </w:rPr>
        <w:t>, Chenyu Wang</w:t>
      </w:r>
      <w:r w:rsidRPr="00BE53A3">
        <w:rPr>
          <w:rFonts w:cs="Times New Roman"/>
          <w:iCs/>
          <w:sz w:val="24"/>
          <w:vertAlign w:val="superscript"/>
        </w:rPr>
        <w:t xml:space="preserve"> d, *</w:t>
      </w:r>
      <w:r w:rsidRPr="00BE53A3">
        <w:rPr>
          <w:rFonts w:cs="Times New Roman"/>
          <w:iCs/>
          <w:sz w:val="24"/>
        </w:rPr>
        <w:t>, Guo Lv</w:t>
      </w:r>
      <w:r w:rsidRPr="00BE53A3">
        <w:rPr>
          <w:rFonts w:cs="Times New Roman"/>
          <w:iCs/>
          <w:sz w:val="24"/>
          <w:vertAlign w:val="superscript"/>
        </w:rPr>
        <w:t xml:space="preserve"> a</w:t>
      </w:r>
    </w:p>
    <w:p w14:paraId="757C4681" w14:textId="77777777" w:rsidR="0041565F" w:rsidRPr="00BE53A3" w:rsidRDefault="009A3521" w:rsidP="00BE53A3">
      <w:pPr>
        <w:spacing w:line="480" w:lineRule="auto"/>
        <w:rPr>
          <w:rFonts w:cs="Times New Roman"/>
          <w:sz w:val="24"/>
          <w:lang w:val="en-GB"/>
        </w:rPr>
      </w:pPr>
      <w:r w:rsidRPr="00BE53A3">
        <w:rPr>
          <w:rFonts w:cs="Times New Roman"/>
          <w:sz w:val="24"/>
          <w:lang w:val="en-GB"/>
        </w:rPr>
        <w:t>a College of Civil and Transportation Engineering, the Underground Polis Academy, Shenzhen University, Shenzhen, 518060, China</w:t>
      </w:r>
    </w:p>
    <w:p w14:paraId="3BA9B02F" w14:textId="77777777" w:rsidR="0041565F" w:rsidRPr="00BE53A3" w:rsidRDefault="009A3521" w:rsidP="00BE53A3">
      <w:pPr>
        <w:spacing w:line="480" w:lineRule="auto"/>
        <w:rPr>
          <w:rFonts w:cs="Times New Roman"/>
          <w:sz w:val="24"/>
          <w:lang w:val="en-GB"/>
        </w:rPr>
      </w:pPr>
      <w:r w:rsidRPr="00BE53A3">
        <w:rPr>
          <w:rFonts w:cs="Times New Roman"/>
          <w:sz w:val="24"/>
          <w:lang w:val="en-GB"/>
        </w:rPr>
        <w:t>b State Key Laboratory·of Intelligent Geotechnics and Tunnelling(Shenzhen University),Shenzhen</w:t>
      </w:r>
      <w:r w:rsidRPr="00BE53A3">
        <w:rPr>
          <w:rFonts w:cs="Times New Roman"/>
          <w:sz w:val="24"/>
        </w:rPr>
        <w:t xml:space="preserve">, </w:t>
      </w:r>
      <w:r w:rsidRPr="00BE53A3">
        <w:rPr>
          <w:rFonts w:cs="Times New Roman"/>
          <w:sz w:val="24"/>
          <w:lang w:val="en-GB"/>
        </w:rPr>
        <w:t>518060, China</w:t>
      </w:r>
    </w:p>
    <w:p w14:paraId="77D8D582" w14:textId="77777777" w:rsidR="0041565F" w:rsidRPr="00BE53A3" w:rsidRDefault="009A3521" w:rsidP="00BE53A3">
      <w:pPr>
        <w:spacing w:line="480" w:lineRule="auto"/>
        <w:rPr>
          <w:rFonts w:cs="Times New Roman"/>
          <w:sz w:val="24"/>
          <w:lang w:val="en-GB"/>
        </w:rPr>
      </w:pPr>
      <w:r w:rsidRPr="00BE53A3">
        <w:rPr>
          <w:rFonts w:cs="Times New Roman"/>
          <w:sz w:val="24"/>
          <w:lang w:val="en-GB"/>
        </w:rPr>
        <w:t>c Shenyang Jianzhu University, College of Municipal and Environmental Engineering,</w:t>
      </w:r>
      <w:r w:rsidRPr="00BE53A3">
        <w:rPr>
          <w:rFonts w:cs="Times New Roman"/>
          <w:sz w:val="24"/>
        </w:rPr>
        <w:t xml:space="preserve"> </w:t>
      </w:r>
      <w:r w:rsidRPr="00BE53A3">
        <w:rPr>
          <w:rFonts w:cs="Times New Roman"/>
          <w:sz w:val="24"/>
          <w:lang w:val="en-GB"/>
        </w:rPr>
        <w:t>Shenyang 100168, China</w:t>
      </w:r>
    </w:p>
    <w:p w14:paraId="5483E5A5" w14:textId="77777777" w:rsidR="0041565F" w:rsidRPr="00BE53A3" w:rsidRDefault="009A3521" w:rsidP="00BE53A3">
      <w:pPr>
        <w:spacing w:line="480" w:lineRule="auto"/>
        <w:rPr>
          <w:rFonts w:cs="Times New Roman"/>
          <w:sz w:val="24"/>
          <w:lang w:val="en-GB"/>
        </w:rPr>
      </w:pPr>
      <w:r w:rsidRPr="00BE53A3">
        <w:rPr>
          <w:rFonts w:cs="Times New Roman"/>
          <w:sz w:val="24"/>
          <w:lang w:val="en-GB"/>
        </w:rPr>
        <w:t>d Jiangsu Collaborative Innovation Center of Atmospheric Environment and Equipment Technology (CICAEET), Jiangsu Key Laboratory of Atmospheric Environment Monitoring and Pollution Control, School of Environmental Science and Engineering, Nanjing University of Information Science &amp; Technology, Nanjing 210044, China</w:t>
      </w:r>
    </w:p>
    <w:p w14:paraId="630DC9E0" w14:textId="77777777" w:rsidR="0041565F" w:rsidRPr="00BE53A3" w:rsidRDefault="009A3521">
      <w:pPr>
        <w:spacing w:beforeLines="100" w:before="312" w:afterLines="100" w:after="312" w:line="480" w:lineRule="auto"/>
        <w:rPr>
          <w:rFonts w:cs="Times New Roman"/>
          <w:sz w:val="24"/>
          <w:lang w:val="en-GB"/>
        </w:rPr>
      </w:pPr>
      <w:r w:rsidRPr="00BE53A3">
        <w:rPr>
          <w:rFonts w:cs="Times New Roman"/>
          <w:sz w:val="24"/>
        </w:rPr>
        <w:t>*</w:t>
      </w:r>
      <w:r w:rsidRPr="00BE53A3">
        <w:rPr>
          <w:rFonts w:cs="Times New Roman"/>
          <w:sz w:val="24"/>
          <w:lang w:val="en-GB"/>
        </w:rPr>
        <w:t xml:space="preserve">Corresponding author at: </w:t>
      </w:r>
    </w:p>
    <w:p w14:paraId="23067589" w14:textId="77777777" w:rsidR="0041565F" w:rsidRPr="00BE53A3" w:rsidRDefault="009A3521">
      <w:pPr>
        <w:spacing w:beforeLines="100" w:before="312" w:afterLines="100" w:after="312" w:line="480" w:lineRule="auto"/>
        <w:rPr>
          <w:rFonts w:cs="Times New Roman"/>
          <w:sz w:val="24"/>
          <w:lang w:val="en-GB"/>
        </w:rPr>
      </w:pPr>
      <w:r w:rsidRPr="00BE53A3">
        <w:rPr>
          <w:rFonts w:cs="Times New Roman"/>
          <w:sz w:val="24"/>
          <w:lang w:val="en-GB"/>
        </w:rPr>
        <w:t>E-mail address: dongzijun@szu.edu.cn (Z. Dong).</w:t>
      </w:r>
    </w:p>
    <w:p w14:paraId="49D7D678" w14:textId="77777777" w:rsidR="0041565F" w:rsidRPr="00BE53A3" w:rsidRDefault="009A3521">
      <w:pPr>
        <w:spacing w:beforeLines="100" w:before="312" w:afterLines="100" w:after="312" w:line="480" w:lineRule="auto"/>
        <w:rPr>
          <w:rFonts w:cs="Times New Roman"/>
          <w:b/>
          <w:bCs/>
          <w:sz w:val="24"/>
          <w:lang w:val="en-GB"/>
        </w:rPr>
      </w:pPr>
      <w:r w:rsidRPr="00BE53A3">
        <w:rPr>
          <w:rFonts w:cs="Times New Roman"/>
          <w:sz w:val="24"/>
          <w:lang w:val="en-GB"/>
        </w:rPr>
        <w:t>E-mail address: wangchenyu@nuist.edu.cn (C. Wang).</w:t>
      </w:r>
      <w:r w:rsidRPr="00BE53A3">
        <w:rPr>
          <w:rFonts w:cs="Times New Roman"/>
          <w:i/>
          <w:sz w:val="24"/>
          <w:lang w:val="en-GB"/>
        </w:rPr>
        <w:t xml:space="preserve"> </w:t>
      </w:r>
    </w:p>
    <w:p w14:paraId="784BA14B" w14:textId="77777777" w:rsidR="0041565F" w:rsidRDefault="009A3521" w:rsidP="00BE53A3">
      <w:pPr>
        <w:spacing w:line="408" w:lineRule="auto"/>
        <w:jc w:val="center"/>
        <w:rPr>
          <w:rFonts w:cs="Times New Roman"/>
          <w:b/>
          <w:bCs/>
          <w:sz w:val="24"/>
          <w:lang w:val="en-GB"/>
        </w:rPr>
      </w:pPr>
      <w:r>
        <w:rPr>
          <w:rFonts w:cs="Times New Roman"/>
          <w:b/>
          <w:bCs/>
          <w:sz w:val="24"/>
          <w:lang w:val="en-GB"/>
        </w:rPr>
        <w:lastRenderedPageBreak/>
        <w:t>Contents</w:t>
      </w:r>
    </w:p>
    <w:p w14:paraId="0877A313" w14:textId="77777777" w:rsidR="0041565F" w:rsidRDefault="009A3521">
      <w:pPr>
        <w:spacing w:line="408" w:lineRule="auto"/>
        <w:rPr>
          <w:rFonts w:cs="Times New Roman"/>
          <w:b/>
          <w:bCs/>
          <w:sz w:val="24"/>
          <w:lang w:val="en-GB"/>
        </w:rPr>
      </w:pPr>
      <w:r>
        <w:rPr>
          <w:rFonts w:cs="Times New Roman"/>
          <w:b/>
          <w:bCs/>
          <w:sz w:val="24"/>
          <w:lang w:val="en-GB"/>
        </w:rPr>
        <w:t>Additional Texts:</w:t>
      </w:r>
    </w:p>
    <w:p w14:paraId="70B7C7DF" w14:textId="77777777" w:rsidR="0041565F" w:rsidRDefault="009A3521">
      <w:pPr>
        <w:spacing w:line="408" w:lineRule="auto"/>
        <w:rPr>
          <w:rFonts w:cs="Times New Roman"/>
          <w:sz w:val="24"/>
        </w:rPr>
      </w:pPr>
      <w:r>
        <w:rPr>
          <w:rFonts w:cs="Times New Roman"/>
          <w:b/>
          <w:bCs/>
          <w:sz w:val="24"/>
          <w:lang w:val="en-GB"/>
        </w:rPr>
        <w:t>Text S1.</w:t>
      </w:r>
      <w:r>
        <w:rPr>
          <w:rFonts w:cs="Times New Roman"/>
          <w:sz w:val="24"/>
          <w:lang w:val="en-GB"/>
        </w:rPr>
        <w:t xml:space="preserve"> Detection of the transformation products of ribavirin during </w:t>
      </w:r>
      <w:r>
        <w:rPr>
          <w:rFonts w:cs="Times New Roman"/>
          <w:sz w:val="24"/>
        </w:rPr>
        <w:t>Fe</w:t>
      </w:r>
      <w:r>
        <w:rPr>
          <w:rFonts w:cs="Times New Roman"/>
          <w:sz w:val="24"/>
          <w:vertAlign w:val="superscript"/>
        </w:rPr>
        <w:t>2+</w:t>
      </w:r>
      <w:r>
        <w:rPr>
          <w:rFonts w:cs="Times New Roman"/>
          <w:sz w:val="24"/>
        </w:rPr>
        <w:t>/PS process.</w:t>
      </w:r>
    </w:p>
    <w:p w14:paraId="557BAA26" w14:textId="77777777" w:rsidR="0041565F" w:rsidRDefault="009A3521">
      <w:pPr>
        <w:spacing w:line="408" w:lineRule="auto"/>
        <w:rPr>
          <w:rFonts w:cs="Times New Roman"/>
          <w:sz w:val="24"/>
        </w:rPr>
      </w:pPr>
      <w:r>
        <w:rPr>
          <w:rFonts w:cs="Times New Roman"/>
          <w:b/>
          <w:bCs/>
          <w:sz w:val="24"/>
          <w:lang w:val="en-GB"/>
        </w:rPr>
        <w:t xml:space="preserve">Text S2. </w:t>
      </w:r>
      <w:r>
        <w:rPr>
          <w:rFonts w:cs="Times New Roman"/>
          <w:sz w:val="24"/>
        </w:rPr>
        <w:t>The ISO standard luminescent bacteria toxicity test.</w:t>
      </w:r>
    </w:p>
    <w:p w14:paraId="043B62A1" w14:textId="77777777" w:rsidR="0041565F" w:rsidRDefault="009A3521">
      <w:pPr>
        <w:spacing w:line="408" w:lineRule="auto"/>
        <w:rPr>
          <w:rFonts w:cs="Times New Roman"/>
          <w:sz w:val="24"/>
        </w:rPr>
      </w:pPr>
      <w:r>
        <w:rPr>
          <w:rFonts w:cs="Times New Roman"/>
          <w:b/>
          <w:bCs/>
          <w:sz w:val="24"/>
          <w:lang w:val="en-GB"/>
        </w:rPr>
        <w:t>Text S</w:t>
      </w:r>
      <w:r>
        <w:rPr>
          <w:rFonts w:cs="Times New Roman"/>
          <w:b/>
          <w:bCs/>
          <w:sz w:val="24"/>
        </w:rPr>
        <w:t>3</w:t>
      </w:r>
      <w:r>
        <w:rPr>
          <w:rFonts w:cs="Times New Roman"/>
          <w:b/>
          <w:bCs/>
          <w:sz w:val="24"/>
          <w:lang w:val="en-GB"/>
        </w:rPr>
        <w:t xml:space="preserve">. </w:t>
      </w:r>
      <w:r>
        <w:rPr>
          <w:rFonts w:cs="Times New Roman"/>
          <w:sz w:val="24"/>
          <w:lang w:val="en-GB"/>
        </w:rPr>
        <w:t>Calculation of reaction stoichiometric efficiency</w:t>
      </w:r>
      <w:r>
        <w:rPr>
          <w:rFonts w:cs="Times New Roman"/>
          <w:sz w:val="24"/>
        </w:rPr>
        <w:t>.</w:t>
      </w:r>
    </w:p>
    <w:p w14:paraId="34D625D0" w14:textId="77777777" w:rsidR="0041565F" w:rsidRDefault="0041565F">
      <w:pPr>
        <w:rPr>
          <w:rFonts w:cs="Times New Roman"/>
          <w:sz w:val="24"/>
        </w:rPr>
      </w:pPr>
    </w:p>
    <w:p w14:paraId="167560AD" w14:textId="77777777" w:rsidR="0041565F" w:rsidRDefault="009A3521">
      <w:pPr>
        <w:spacing w:line="360" w:lineRule="auto"/>
        <w:rPr>
          <w:rFonts w:cs="Times New Roman"/>
          <w:b/>
          <w:bCs/>
          <w:sz w:val="24"/>
        </w:rPr>
      </w:pPr>
      <w:r>
        <w:rPr>
          <w:rFonts w:cs="Times New Roman"/>
          <w:b/>
          <w:bCs/>
          <w:sz w:val="24"/>
        </w:rPr>
        <w:t>Additional Figures:</w:t>
      </w:r>
    </w:p>
    <w:p w14:paraId="300A8498" w14:textId="77777777" w:rsidR="0041565F" w:rsidRDefault="009A3521">
      <w:pPr>
        <w:spacing w:line="360" w:lineRule="auto"/>
        <w:jc w:val="left"/>
        <w:rPr>
          <w:rFonts w:cs="Times New Roman"/>
          <w:kern w:val="0"/>
          <w:sz w:val="24"/>
        </w:rPr>
      </w:pPr>
      <w:r>
        <w:rPr>
          <w:rFonts w:cs="Times New Roman"/>
          <w:b/>
          <w:sz w:val="24"/>
        </w:rPr>
        <w:t>Fig. S1.</w:t>
      </w:r>
      <w:r>
        <w:rPr>
          <w:rFonts w:cs="Times New Roman"/>
          <w:kern w:val="0"/>
          <w:sz w:val="24"/>
        </w:rPr>
        <w:t xml:space="preserve"> Chromatogram of ribavirin degradation products.</w:t>
      </w:r>
    </w:p>
    <w:p w14:paraId="1E8D9A74" w14:textId="77777777" w:rsidR="0041565F" w:rsidRDefault="009A3521">
      <w:pPr>
        <w:widowControl/>
        <w:spacing w:line="360" w:lineRule="auto"/>
        <w:jc w:val="left"/>
        <w:rPr>
          <w:rFonts w:cs="Times New Roman"/>
          <w:kern w:val="0"/>
          <w:sz w:val="24"/>
        </w:rPr>
      </w:pPr>
      <w:r>
        <w:rPr>
          <w:rFonts w:cs="Times New Roman"/>
          <w:b/>
          <w:sz w:val="24"/>
        </w:rPr>
        <w:t>Fig. S2.</w:t>
      </w:r>
      <w:r>
        <w:rPr>
          <w:rFonts w:cs="Times New Roman"/>
          <w:sz w:val="24"/>
        </w:rPr>
        <w:t xml:space="preserve"> </w:t>
      </w:r>
      <w:r>
        <w:rPr>
          <w:rFonts w:cs="Times New Roman"/>
          <w:kern w:val="0"/>
          <w:sz w:val="24"/>
        </w:rPr>
        <w:t>Mass spectrums of four degradation products</w:t>
      </w:r>
    </w:p>
    <w:p w14:paraId="396B28CF" w14:textId="77777777" w:rsidR="0041565F" w:rsidRDefault="009A3521">
      <w:pPr>
        <w:spacing w:line="360" w:lineRule="auto"/>
        <w:jc w:val="left"/>
        <w:rPr>
          <w:rFonts w:cs="Times New Roman"/>
          <w:sz w:val="24"/>
        </w:rPr>
      </w:pPr>
      <w:r>
        <w:rPr>
          <w:rFonts w:cs="Times New Roman"/>
          <w:b/>
          <w:sz w:val="24"/>
        </w:rPr>
        <w:t xml:space="preserve">Fig. S3. </w:t>
      </w:r>
      <w:r>
        <w:rPr>
          <w:rFonts w:cs="Times New Roman"/>
          <w:sz w:val="24"/>
        </w:rPr>
        <w:t>Chromatogram of ribavirin in ultra high performance liquid phase.</w:t>
      </w:r>
    </w:p>
    <w:p w14:paraId="5F0970C7" w14:textId="77777777" w:rsidR="0041565F" w:rsidRDefault="009A3521">
      <w:pPr>
        <w:widowControl/>
        <w:spacing w:line="360" w:lineRule="auto"/>
        <w:rPr>
          <w:rFonts w:cs="Times New Roman"/>
          <w:kern w:val="0"/>
          <w:sz w:val="24"/>
        </w:rPr>
      </w:pPr>
      <w:r>
        <w:rPr>
          <w:rFonts w:cs="Times New Roman"/>
          <w:b/>
          <w:sz w:val="24"/>
        </w:rPr>
        <w:t xml:space="preserve">Fig. S4. </w:t>
      </w:r>
      <w:r>
        <w:rPr>
          <w:rFonts w:cs="Times New Roman"/>
          <w:kern w:val="0"/>
          <w:sz w:val="24"/>
        </w:rPr>
        <w:t>Chromatograms of TMSO and TMSO</w:t>
      </w:r>
      <w:r>
        <w:rPr>
          <w:rFonts w:cs="Times New Roman"/>
          <w:kern w:val="0"/>
          <w:sz w:val="24"/>
          <w:vertAlign w:val="subscript"/>
        </w:rPr>
        <w:t>2</w:t>
      </w:r>
      <w:r>
        <w:rPr>
          <w:rFonts w:cs="Times New Roman"/>
          <w:kern w:val="0"/>
          <w:sz w:val="24"/>
        </w:rPr>
        <w:t xml:space="preserve"> in ultra-high performance liquid chromatography.</w:t>
      </w:r>
    </w:p>
    <w:p w14:paraId="08386B7F" w14:textId="77777777" w:rsidR="0041565F" w:rsidRDefault="009A3521">
      <w:pPr>
        <w:widowControl/>
        <w:spacing w:line="360" w:lineRule="auto"/>
        <w:jc w:val="left"/>
        <w:rPr>
          <w:rFonts w:cs="Times New Roman"/>
          <w:sz w:val="24"/>
        </w:rPr>
      </w:pPr>
      <w:r>
        <w:rPr>
          <w:rFonts w:cs="Times New Roman"/>
          <w:b/>
          <w:sz w:val="24"/>
        </w:rPr>
        <w:t xml:space="preserve">Fig. S5. </w:t>
      </w:r>
      <w:r>
        <w:rPr>
          <w:rFonts w:cs="Times New Roman"/>
          <w:kern w:val="0"/>
          <w:sz w:val="24"/>
        </w:rPr>
        <w:t>Removal of TOC in the PS/Fe</w:t>
      </w:r>
      <w:r>
        <w:rPr>
          <w:rFonts w:cs="Times New Roman"/>
          <w:kern w:val="0"/>
          <w:sz w:val="24"/>
          <w:vertAlign w:val="superscript"/>
        </w:rPr>
        <w:t>2+</w:t>
      </w:r>
      <w:r>
        <w:rPr>
          <w:rFonts w:cs="Times New Roman"/>
          <w:kern w:val="0"/>
          <w:sz w:val="24"/>
        </w:rPr>
        <w:t xml:space="preserve"> system.</w:t>
      </w:r>
    </w:p>
    <w:p w14:paraId="77809B82" w14:textId="77777777" w:rsidR="0041565F" w:rsidRDefault="009A3521">
      <w:pPr>
        <w:widowControl/>
        <w:spacing w:line="360" w:lineRule="auto"/>
        <w:rPr>
          <w:rFonts w:cs="Times New Roman"/>
          <w:bCs/>
          <w:sz w:val="24"/>
        </w:rPr>
      </w:pPr>
      <w:r>
        <w:rPr>
          <w:rFonts w:cs="Times New Roman"/>
          <w:b/>
          <w:sz w:val="24"/>
        </w:rPr>
        <w:t xml:space="preserve">Fig. S6. </w:t>
      </w:r>
      <w:r>
        <w:rPr>
          <w:rFonts w:cs="Times New Roman"/>
          <w:bCs/>
          <w:sz w:val="24"/>
        </w:rPr>
        <w:t>Changes in pH in different pH systems. pH</w:t>
      </w:r>
      <w:r>
        <w:rPr>
          <w:rFonts w:cs="Times New Roman"/>
          <w:bCs/>
          <w:sz w:val="24"/>
          <w:vertAlign w:val="subscript"/>
        </w:rPr>
        <w:t>i</w:t>
      </w:r>
      <w:r>
        <w:rPr>
          <w:rFonts w:cs="Times New Roman"/>
          <w:bCs/>
          <w:sz w:val="24"/>
        </w:rPr>
        <w:t xml:space="preserve"> is the initial pH of the system;pH</w:t>
      </w:r>
      <w:r>
        <w:rPr>
          <w:rFonts w:cs="Times New Roman"/>
          <w:bCs/>
          <w:sz w:val="24"/>
          <w:vertAlign w:val="subscript"/>
        </w:rPr>
        <w:t>PS</w:t>
      </w:r>
      <w:r>
        <w:rPr>
          <w:rFonts w:cs="Times New Roman"/>
          <w:bCs/>
          <w:sz w:val="24"/>
        </w:rPr>
        <w:t xml:space="preserve"> is the pH after the addition of PS; pH is the pH</w:t>
      </w:r>
      <w:r>
        <w:rPr>
          <w:rFonts w:cs="Times New Roman"/>
          <w:bCs/>
          <w:sz w:val="24"/>
          <w:vertAlign w:val="subscript"/>
        </w:rPr>
        <w:t>f</w:t>
      </w:r>
      <w:r>
        <w:rPr>
          <w:rFonts w:cs="Times New Roman"/>
          <w:bCs/>
          <w:sz w:val="24"/>
        </w:rPr>
        <w:t xml:space="preserve"> after one hour of reaction.</w:t>
      </w:r>
    </w:p>
    <w:p w14:paraId="1BDAC928" w14:textId="77777777" w:rsidR="0041565F" w:rsidRDefault="0041565F">
      <w:pPr>
        <w:spacing w:line="408" w:lineRule="auto"/>
        <w:rPr>
          <w:rFonts w:cs="Times New Roman"/>
          <w:sz w:val="24"/>
        </w:rPr>
      </w:pPr>
    </w:p>
    <w:p w14:paraId="3363D1FB" w14:textId="77777777" w:rsidR="0041565F" w:rsidRDefault="009A3521">
      <w:pPr>
        <w:spacing w:line="408" w:lineRule="auto"/>
        <w:rPr>
          <w:rFonts w:cs="Times New Roman"/>
          <w:b/>
          <w:bCs/>
          <w:sz w:val="24"/>
        </w:rPr>
      </w:pPr>
      <w:r>
        <w:rPr>
          <w:rFonts w:cs="Times New Roman"/>
          <w:b/>
          <w:bCs/>
          <w:sz w:val="24"/>
        </w:rPr>
        <w:t>Additional Tables:</w:t>
      </w:r>
    </w:p>
    <w:p w14:paraId="177B6AD8" w14:textId="77777777" w:rsidR="0041565F" w:rsidRDefault="009A3521">
      <w:pPr>
        <w:spacing w:line="360" w:lineRule="auto"/>
        <w:rPr>
          <w:rFonts w:cs="Times New Roman"/>
          <w:sz w:val="24"/>
        </w:rPr>
      </w:pPr>
      <w:r>
        <w:rPr>
          <w:rFonts w:eastAsia="宋体" w:cs="Times New Roman"/>
          <w:b/>
          <w:bCs/>
          <w:sz w:val="24"/>
        </w:rPr>
        <w:t xml:space="preserve">Table S1. </w:t>
      </w:r>
      <w:r>
        <w:rPr>
          <w:rFonts w:eastAsia="宋体" w:cs="Times New Roman"/>
          <w:sz w:val="24"/>
        </w:rPr>
        <w:t>%RSE in different PS systems.</w:t>
      </w:r>
    </w:p>
    <w:p w14:paraId="16CD622C" w14:textId="77777777" w:rsidR="0041565F" w:rsidRDefault="009A3521">
      <w:pPr>
        <w:rPr>
          <w:rFonts w:cs="Times New Roman"/>
          <w:b/>
          <w:bCs/>
          <w:lang w:val="en-GB"/>
        </w:rPr>
      </w:pPr>
      <w:r>
        <w:rPr>
          <w:rFonts w:cs="Times New Roman"/>
          <w:b/>
          <w:bCs/>
          <w:lang w:val="en-GB"/>
        </w:rPr>
        <w:br w:type="page"/>
      </w:r>
    </w:p>
    <w:p w14:paraId="603BF02C" w14:textId="77777777" w:rsidR="0041565F" w:rsidRDefault="009A3521">
      <w:pPr>
        <w:spacing w:line="360" w:lineRule="auto"/>
        <w:rPr>
          <w:rFonts w:cs="Times New Roman"/>
          <w:sz w:val="24"/>
        </w:rPr>
      </w:pPr>
      <w:r>
        <w:rPr>
          <w:rFonts w:cs="Times New Roman"/>
          <w:b/>
          <w:bCs/>
          <w:sz w:val="24"/>
          <w:lang w:val="en-GB"/>
        </w:rPr>
        <w:lastRenderedPageBreak/>
        <w:t>Text S1.</w:t>
      </w:r>
      <w:r>
        <w:rPr>
          <w:rFonts w:cs="Times New Roman"/>
          <w:sz w:val="24"/>
          <w:lang w:val="en-GB"/>
        </w:rPr>
        <w:t xml:space="preserve"> Detection of the transformation products of ribavirin during </w:t>
      </w:r>
      <w:r>
        <w:rPr>
          <w:rFonts w:cs="Times New Roman"/>
          <w:sz w:val="24"/>
        </w:rPr>
        <w:t>Fe</w:t>
      </w:r>
      <w:r>
        <w:rPr>
          <w:rFonts w:cs="Times New Roman"/>
          <w:sz w:val="24"/>
          <w:vertAlign w:val="superscript"/>
        </w:rPr>
        <w:t>2+</w:t>
      </w:r>
      <w:r>
        <w:rPr>
          <w:rFonts w:cs="Times New Roman"/>
          <w:sz w:val="24"/>
        </w:rPr>
        <w:t>/PS process.</w:t>
      </w:r>
    </w:p>
    <w:p w14:paraId="7679BF0B" w14:textId="77777777" w:rsidR="0041565F" w:rsidRDefault="009A3521">
      <w:pPr>
        <w:spacing w:line="360" w:lineRule="auto"/>
        <w:rPr>
          <w:rFonts w:cs="Times New Roman"/>
          <w:sz w:val="24"/>
        </w:rPr>
      </w:pPr>
      <w:r>
        <w:rPr>
          <w:rFonts w:cs="Times New Roman"/>
          <w:sz w:val="24"/>
        </w:rPr>
        <w:t xml:space="preserve">LC-MS analysis was performed on an Agilent 1290 Infinity II Ultra-High Performance Liquid Chromatograph (UHPLC) equipped with a Quadrupole Time-of-Flight (QTOF) system (TRIPLETOF 4600, AB SCIEX, USA).The chromatographic separation was carried out using Waters ACQUITY UPLC HSS T3 C18 column (4.6 mm × 150 mm, 5 μm; Waters Corporation, Milford, MA, USA). The UV detection of UHPLC fractions were performed by U3000 3D field DAD detector with wavelength coverages from 200nm to 400nm. The analytical column was maintained at 30°C with an injection volume of 3μL.Gradient elution was performed with a gradient containing pure water (solvent A) and methanol (solvent B).The flow rate was 0.3 ml/min, and gradient elution was as follow: 0-7min, 10-90% B; 7-8min, 90%-90% B; 8-8.1min, 90%-10% B; 8.1-10min, 10%-10% B.Positive ion mode in the range of m/z 50-750 was set for the MS analysis.Other mass spectrometry conditions were source temperature (TEM) 500 </w:t>
      </w:r>
      <w:r>
        <w:rPr>
          <w:rFonts w:eastAsia="宋体" w:cs="Times New Roman"/>
          <w:sz w:val="24"/>
        </w:rPr>
        <w:t>℃</w:t>
      </w:r>
      <w:r>
        <w:rPr>
          <w:rFonts w:cs="Times New Roman"/>
          <w:sz w:val="24"/>
        </w:rPr>
        <w:t xml:space="preserve">, spray voltage (IS) 4500 V, curtain gas (CUR) 35 psi, nebulizer gas (GS1) 50 psi, heating gas (GS2) 50 psi, and collision energy(CE) 10 V.The identification of unknown compound was performed by Compound discover </w:t>
      </w:r>
      <w:r>
        <w:rPr>
          <w:rFonts w:cs="Times New Roman"/>
          <w:kern w:val="0"/>
          <w:sz w:val="24"/>
        </w:rPr>
        <w:t>241, 211, 198, and 147</w:t>
      </w:r>
      <w:r>
        <w:rPr>
          <w:rFonts w:cs="Times New Roman"/>
          <w:sz w:val="24"/>
        </w:rPr>
        <w:t>, with mzcloud and mzVault databases.</w:t>
      </w:r>
    </w:p>
    <w:p w14:paraId="37A2FAE3" w14:textId="77777777" w:rsidR="0041565F" w:rsidRDefault="009A3521">
      <w:pPr>
        <w:spacing w:line="360" w:lineRule="auto"/>
        <w:rPr>
          <w:rFonts w:cs="Times New Roman"/>
          <w:sz w:val="24"/>
        </w:rPr>
      </w:pPr>
      <w:r>
        <w:rPr>
          <w:rFonts w:cs="Times New Roman"/>
          <w:sz w:val="24"/>
        </w:rPr>
        <w:t>A syringe was used to draw 1mL of sample from the system, which was filtered using a polyethersulfone membrane into a 2mL brown injection bottle and injected</w:t>
      </w:r>
      <w:r>
        <w:rPr>
          <w:rFonts w:cs="Times New Roman"/>
          <w:sz w:val="24"/>
        </w:rPr>
        <w:t>（</w:t>
      </w:r>
      <w:r>
        <w:rPr>
          <w:rFonts w:cs="Times New Roman"/>
          <w:sz w:val="24"/>
        </w:rPr>
        <w:t>Same as UHPLC sample preparation</w:t>
      </w:r>
      <w:r>
        <w:rPr>
          <w:rFonts w:cs="Times New Roman"/>
          <w:sz w:val="24"/>
        </w:rPr>
        <w:t>）</w:t>
      </w:r>
      <w:r>
        <w:rPr>
          <w:rFonts w:cs="Times New Roman"/>
          <w:sz w:val="24"/>
        </w:rPr>
        <w:t>.</w:t>
      </w:r>
    </w:p>
    <w:p w14:paraId="3B01BDDC" w14:textId="77777777" w:rsidR="0041565F" w:rsidRDefault="009A3521">
      <w:pPr>
        <w:spacing w:line="360" w:lineRule="auto"/>
        <w:rPr>
          <w:rFonts w:cs="Times New Roman"/>
          <w:color w:val="0000FF"/>
          <w:kern w:val="0"/>
          <w:sz w:val="24"/>
        </w:rPr>
      </w:pPr>
      <w:r>
        <w:rPr>
          <w:rFonts w:cs="Times New Roman"/>
          <w:color w:val="0000FF"/>
          <w:kern w:val="0"/>
          <w:sz w:val="24"/>
        </w:rPr>
        <w:br w:type="page"/>
      </w:r>
    </w:p>
    <w:p w14:paraId="4CDD7A63" w14:textId="77777777" w:rsidR="0041565F" w:rsidRDefault="009A3521">
      <w:pPr>
        <w:spacing w:line="360" w:lineRule="auto"/>
        <w:rPr>
          <w:rFonts w:cs="Times New Roman"/>
          <w:kern w:val="0"/>
          <w:sz w:val="24"/>
        </w:rPr>
      </w:pPr>
      <w:r>
        <w:rPr>
          <w:rFonts w:cs="Times New Roman"/>
          <w:b/>
          <w:bCs/>
          <w:sz w:val="24"/>
          <w:lang w:val="en-GB"/>
        </w:rPr>
        <w:lastRenderedPageBreak/>
        <w:t>Text S2.</w:t>
      </w:r>
      <w:r>
        <w:rPr>
          <w:rFonts w:cs="Times New Roman"/>
          <w:kern w:val="0"/>
          <w:sz w:val="24"/>
        </w:rPr>
        <w:t xml:space="preserve"> The ISO standard luminescent bacteria toxicity test.</w:t>
      </w:r>
    </w:p>
    <w:p w14:paraId="67ACFD28" w14:textId="77777777" w:rsidR="0041565F" w:rsidRDefault="009A3521">
      <w:pPr>
        <w:spacing w:line="360" w:lineRule="auto"/>
        <w:rPr>
          <w:rFonts w:cs="Times New Roman"/>
          <w:kern w:val="0"/>
          <w:sz w:val="24"/>
        </w:rPr>
      </w:pPr>
      <w:r>
        <w:rPr>
          <w:rFonts w:cs="Times New Roman"/>
          <w:kern w:val="0"/>
          <w:sz w:val="24"/>
        </w:rPr>
        <w:t>In this study, Vibrio fischeri (Microtox® SOLO reagent) luminescent bacteria were selected for the determination of bioacute toxicity of the samples in the reaction.First, resuscitate the luminescent bacteria: take a bottle of Microto® SOLO reagent and add 300 µL of Microtox dilution solution, mix the reagent 3~4 times with a 300 µL pipette gun, and then leave it for 15 min to form a resuscitation solution.100 µL of recovery solution was placed in the cuvette, then 900 µL of the sample to be tested and 100 µL of Microtox osmolality adjusting solution were added to the cuvette, mixed, and then quickly tested on the machine and readings were recorded. It should be noted that the pH of the sample for toxicity testing needs to be controlled at 6~8. If the pH of the sample is lower than 6, use NaOH solution to adjust the pH to 6.0, if the pH of the sample is higher than 8, use HCl solution to adjust the pH to 8.0, and if it is over-titrated, the sample should be discarded and re-adjusted.</w:t>
      </w:r>
    </w:p>
    <w:p w14:paraId="361B60DF" w14:textId="77777777" w:rsidR="0041565F" w:rsidRDefault="009A3521">
      <w:pPr>
        <w:spacing w:line="360" w:lineRule="auto"/>
        <w:rPr>
          <w:rFonts w:cs="Times New Roman"/>
          <w:color w:val="0000FF"/>
          <w:kern w:val="0"/>
          <w:szCs w:val="21"/>
        </w:rPr>
      </w:pPr>
      <w:r>
        <w:rPr>
          <w:rFonts w:cs="Times New Roman"/>
          <w:color w:val="0000FF"/>
          <w:kern w:val="0"/>
          <w:szCs w:val="21"/>
        </w:rPr>
        <w:br w:type="page"/>
      </w:r>
    </w:p>
    <w:p w14:paraId="53601E68" w14:textId="77777777" w:rsidR="0041565F" w:rsidRDefault="009A3521">
      <w:pPr>
        <w:spacing w:line="360" w:lineRule="auto"/>
        <w:rPr>
          <w:rFonts w:cs="Times New Roman"/>
          <w:kern w:val="0"/>
          <w:sz w:val="24"/>
        </w:rPr>
      </w:pPr>
      <w:r>
        <w:rPr>
          <w:rFonts w:cs="Times New Roman"/>
          <w:b/>
          <w:bCs/>
          <w:sz w:val="24"/>
          <w:lang w:val="en-GB"/>
        </w:rPr>
        <w:lastRenderedPageBreak/>
        <w:t>Text S</w:t>
      </w:r>
      <w:r>
        <w:rPr>
          <w:rFonts w:cs="Times New Roman"/>
          <w:b/>
          <w:bCs/>
          <w:sz w:val="24"/>
        </w:rPr>
        <w:t>3</w:t>
      </w:r>
      <w:r>
        <w:rPr>
          <w:rFonts w:cs="Times New Roman"/>
          <w:b/>
          <w:bCs/>
          <w:sz w:val="24"/>
          <w:lang w:val="en-GB"/>
        </w:rPr>
        <w:t>.</w:t>
      </w:r>
      <w:r>
        <w:rPr>
          <w:rFonts w:cs="Times New Roman"/>
          <w:kern w:val="0"/>
          <w:sz w:val="24"/>
        </w:rPr>
        <w:t xml:space="preserve"> Calculation of reaction stoichiometric efficiency.</w:t>
      </w:r>
    </w:p>
    <w:p w14:paraId="297B5BFE" w14:textId="77777777" w:rsidR="0041565F" w:rsidRDefault="009A3521">
      <w:pPr>
        <w:spacing w:line="360" w:lineRule="auto"/>
        <w:rPr>
          <w:rFonts w:cs="Times New Roman"/>
          <w:sz w:val="24"/>
        </w:rPr>
      </w:pPr>
      <w:r>
        <w:rPr>
          <w:rFonts w:cs="Times New Roman"/>
          <w:kern w:val="0"/>
          <w:sz w:val="24"/>
        </w:rPr>
        <w:t>Reaction stoichiometric efficiency (RSE) is the number of moles of RBV degradation over the number of moles of PS consumed, as shown in Eq. (S1).It is a crucial parameter to evaluate the catalyst per formance.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gridCol w:w="830"/>
      </w:tblGrid>
      <w:tr w:rsidR="0041565F" w14:paraId="1EDDC118" w14:textId="77777777">
        <w:tc>
          <w:tcPr>
            <w:tcW w:w="7685" w:type="dxa"/>
            <w:vAlign w:val="center"/>
          </w:tcPr>
          <w:p w14:paraId="7C84DB70" w14:textId="77777777" w:rsidR="0041565F" w:rsidRDefault="009A3521">
            <w:pPr>
              <w:spacing w:line="360" w:lineRule="auto"/>
              <w:rPr>
                <w:rFonts w:cs="Times New Roman"/>
                <w:sz w:val="24"/>
              </w:rPr>
            </w:pPr>
            <m:oMathPara>
              <m:oMath>
                <m:r>
                  <w:rPr>
                    <w:rFonts w:ascii="Cambria Math" w:hAnsi="Cambria Math" w:cs="Times New Roman"/>
                    <w:sz w:val="24"/>
                  </w:rPr>
                  <m:t>%RSE</m:t>
                </m:r>
                <m:r>
                  <m:rPr>
                    <m:sty m:val="p"/>
                  </m:rPr>
                  <w:rPr>
                    <w:rFonts w:ascii="Cambria Math" w:hAnsi="Cambria Math" w:cs="Times New Roman"/>
                    <w:sz w:val="24"/>
                  </w:rPr>
                  <m:t>=</m:t>
                </m:r>
                <m:f>
                  <m:fPr>
                    <m:ctrlPr>
                      <w:rPr>
                        <w:rFonts w:ascii="Cambria Math" w:hAnsi="Cambria Math" w:cs="Times New Roman"/>
                        <w:sz w:val="24"/>
                      </w:rPr>
                    </m:ctrlPr>
                  </m:fPr>
                  <m:num>
                    <m:r>
                      <m:rPr>
                        <m:sty m:val="p"/>
                      </m:rPr>
                      <w:rPr>
                        <w:rFonts w:ascii="Cambria Math" w:hAnsi="Cambria Math" w:cs="Times New Roman"/>
                        <w:sz w:val="24"/>
                      </w:rPr>
                      <m:t>∆n(RBV)</m:t>
                    </m:r>
                  </m:num>
                  <m:den>
                    <m:r>
                      <m:rPr>
                        <m:sty m:val="p"/>
                      </m:rPr>
                      <w:rPr>
                        <w:rFonts w:ascii="Cambria Math" w:hAnsi="Cambria Math" w:cs="Times New Roman"/>
                        <w:sz w:val="24"/>
                      </w:rPr>
                      <m:t>∆n(PS)</m:t>
                    </m:r>
                  </m:den>
                </m:f>
                <m:r>
                  <m:rPr>
                    <m:sty m:val="p"/>
                  </m:rPr>
                  <w:rPr>
                    <w:rFonts w:ascii="Cambria Math" w:hAnsi="Cambria Math" w:cs="Times New Roman"/>
                    <w:sz w:val="24"/>
                  </w:rPr>
                  <m:t>×100</m:t>
                </m:r>
              </m:oMath>
            </m:oMathPara>
          </w:p>
        </w:tc>
        <w:tc>
          <w:tcPr>
            <w:tcW w:w="837" w:type="dxa"/>
            <w:vAlign w:val="center"/>
          </w:tcPr>
          <w:p w14:paraId="0FE3526C" w14:textId="77777777" w:rsidR="0041565F" w:rsidRDefault="009A3521">
            <w:pPr>
              <w:spacing w:line="360" w:lineRule="auto"/>
              <w:rPr>
                <w:rFonts w:cs="Times New Roman"/>
                <w:sz w:val="24"/>
              </w:rPr>
            </w:pPr>
            <w:r>
              <w:rPr>
                <w:rFonts w:cs="Times New Roman"/>
                <w:sz w:val="24"/>
              </w:rPr>
              <w:t>(S1)</w:t>
            </w:r>
          </w:p>
        </w:tc>
      </w:tr>
    </w:tbl>
    <w:p w14:paraId="3C45709D" w14:textId="77777777" w:rsidR="0041565F" w:rsidRDefault="009A3521">
      <w:pPr>
        <w:spacing w:line="360" w:lineRule="auto"/>
        <w:rPr>
          <w:rFonts w:cs="Times New Roman"/>
          <w:sz w:val="24"/>
        </w:rPr>
      </w:pPr>
      <w:r>
        <w:rPr>
          <w:rFonts w:cs="Times New Roman"/>
          <w:sz w:val="24"/>
        </w:rPr>
        <w:t>Herein, Δn(RBV) is the number of moles of  ribavirin degradation; Δn(PS) is the number of moles of PS consumed.</w:t>
      </w:r>
    </w:p>
    <w:p w14:paraId="4EFE0808" w14:textId="77777777" w:rsidR="0041565F" w:rsidRDefault="009A3521">
      <w:pPr>
        <w:spacing w:line="360" w:lineRule="auto"/>
        <w:rPr>
          <w:rFonts w:cs="Times New Roman"/>
        </w:rPr>
      </w:pPr>
      <w:r>
        <w:rPr>
          <w:rFonts w:cs="Times New Roman"/>
        </w:rPr>
        <w:br w:type="page"/>
      </w:r>
    </w:p>
    <w:p w14:paraId="41C5980D" w14:textId="77777777" w:rsidR="0041565F" w:rsidRDefault="009A3521">
      <w:pPr>
        <w:jc w:val="center"/>
        <w:rPr>
          <w:rFonts w:cs="Times New Roman"/>
          <w:color w:val="0000FF"/>
          <w:kern w:val="0"/>
          <w:szCs w:val="21"/>
        </w:rPr>
      </w:pPr>
      <w:r>
        <w:rPr>
          <w:rFonts w:cs="Times New Roman"/>
          <w:noProof/>
          <w:color w:val="0000FF"/>
          <w:kern w:val="0"/>
          <w:szCs w:val="21"/>
        </w:rPr>
        <w:lastRenderedPageBreak/>
        <w:drawing>
          <wp:inline distT="0" distB="0" distL="0" distR="0" wp14:anchorId="343849C0" wp14:editId="6E722A22">
            <wp:extent cx="3752850" cy="24193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
                      <a:extLst>
                        <a:ext uri="{28A0092B-C50C-407E-A947-70E740481C1C}">
                          <a14:useLocalDpi xmlns:a14="http://schemas.microsoft.com/office/drawing/2010/main" val="0"/>
                        </a:ext>
                      </a:extLst>
                    </a:blip>
                    <a:srcRect l="16389" t="22296" r="18378" b="21628"/>
                    <a:stretch>
                      <a:fillRect/>
                    </a:stretch>
                  </pic:blipFill>
                  <pic:spPr>
                    <a:xfrm>
                      <a:off x="0" y="0"/>
                      <a:ext cx="3757047" cy="2422055"/>
                    </a:xfrm>
                    <a:prstGeom prst="rect">
                      <a:avLst/>
                    </a:prstGeom>
                    <a:ln>
                      <a:noFill/>
                    </a:ln>
                  </pic:spPr>
                </pic:pic>
              </a:graphicData>
            </a:graphic>
          </wp:inline>
        </w:drawing>
      </w:r>
    </w:p>
    <w:p w14:paraId="54670709" w14:textId="77777777" w:rsidR="0041565F" w:rsidRDefault="009A3521">
      <w:pPr>
        <w:jc w:val="center"/>
        <w:rPr>
          <w:rFonts w:cs="Times New Roman"/>
          <w:kern w:val="0"/>
          <w:szCs w:val="21"/>
        </w:rPr>
      </w:pPr>
      <w:r>
        <w:rPr>
          <w:rFonts w:cs="Times New Roman"/>
          <w:b/>
          <w:szCs w:val="21"/>
        </w:rPr>
        <w:t>Fig. S1.</w:t>
      </w:r>
      <w:r>
        <w:rPr>
          <w:rFonts w:cs="Times New Roman"/>
          <w:kern w:val="0"/>
          <w:szCs w:val="21"/>
        </w:rPr>
        <w:t xml:space="preserve"> Chromatogram of ribavirin degradation products.</w:t>
      </w:r>
    </w:p>
    <w:p w14:paraId="0F85B5B8" w14:textId="77777777" w:rsidR="0041565F" w:rsidRDefault="009A3521">
      <w:pPr>
        <w:rPr>
          <w:rFonts w:cs="Times New Roman"/>
          <w:color w:val="0000FF"/>
          <w:szCs w:val="21"/>
        </w:rPr>
      </w:pPr>
      <w:r>
        <w:rPr>
          <w:rFonts w:cs="Times New Roman"/>
          <w:color w:val="0000FF"/>
          <w:szCs w:val="21"/>
        </w:rPr>
        <w:br w:type="page"/>
      </w:r>
    </w:p>
    <w:p w14:paraId="17991855" w14:textId="77777777" w:rsidR="0041565F" w:rsidRDefault="0041565F">
      <w:pPr>
        <w:widowControl/>
        <w:jc w:val="center"/>
        <w:rPr>
          <w:rFonts w:cs="Times New Roman"/>
          <w:color w:val="0000FF"/>
          <w:szCs w:val="21"/>
        </w:rPr>
        <w:sectPr w:rsidR="0041565F" w:rsidSect="002868B4">
          <w:pgSz w:w="11906" w:h="16838"/>
          <w:pgMar w:top="1440" w:right="1800" w:bottom="1440" w:left="1800" w:header="851" w:footer="992" w:gutter="0"/>
          <w:cols w:space="425"/>
          <w:docGrid w:type="lines" w:linePitch="312"/>
        </w:sectPr>
      </w:pPr>
    </w:p>
    <w:p w14:paraId="27238E3B" w14:textId="2C191B2C" w:rsidR="0041565F" w:rsidRDefault="00BE53A3">
      <w:pPr>
        <w:widowControl/>
        <w:jc w:val="center"/>
        <w:rPr>
          <w:rFonts w:cs="Times New Roman"/>
          <w:color w:val="0000FF"/>
          <w:szCs w:val="21"/>
        </w:rPr>
      </w:pPr>
      <w:r w:rsidRPr="00BE53A3">
        <w:rPr>
          <w:rFonts w:cs="Times New Roman"/>
          <w:noProof/>
          <w:color w:val="0000FF"/>
          <w:szCs w:val="21"/>
        </w:rPr>
        <w:lastRenderedPageBreak/>
        <w:drawing>
          <wp:inline distT="0" distB="0" distL="0" distR="0" wp14:anchorId="3E1E529B" wp14:editId="5255A982">
            <wp:extent cx="5274310" cy="4517952"/>
            <wp:effectExtent l="0" t="0" r="2540" b="0"/>
            <wp:docPr id="4" name="图片 4" descr="D:\2-学术\Dropbox\4-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学术\Dropbox\4-desktop\图片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517952"/>
                    </a:xfrm>
                    <a:prstGeom prst="rect">
                      <a:avLst/>
                    </a:prstGeom>
                    <a:noFill/>
                    <a:ln>
                      <a:noFill/>
                    </a:ln>
                  </pic:spPr>
                </pic:pic>
              </a:graphicData>
            </a:graphic>
          </wp:inline>
        </w:drawing>
      </w:r>
    </w:p>
    <w:p w14:paraId="15D147AF" w14:textId="77777777" w:rsidR="0041565F" w:rsidRDefault="009A3521">
      <w:pPr>
        <w:widowControl/>
        <w:jc w:val="center"/>
        <w:rPr>
          <w:rFonts w:cs="Times New Roman"/>
          <w:kern w:val="0"/>
          <w:szCs w:val="21"/>
        </w:rPr>
      </w:pPr>
      <w:r>
        <w:rPr>
          <w:rFonts w:cs="Times New Roman"/>
          <w:b/>
          <w:szCs w:val="21"/>
        </w:rPr>
        <w:t>Fig. S2.</w:t>
      </w:r>
      <w:r>
        <w:rPr>
          <w:rFonts w:cs="Times New Roman"/>
          <w:szCs w:val="21"/>
        </w:rPr>
        <w:t xml:space="preserve"> </w:t>
      </w:r>
      <w:r>
        <w:rPr>
          <w:rFonts w:cs="Times New Roman"/>
          <w:kern w:val="0"/>
          <w:szCs w:val="21"/>
        </w:rPr>
        <w:t>Mass spectrums of four degradation products</w:t>
      </w:r>
    </w:p>
    <w:p w14:paraId="18B7C251" w14:textId="77777777" w:rsidR="0041565F" w:rsidRDefault="009A3521">
      <w:pPr>
        <w:rPr>
          <w:rFonts w:cs="Times New Roman"/>
          <w:color w:val="0000FF"/>
          <w:kern w:val="0"/>
          <w:szCs w:val="21"/>
        </w:rPr>
      </w:pPr>
      <w:r>
        <w:rPr>
          <w:rFonts w:cs="Times New Roman"/>
          <w:color w:val="0000FF"/>
          <w:kern w:val="0"/>
          <w:szCs w:val="21"/>
        </w:rPr>
        <w:br w:type="page"/>
      </w:r>
    </w:p>
    <w:p w14:paraId="5CA66AAD" w14:textId="77777777" w:rsidR="0041565F" w:rsidRDefault="009A3521">
      <w:pPr>
        <w:widowControl/>
        <w:jc w:val="center"/>
        <w:rPr>
          <w:rFonts w:cs="Times New Roman"/>
        </w:rPr>
      </w:pPr>
      <w:r>
        <w:rPr>
          <w:rFonts w:cs="Times New Roman"/>
          <w:noProof/>
        </w:rPr>
        <w:lastRenderedPageBreak/>
        <w:drawing>
          <wp:inline distT="0" distB="0" distL="114300" distR="114300" wp14:anchorId="72A67B66" wp14:editId="77D8DC88">
            <wp:extent cx="5270500" cy="4072890"/>
            <wp:effectExtent l="0" t="0" r="6350" b="3810"/>
            <wp:docPr id="2" name="图片 2" descr="20240306-acv_page-0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0306-acv_page-0001 (1)"/>
                    <pic:cNvPicPr>
                      <a:picLocks noChangeAspect="1"/>
                    </pic:cNvPicPr>
                  </pic:nvPicPr>
                  <pic:blipFill>
                    <a:blip r:embed="rId8"/>
                    <a:stretch>
                      <a:fillRect/>
                    </a:stretch>
                  </pic:blipFill>
                  <pic:spPr>
                    <a:xfrm>
                      <a:off x="0" y="0"/>
                      <a:ext cx="5270500" cy="4072890"/>
                    </a:xfrm>
                    <a:prstGeom prst="rect">
                      <a:avLst/>
                    </a:prstGeom>
                  </pic:spPr>
                </pic:pic>
              </a:graphicData>
            </a:graphic>
          </wp:inline>
        </w:drawing>
      </w:r>
    </w:p>
    <w:p w14:paraId="77575319" w14:textId="77777777" w:rsidR="0041565F" w:rsidRDefault="009A3521">
      <w:pPr>
        <w:jc w:val="center"/>
        <w:rPr>
          <w:rFonts w:cs="Times New Roman"/>
        </w:rPr>
      </w:pPr>
      <w:r>
        <w:rPr>
          <w:rFonts w:cs="Times New Roman"/>
          <w:b/>
          <w:szCs w:val="21"/>
        </w:rPr>
        <w:t xml:space="preserve">Fig. S3. </w:t>
      </w:r>
      <w:r>
        <w:rPr>
          <w:rFonts w:cs="Times New Roman"/>
        </w:rPr>
        <w:t>Chromatogram of ribavirin in ultra high performance liquid phase.</w:t>
      </w:r>
    </w:p>
    <w:p w14:paraId="6C1BE7A1" w14:textId="77777777" w:rsidR="0041565F" w:rsidRDefault="0041565F">
      <w:pPr>
        <w:widowControl/>
        <w:jc w:val="center"/>
        <w:rPr>
          <w:rFonts w:cs="Times New Roman"/>
        </w:rPr>
      </w:pPr>
    </w:p>
    <w:p w14:paraId="05920DF1" w14:textId="77777777" w:rsidR="0041565F" w:rsidRDefault="009A3521">
      <w:pPr>
        <w:rPr>
          <w:rFonts w:cs="Times New Roman"/>
        </w:rPr>
      </w:pPr>
      <w:r>
        <w:rPr>
          <w:rFonts w:cs="Times New Roman"/>
        </w:rPr>
        <w:br w:type="page"/>
      </w:r>
    </w:p>
    <w:p w14:paraId="4F2D932B" w14:textId="77777777" w:rsidR="0041565F" w:rsidRDefault="009A3521">
      <w:pPr>
        <w:widowControl/>
        <w:rPr>
          <w:rFonts w:cs="Times New Roman"/>
        </w:rPr>
      </w:pPr>
      <w:r>
        <w:rPr>
          <w:rFonts w:cs="Times New Roman"/>
          <w:noProof/>
        </w:rPr>
        <w:lastRenderedPageBreak/>
        <w:drawing>
          <wp:inline distT="0" distB="0" distL="114300" distR="114300" wp14:anchorId="55913D93" wp14:editId="3FF40718">
            <wp:extent cx="5271770" cy="4072890"/>
            <wp:effectExtent l="0" t="0" r="508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1770" cy="4072890"/>
                    </a:xfrm>
                    <a:prstGeom prst="rect">
                      <a:avLst/>
                    </a:prstGeom>
                    <a:noFill/>
                    <a:ln>
                      <a:noFill/>
                    </a:ln>
                  </pic:spPr>
                </pic:pic>
              </a:graphicData>
            </a:graphic>
          </wp:inline>
        </w:drawing>
      </w:r>
    </w:p>
    <w:p w14:paraId="2273B070" w14:textId="77777777" w:rsidR="0041565F" w:rsidRDefault="0041565F">
      <w:pPr>
        <w:widowControl/>
        <w:jc w:val="center"/>
        <w:rPr>
          <w:rFonts w:cs="Times New Roman"/>
          <w:b/>
          <w:szCs w:val="21"/>
        </w:rPr>
      </w:pPr>
    </w:p>
    <w:p w14:paraId="4B448E08" w14:textId="77777777" w:rsidR="0041565F" w:rsidRDefault="009A3521">
      <w:pPr>
        <w:widowControl/>
        <w:jc w:val="center"/>
        <w:rPr>
          <w:rFonts w:cs="Times New Roman"/>
          <w:kern w:val="0"/>
          <w:szCs w:val="21"/>
        </w:rPr>
      </w:pPr>
      <w:r>
        <w:rPr>
          <w:rFonts w:cs="Times New Roman"/>
          <w:b/>
          <w:szCs w:val="21"/>
        </w:rPr>
        <w:t xml:space="preserve">Fig. S4. </w:t>
      </w:r>
      <w:r>
        <w:rPr>
          <w:rFonts w:cs="Times New Roman"/>
          <w:kern w:val="0"/>
          <w:szCs w:val="21"/>
        </w:rPr>
        <w:t>Chromatograms of TMSO and TMSO</w:t>
      </w:r>
      <w:r>
        <w:rPr>
          <w:rFonts w:cs="Times New Roman"/>
          <w:kern w:val="0"/>
          <w:szCs w:val="21"/>
          <w:vertAlign w:val="subscript"/>
        </w:rPr>
        <w:t>2</w:t>
      </w:r>
      <w:r>
        <w:rPr>
          <w:rFonts w:cs="Times New Roman"/>
          <w:kern w:val="0"/>
          <w:szCs w:val="21"/>
        </w:rPr>
        <w:t xml:space="preserve"> in ultra-high performance liquid chromatography.</w:t>
      </w:r>
    </w:p>
    <w:p w14:paraId="20099E7A" w14:textId="77777777" w:rsidR="0041565F" w:rsidRDefault="0041565F">
      <w:pPr>
        <w:widowControl/>
        <w:jc w:val="center"/>
        <w:rPr>
          <w:rFonts w:cs="Times New Roman"/>
          <w:color w:val="0000FF"/>
          <w:kern w:val="0"/>
          <w:szCs w:val="21"/>
        </w:rPr>
      </w:pPr>
    </w:p>
    <w:p w14:paraId="2C11726F" w14:textId="77777777" w:rsidR="0041565F" w:rsidRDefault="009A3521">
      <w:pPr>
        <w:rPr>
          <w:rFonts w:cs="Times New Roman"/>
        </w:rPr>
      </w:pPr>
      <w:r>
        <w:rPr>
          <w:rFonts w:cs="Times New Roman"/>
        </w:rPr>
        <w:br w:type="page"/>
      </w:r>
    </w:p>
    <w:p w14:paraId="345FC412" w14:textId="77777777" w:rsidR="0041565F" w:rsidRDefault="009A3521">
      <w:pPr>
        <w:jc w:val="center"/>
        <w:rPr>
          <w:rFonts w:cs="Times New Roman"/>
        </w:rPr>
      </w:pPr>
      <w:r>
        <w:rPr>
          <w:rFonts w:cs="Times New Roman"/>
          <w:noProof/>
        </w:rPr>
        <w:lastRenderedPageBreak/>
        <w:drawing>
          <wp:inline distT="0" distB="0" distL="114300" distR="114300" wp14:anchorId="0FC103A1" wp14:editId="7AB4FE24">
            <wp:extent cx="3717290" cy="2844165"/>
            <wp:effectExtent l="0" t="0" r="16510" b="13335"/>
            <wp:docPr id="1" name="图片 1" descr="9a259559620fd9ec2c4064850a22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a259559620fd9ec2c4064850a226f3"/>
                    <pic:cNvPicPr>
                      <a:picLocks noChangeAspect="1"/>
                    </pic:cNvPicPr>
                  </pic:nvPicPr>
                  <pic:blipFill>
                    <a:blip r:embed="rId10"/>
                    <a:stretch>
                      <a:fillRect/>
                    </a:stretch>
                  </pic:blipFill>
                  <pic:spPr>
                    <a:xfrm>
                      <a:off x="0" y="0"/>
                      <a:ext cx="3717290" cy="2844165"/>
                    </a:xfrm>
                    <a:prstGeom prst="rect">
                      <a:avLst/>
                    </a:prstGeom>
                  </pic:spPr>
                </pic:pic>
              </a:graphicData>
            </a:graphic>
          </wp:inline>
        </w:drawing>
      </w:r>
    </w:p>
    <w:p w14:paraId="58F1C5C6" w14:textId="77777777" w:rsidR="0041565F" w:rsidRDefault="009A3521">
      <w:pPr>
        <w:widowControl/>
        <w:jc w:val="center"/>
        <w:rPr>
          <w:rFonts w:cs="Times New Roman"/>
          <w:kern w:val="0"/>
          <w:szCs w:val="21"/>
        </w:rPr>
      </w:pPr>
      <w:r>
        <w:rPr>
          <w:rFonts w:cs="Times New Roman"/>
          <w:b/>
          <w:szCs w:val="21"/>
        </w:rPr>
        <w:t xml:space="preserve">Fig. S5. </w:t>
      </w:r>
      <w:r>
        <w:rPr>
          <w:rFonts w:cs="Times New Roman"/>
          <w:kern w:val="0"/>
          <w:szCs w:val="21"/>
        </w:rPr>
        <w:t>Removal of TOC in the PS/Fe</w:t>
      </w:r>
      <w:r>
        <w:rPr>
          <w:rFonts w:cs="Times New Roman"/>
          <w:kern w:val="0"/>
          <w:szCs w:val="21"/>
          <w:vertAlign w:val="superscript"/>
        </w:rPr>
        <w:t>2+</w:t>
      </w:r>
      <w:r>
        <w:rPr>
          <w:rFonts w:cs="Times New Roman"/>
          <w:kern w:val="0"/>
          <w:szCs w:val="21"/>
        </w:rPr>
        <w:t xml:space="preserve"> system.</w:t>
      </w:r>
    </w:p>
    <w:p w14:paraId="4E3D1199" w14:textId="77777777" w:rsidR="0041565F" w:rsidRDefault="009A3521">
      <w:pPr>
        <w:rPr>
          <w:rFonts w:cs="Times New Roman"/>
          <w:kern w:val="0"/>
          <w:szCs w:val="21"/>
        </w:rPr>
      </w:pPr>
      <w:r>
        <w:rPr>
          <w:rFonts w:cs="Times New Roman"/>
          <w:kern w:val="0"/>
          <w:szCs w:val="21"/>
        </w:rPr>
        <w:br w:type="page"/>
      </w:r>
    </w:p>
    <w:p w14:paraId="17D8FE2A" w14:textId="77777777" w:rsidR="0041565F" w:rsidRDefault="009A3521">
      <w:pPr>
        <w:widowControl/>
        <w:jc w:val="center"/>
        <w:rPr>
          <w:rFonts w:cs="Times New Roman"/>
        </w:rPr>
      </w:pPr>
      <w:r>
        <w:rPr>
          <w:rFonts w:cs="Times New Roman"/>
          <w:noProof/>
        </w:rPr>
        <w:lastRenderedPageBreak/>
        <w:drawing>
          <wp:inline distT="0" distB="0" distL="114300" distR="114300" wp14:anchorId="0C86B64C" wp14:editId="270C47F8">
            <wp:extent cx="3513455" cy="2689860"/>
            <wp:effectExtent l="0" t="0" r="6985"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3513455" cy="2689860"/>
                    </a:xfrm>
                    <a:prstGeom prst="rect">
                      <a:avLst/>
                    </a:prstGeom>
                    <a:noFill/>
                    <a:ln>
                      <a:noFill/>
                    </a:ln>
                  </pic:spPr>
                </pic:pic>
              </a:graphicData>
            </a:graphic>
          </wp:inline>
        </w:drawing>
      </w:r>
    </w:p>
    <w:p w14:paraId="7A9B5417" w14:textId="77777777" w:rsidR="0041565F" w:rsidRDefault="009A3521">
      <w:pPr>
        <w:widowControl/>
        <w:jc w:val="center"/>
        <w:rPr>
          <w:rFonts w:cs="Times New Roman"/>
          <w:bCs/>
        </w:rPr>
      </w:pPr>
      <w:r>
        <w:rPr>
          <w:rFonts w:cs="Times New Roman"/>
          <w:b/>
          <w:szCs w:val="21"/>
        </w:rPr>
        <w:t xml:space="preserve">Fig. S6. </w:t>
      </w:r>
      <w:r>
        <w:rPr>
          <w:rFonts w:cs="Times New Roman"/>
          <w:bCs/>
          <w:szCs w:val="21"/>
        </w:rPr>
        <w:t>Changes in pH in different pH systems. pH</w:t>
      </w:r>
      <w:r>
        <w:rPr>
          <w:rFonts w:cs="Times New Roman"/>
          <w:bCs/>
          <w:szCs w:val="21"/>
          <w:vertAlign w:val="subscript"/>
        </w:rPr>
        <w:t>i</w:t>
      </w:r>
      <w:r>
        <w:rPr>
          <w:rFonts w:cs="Times New Roman"/>
          <w:bCs/>
          <w:szCs w:val="21"/>
        </w:rPr>
        <w:t xml:space="preserve"> is the initial pH of the system;pH</w:t>
      </w:r>
      <w:r>
        <w:rPr>
          <w:rFonts w:cs="Times New Roman"/>
          <w:bCs/>
          <w:szCs w:val="21"/>
          <w:vertAlign w:val="subscript"/>
        </w:rPr>
        <w:t>PS</w:t>
      </w:r>
      <w:r>
        <w:rPr>
          <w:rFonts w:cs="Times New Roman"/>
          <w:bCs/>
          <w:szCs w:val="21"/>
        </w:rPr>
        <w:t xml:space="preserve"> is the pH after the addition of PS; pH is the pH</w:t>
      </w:r>
      <w:r>
        <w:rPr>
          <w:rFonts w:cs="Times New Roman"/>
          <w:bCs/>
          <w:szCs w:val="21"/>
          <w:vertAlign w:val="subscript"/>
        </w:rPr>
        <w:t>f</w:t>
      </w:r>
      <w:r>
        <w:rPr>
          <w:rFonts w:cs="Times New Roman"/>
          <w:bCs/>
          <w:szCs w:val="21"/>
        </w:rPr>
        <w:t xml:space="preserve"> after one hour of reaction.</w:t>
      </w:r>
    </w:p>
    <w:p w14:paraId="33F5F775" w14:textId="77777777" w:rsidR="0041565F" w:rsidRDefault="009A3521">
      <w:pPr>
        <w:rPr>
          <w:rFonts w:cs="Times New Roman"/>
        </w:rPr>
      </w:pPr>
      <w:r>
        <w:rPr>
          <w:rFonts w:cs="Times New Roman"/>
        </w:rPr>
        <w:br w:type="page"/>
      </w:r>
    </w:p>
    <w:p w14:paraId="7E231C24" w14:textId="77777777" w:rsidR="0041565F" w:rsidRDefault="009A3521">
      <w:pPr>
        <w:spacing w:line="360" w:lineRule="auto"/>
        <w:rPr>
          <w:rFonts w:cs="Times New Roman"/>
          <w:sz w:val="24"/>
        </w:rPr>
      </w:pPr>
      <w:r>
        <w:rPr>
          <w:rFonts w:eastAsia="宋体" w:cs="Times New Roman"/>
          <w:b/>
          <w:bCs/>
          <w:sz w:val="24"/>
        </w:rPr>
        <w:lastRenderedPageBreak/>
        <w:t xml:space="preserve">Table S1. </w:t>
      </w:r>
      <w:r>
        <w:rPr>
          <w:rFonts w:eastAsia="宋体" w:cs="Times New Roman"/>
          <w:sz w:val="24"/>
        </w:rPr>
        <w:t>%RSE in different PS systems.</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1228"/>
        <w:gridCol w:w="2196"/>
        <w:gridCol w:w="905"/>
        <w:gridCol w:w="2027"/>
      </w:tblGrid>
      <w:tr w:rsidR="0041565F" w14:paraId="53DA7AE2" w14:textId="77777777">
        <w:trPr>
          <w:jc w:val="center"/>
        </w:trPr>
        <w:tc>
          <w:tcPr>
            <w:tcW w:w="2166" w:type="dxa"/>
            <w:tcBorders>
              <w:top w:val="single" w:sz="4" w:space="0" w:color="auto"/>
              <w:bottom w:val="single" w:sz="4" w:space="0" w:color="auto"/>
            </w:tcBorders>
            <w:vAlign w:val="center"/>
          </w:tcPr>
          <w:p w14:paraId="23FB8CB6" w14:textId="77777777" w:rsidR="0041565F" w:rsidRDefault="009A3521">
            <w:pPr>
              <w:jc w:val="center"/>
              <w:rPr>
                <w:rFonts w:cs="Times New Roman"/>
                <w:sz w:val="24"/>
              </w:rPr>
            </w:pPr>
            <w:r>
              <w:rPr>
                <w:rFonts w:cs="Times New Roman"/>
                <w:sz w:val="24"/>
              </w:rPr>
              <w:t>Activation</w:t>
            </w:r>
          </w:p>
          <w:p w14:paraId="0451F0DF" w14:textId="77777777" w:rsidR="0041565F" w:rsidRDefault="009A3521">
            <w:pPr>
              <w:jc w:val="center"/>
              <w:rPr>
                <w:rFonts w:cs="Times New Roman"/>
                <w:sz w:val="24"/>
              </w:rPr>
            </w:pPr>
            <w:r>
              <w:rPr>
                <w:rFonts w:cs="Times New Roman"/>
                <w:sz w:val="24"/>
              </w:rPr>
              <w:t>method</w:t>
            </w:r>
          </w:p>
        </w:tc>
        <w:tc>
          <w:tcPr>
            <w:tcW w:w="1228" w:type="dxa"/>
            <w:tcBorders>
              <w:top w:val="single" w:sz="4" w:space="0" w:color="auto"/>
              <w:bottom w:val="single" w:sz="4" w:space="0" w:color="auto"/>
            </w:tcBorders>
            <w:vAlign w:val="center"/>
          </w:tcPr>
          <w:p w14:paraId="56924AD1" w14:textId="77777777" w:rsidR="0041565F" w:rsidRPr="009B4102" w:rsidRDefault="009A3521">
            <w:pPr>
              <w:jc w:val="center"/>
              <w:rPr>
                <w:rFonts w:cs="Times New Roman"/>
                <w:sz w:val="24"/>
                <w:lang w:val="fr-FR"/>
              </w:rPr>
            </w:pPr>
            <w:r w:rsidRPr="009B4102">
              <w:rPr>
                <w:rFonts w:cs="Times New Roman"/>
                <w:sz w:val="24"/>
                <w:lang w:val="fr-FR"/>
              </w:rPr>
              <w:t>PS/PMS</w:t>
            </w:r>
          </w:p>
          <w:p w14:paraId="454D096B" w14:textId="77777777" w:rsidR="0041565F" w:rsidRPr="009B4102" w:rsidRDefault="009A3521">
            <w:pPr>
              <w:jc w:val="center"/>
              <w:rPr>
                <w:rFonts w:cs="Times New Roman"/>
                <w:sz w:val="24"/>
                <w:lang w:val="fr-FR"/>
              </w:rPr>
            </w:pPr>
            <w:r w:rsidRPr="009B4102">
              <w:rPr>
                <w:rFonts w:cs="Times New Roman"/>
                <w:sz w:val="24"/>
                <w:lang w:val="fr-FR"/>
              </w:rPr>
              <w:t>dosage</w:t>
            </w:r>
          </w:p>
          <w:p w14:paraId="376F3160" w14:textId="77777777" w:rsidR="0041565F" w:rsidRPr="009B4102" w:rsidRDefault="009A3521">
            <w:pPr>
              <w:jc w:val="center"/>
              <w:rPr>
                <w:rFonts w:cs="Times New Roman"/>
                <w:sz w:val="24"/>
                <w:lang w:val="fr-FR"/>
              </w:rPr>
            </w:pPr>
            <w:r w:rsidRPr="009B4102">
              <w:rPr>
                <w:rFonts w:cs="Times New Roman"/>
                <w:sz w:val="24"/>
                <w:lang w:val="fr-FR"/>
              </w:rPr>
              <w:t>(mmol/L)</w:t>
            </w:r>
          </w:p>
        </w:tc>
        <w:tc>
          <w:tcPr>
            <w:tcW w:w="2196" w:type="dxa"/>
            <w:tcBorders>
              <w:top w:val="single" w:sz="4" w:space="0" w:color="auto"/>
              <w:bottom w:val="single" w:sz="4" w:space="0" w:color="auto"/>
            </w:tcBorders>
            <w:vAlign w:val="center"/>
          </w:tcPr>
          <w:p w14:paraId="3FC6121B" w14:textId="77777777" w:rsidR="0041565F" w:rsidRDefault="009A3521">
            <w:pPr>
              <w:jc w:val="center"/>
              <w:rPr>
                <w:rFonts w:cs="Times New Roman"/>
                <w:sz w:val="24"/>
              </w:rPr>
            </w:pPr>
            <w:r>
              <w:rPr>
                <w:rFonts w:cs="Times New Roman"/>
                <w:sz w:val="24"/>
              </w:rPr>
              <w:t>Pollutants</w:t>
            </w:r>
          </w:p>
        </w:tc>
        <w:tc>
          <w:tcPr>
            <w:tcW w:w="905" w:type="dxa"/>
            <w:tcBorders>
              <w:top w:val="single" w:sz="4" w:space="0" w:color="auto"/>
              <w:bottom w:val="single" w:sz="4" w:space="0" w:color="auto"/>
            </w:tcBorders>
            <w:vAlign w:val="center"/>
          </w:tcPr>
          <w:p w14:paraId="2CB174AB" w14:textId="77777777" w:rsidR="0041565F" w:rsidRDefault="009A3521">
            <w:pPr>
              <w:jc w:val="center"/>
              <w:rPr>
                <w:rFonts w:cs="Times New Roman"/>
                <w:sz w:val="24"/>
              </w:rPr>
            </w:pPr>
            <w:r>
              <w:rPr>
                <w:rFonts w:cs="Times New Roman"/>
                <w:sz w:val="24"/>
              </w:rPr>
              <w:t>%RSE</w:t>
            </w:r>
          </w:p>
        </w:tc>
        <w:tc>
          <w:tcPr>
            <w:tcW w:w="2027" w:type="dxa"/>
            <w:tcBorders>
              <w:top w:val="single" w:sz="4" w:space="0" w:color="auto"/>
              <w:bottom w:val="single" w:sz="4" w:space="0" w:color="auto"/>
            </w:tcBorders>
            <w:vAlign w:val="center"/>
          </w:tcPr>
          <w:p w14:paraId="2ED59C50" w14:textId="77777777" w:rsidR="0041565F" w:rsidRDefault="009A3521">
            <w:pPr>
              <w:jc w:val="center"/>
              <w:rPr>
                <w:rFonts w:cs="Times New Roman"/>
                <w:sz w:val="24"/>
              </w:rPr>
            </w:pPr>
            <w:r>
              <w:rPr>
                <w:rFonts w:cs="Times New Roman"/>
                <w:sz w:val="24"/>
              </w:rPr>
              <w:t>Reference</w:t>
            </w:r>
          </w:p>
        </w:tc>
      </w:tr>
      <w:tr w:rsidR="0041565F" w14:paraId="1174D0B0" w14:textId="77777777">
        <w:trPr>
          <w:jc w:val="center"/>
        </w:trPr>
        <w:tc>
          <w:tcPr>
            <w:tcW w:w="2166" w:type="dxa"/>
            <w:tcBorders>
              <w:top w:val="single" w:sz="4" w:space="0" w:color="auto"/>
            </w:tcBorders>
            <w:vAlign w:val="center"/>
          </w:tcPr>
          <w:p w14:paraId="7FA9176D" w14:textId="77777777" w:rsidR="0041565F" w:rsidRDefault="009A3521">
            <w:pPr>
              <w:jc w:val="center"/>
              <w:rPr>
                <w:rFonts w:cs="Times New Roman"/>
                <w:sz w:val="24"/>
              </w:rPr>
            </w:pPr>
            <w:r>
              <w:rPr>
                <w:rFonts w:eastAsia="宋体" w:cs="Times New Roman"/>
                <w:color w:val="000000"/>
                <w:kern w:val="0"/>
                <w:sz w:val="24"/>
                <w:lang w:bidi="ar"/>
              </w:rPr>
              <w:t>Fe</w:t>
            </w:r>
            <w:r>
              <w:rPr>
                <w:rFonts w:eastAsia="宋体" w:cs="Times New Roman"/>
                <w:color w:val="000000"/>
                <w:kern w:val="0"/>
                <w:sz w:val="24"/>
                <w:vertAlign w:val="superscript"/>
                <w:lang w:bidi="ar"/>
              </w:rPr>
              <w:t>2+</w:t>
            </w:r>
          </w:p>
        </w:tc>
        <w:tc>
          <w:tcPr>
            <w:tcW w:w="1228" w:type="dxa"/>
            <w:tcBorders>
              <w:top w:val="single" w:sz="4" w:space="0" w:color="auto"/>
            </w:tcBorders>
            <w:vAlign w:val="center"/>
          </w:tcPr>
          <w:p w14:paraId="14F49CF2" w14:textId="77777777" w:rsidR="0041565F" w:rsidRDefault="009A3521">
            <w:pPr>
              <w:widowControl/>
              <w:jc w:val="center"/>
              <w:rPr>
                <w:rFonts w:cs="Times New Roman"/>
                <w:sz w:val="24"/>
              </w:rPr>
            </w:pPr>
            <w:r>
              <w:rPr>
                <w:rFonts w:eastAsia="Times-Roman" w:cs="Times New Roman"/>
                <w:color w:val="000000"/>
                <w:kern w:val="0"/>
                <w:sz w:val="24"/>
                <w:lang w:bidi="ar"/>
              </w:rPr>
              <w:t>1.0</w:t>
            </w:r>
          </w:p>
        </w:tc>
        <w:tc>
          <w:tcPr>
            <w:tcW w:w="2196" w:type="dxa"/>
            <w:tcBorders>
              <w:top w:val="single" w:sz="4" w:space="0" w:color="auto"/>
            </w:tcBorders>
            <w:vAlign w:val="center"/>
          </w:tcPr>
          <w:p w14:paraId="0735BC92" w14:textId="77777777" w:rsidR="0041565F" w:rsidRDefault="009A3521">
            <w:pPr>
              <w:widowControl/>
              <w:jc w:val="center"/>
              <w:rPr>
                <w:rFonts w:cs="Times New Roman"/>
                <w:sz w:val="24"/>
              </w:rPr>
            </w:pPr>
            <w:r>
              <w:rPr>
                <w:rFonts w:eastAsia="Times-Roman" w:cs="Times New Roman"/>
                <w:color w:val="000000"/>
                <w:kern w:val="0"/>
                <w:sz w:val="24"/>
                <w:lang w:bidi="ar"/>
              </w:rPr>
              <w:t>sulfamethoxazole</w:t>
            </w:r>
          </w:p>
        </w:tc>
        <w:tc>
          <w:tcPr>
            <w:tcW w:w="905" w:type="dxa"/>
            <w:tcBorders>
              <w:top w:val="single" w:sz="4" w:space="0" w:color="auto"/>
            </w:tcBorders>
            <w:vAlign w:val="center"/>
          </w:tcPr>
          <w:p w14:paraId="338FD98C" w14:textId="77777777" w:rsidR="0041565F" w:rsidRDefault="009A3521">
            <w:pPr>
              <w:jc w:val="center"/>
              <w:rPr>
                <w:rFonts w:cs="Times New Roman"/>
                <w:sz w:val="24"/>
              </w:rPr>
            </w:pPr>
            <w:r>
              <w:rPr>
                <w:rFonts w:eastAsia="宋体" w:cs="Times New Roman"/>
                <w:color w:val="000000"/>
                <w:kern w:val="0"/>
                <w:sz w:val="24"/>
                <w:lang w:bidi="ar"/>
              </w:rPr>
              <w:t>5.55%</w:t>
            </w:r>
          </w:p>
        </w:tc>
        <w:tc>
          <w:tcPr>
            <w:tcW w:w="2027" w:type="dxa"/>
            <w:tcBorders>
              <w:top w:val="single" w:sz="4" w:space="0" w:color="auto"/>
            </w:tcBorders>
            <w:vAlign w:val="center"/>
          </w:tcPr>
          <w:p w14:paraId="3099A5A7" w14:textId="77777777" w:rsidR="0041565F" w:rsidRDefault="009A3521">
            <w:pPr>
              <w:jc w:val="center"/>
              <w:rPr>
                <w:rFonts w:cs="Times New Roman"/>
                <w:sz w:val="24"/>
              </w:rPr>
            </w:pPr>
            <w:r>
              <w:rPr>
                <w:rFonts w:cs="Times New Roman"/>
                <w:sz w:val="24"/>
              </w:rPr>
              <w:fldChar w:fldCharType="begin"/>
            </w:r>
            <w:r>
              <w:rPr>
                <w:rFonts w:cs="Times New Roman"/>
                <w:sz w:val="24"/>
              </w:rPr>
              <w:instrText xml:space="preserve"> ADDIN ZOTERO_ITEM CSL_CITATION {"citationID":"j8cISnvv","properties":{"formattedCitation":"(Ayoub and Ghauch, 2014)","plainCitation":"(Ayoub and Ghauch, 2014)","noteIndex":0},"citationItems":[{"id":434,"uris":["http://zotero.org/users/local/s9rg3UFG/items/82U5LFGB"],"itemData":{"id":434,"type":"article-journal","abstract":"This work investigated the potential of different iron-based systems to activate persulfate (PS) into sulfate radicals (SRs) through catalytic electron transfer. SRs were then used to degrade sulfamethoxazole (SMX) in water. PS activators like Fe2+, Fe0, AgFe and CoFe (bimetallics), AgCoFe and CoAgFe (trimetallics) were tested on SMX solution (39.5 µM) spiked with PS (1.0 mM). Results on SMX degradation showed better kinetics and efficiency in case of non-plated iron particles used compared to bimetallic and trimetallic systems as well as Fe2+ at early stage of the reaction. Direct and sequential addition of Fe2+ resulted in better reaction stoichiometric efficiency (RSE) however did not yield full SMX degradation in contrast to metallic particles. Bimetallic and trimetallic systems showed higher RSE than Fe0 initially due to less PS consumption while maintaining acceptable SMX degradation rate. Smooth corrosion was responsible of progressive release of iron corrosion products for SRs production. However, in case of improved corrosion, generated SRs were quenched by an excess of ironbased activators which negatively affected the RSE. SMX mineralization was greatly improved in oxic solution rather than in anoxic medium. This work demonstrated the potential of ironbased systems to sustain PS longer in oxic solutions without the production of heavy sludge or formation of transformation products that can burden the treatment process.","container-title":"Chemical Engineering Journal","DOI":"10.1016/j.cej.2014.07.002","ISSN":"13858947","journalAbbreviation":"Chemical Engineering Journal","language":"en","page":"280-292","source":"DOI.org (Crossref)","title":"Assessment of bimetallic and trimetallic iron-based systems for persulfate activation: Application to sulfamethoxazole degradation","title-short":"Assessment of bimetallic and trimetallic iron-based systems for persulfate activation","volume":"256","author":[{"family":"Ayoub","given":"Ghada"},{"family":"Ghauch","given":"Antoine"}],"issued":{"date-parts":[["2014",11]]}}}],"schema":"https://github.com/citation-style-language/schema/raw/master/csl-citation.json"} </w:instrText>
            </w:r>
            <w:r>
              <w:rPr>
                <w:rFonts w:cs="Times New Roman"/>
                <w:sz w:val="24"/>
              </w:rPr>
              <w:fldChar w:fldCharType="separate"/>
            </w:r>
            <w:r>
              <w:rPr>
                <w:rFonts w:cs="Times New Roman"/>
                <w:sz w:val="24"/>
              </w:rPr>
              <w:t>(Ayoub and Ghauch, 2014)</w:t>
            </w:r>
            <w:r>
              <w:rPr>
                <w:rFonts w:cs="Times New Roman"/>
                <w:sz w:val="24"/>
              </w:rPr>
              <w:fldChar w:fldCharType="end"/>
            </w:r>
          </w:p>
        </w:tc>
      </w:tr>
      <w:tr w:rsidR="0041565F" w14:paraId="711ADC3D" w14:textId="77777777">
        <w:trPr>
          <w:jc w:val="center"/>
        </w:trPr>
        <w:tc>
          <w:tcPr>
            <w:tcW w:w="2166" w:type="dxa"/>
            <w:vAlign w:val="center"/>
          </w:tcPr>
          <w:p w14:paraId="49769B52" w14:textId="77777777" w:rsidR="0041565F" w:rsidRDefault="009A3521">
            <w:pPr>
              <w:jc w:val="center"/>
              <w:rPr>
                <w:rFonts w:cs="Times New Roman"/>
                <w:sz w:val="24"/>
              </w:rPr>
            </w:pPr>
            <w:r>
              <w:rPr>
                <w:rFonts w:eastAsia="宋体" w:cs="Times New Roman"/>
                <w:color w:val="000000"/>
                <w:kern w:val="0"/>
                <w:sz w:val="24"/>
                <w:lang w:bidi="ar"/>
              </w:rPr>
              <w:t>Fe</w:t>
            </w:r>
            <w:r>
              <w:rPr>
                <w:rFonts w:eastAsia="宋体" w:cs="Times New Roman"/>
                <w:color w:val="000000"/>
                <w:kern w:val="0"/>
                <w:sz w:val="24"/>
                <w:vertAlign w:val="superscript"/>
                <w:lang w:bidi="ar"/>
              </w:rPr>
              <w:t>0</w:t>
            </w:r>
          </w:p>
        </w:tc>
        <w:tc>
          <w:tcPr>
            <w:tcW w:w="1228" w:type="dxa"/>
            <w:vAlign w:val="center"/>
          </w:tcPr>
          <w:p w14:paraId="66317925" w14:textId="77777777" w:rsidR="0041565F" w:rsidRDefault="009A3521">
            <w:pPr>
              <w:jc w:val="center"/>
              <w:rPr>
                <w:rFonts w:cs="Times New Roman"/>
                <w:sz w:val="24"/>
              </w:rPr>
            </w:pPr>
            <w:r>
              <w:rPr>
                <w:rFonts w:eastAsia="Times-Roman" w:cs="Times New Roman"/>
                <w:color w:val="000000"/>
                <w:kern w:val="0"/>
                <w:sz w:val="24"/>
                <w:lang w:bidi="ar"/>
              </w:rPr>
              <w:t>1.0</w:t>
            </w:r>
          </w:p>
        </w:tc>
        <w:tc>
          <w:tcPr>
            <w:tcW w:w="2196" w:type="dxa"/>
            <w:vAlign w:val="center"/>
          </w:tcPr>
          <w:p w14:paraId="130170E9" w14:textId="77777777" w:rsidR="0041565F" w:rsidRDefault="009A3521">
            <w:pPr>
              <w:widowControl/>
              <w:jc w:val="center"/>
              <w:rPr>
                <w:rFonts w:cs="Times New Roman"/>
                <w:sz w:val="24"/>
              </w:rPr>
            </w:pPr>
            <w:r>
              <w:rPr>
                <w:rFonts w:eastAsia="Times-Roman" w:cs="Times New Roman"/>
                <w:color w:val="000000"/>
                <w:kern w:val="0"/>
                <w:sz w:val="24"/>
                <w:lang w:bidi="ar"/>
              </w:rPr>
              <w:t>sulfamethoxazole</w:t>
            </w:r>
          </w:p>
        </w:tc>
        <w:tc>
          <w:tcPr>
            <w:tcW w:w="905" w:type="dxa"/>
            <w:vAlign w:val="center"/>
          </w:tcPr>
          <w:p w14:paraId="395566C6" w14:textId="77777777" w:rsidR="0041565F" w:rsidRDefault="009A3521">
            <w:pPr>
              <w:jc w:val="center"/>
              <w:rPr>
                <w:rFonts w:cs="Times New Roman"/>
                <w:sz w:val="24"/>
              </w:rPr>
            </w:pPr>
            <w:r>
              <w:rPr>
                <w:rFonts w:eastAsia="宋体" w:cs="Times New Roman"/>
                <w:color w:val="000000"/>
                <w:kern w:val="0"/>
                <w:sz w:val="24"/>
                <w:lang w:bidi="ar"/>
              </w:rPr>
              <w:t>5.20%</w:t>
            </w:r>
          </w:p>
        </w:tc>
        <w:tc>
          <w:tcPr>
            <w:tcW w:w="2027" w:type="dxa"/>
            <w:vAlign w:val="center"/>
          </w:tcPr>
          <w:p w14:paraId="1C548263" w14:textId="77777777" w:rsidR="0041565F" w:rsidRDefault="009A3521">
            <w:pPr>
              <w:jc w:val="center"/>
              <w:rPr>
                <w:rFonts w:cs="Times New Roman"/>
                <w:sz w:val="24"/>
              </w:rPr>
            </w:pPr>
            <w:r>
              <w:rPr>
                <w:rFonts w:cs="Times New Roman"/>
                <w:sz w:val="24"/>
              </w:rPr>
              <w:fldChar w:fldCharType="begin"/>
            </w:r>
            <w:r>
              <w:rPr>
                <w:rFonts w:cs="Times New Roman"/>
                <w:sz w:val="24"/>
              </w:rPr>
              <w:instrText xml:space="preserve"> ADDIN ZOTERO_ITEM CSL_CITATION {"citationID":"QAMWb9X8","properties":{"formattedCitation":"(Ayoub and Ghauch, 2014)","plainCitation":"(Ayoub and Ghauch, 2014)","noteIndex":0},"citationItems":[{"id":434,"uris":["http://zotero.org/users/local/s9rg3UFG/items/82U5LFGB"],"itemData":{"id":434,"type":"article-journal","abstract":"This work investigated the potential of different iron-based systems to activate persulfate (PS) into sulfate radicals (SRs) through catalytic electron transfer. SRs were then used to degrade sulfamethoxazole (SMX) in water. PS activators like Fe2+, Fe0, AgFe and CoFe (bimetallics), AgCoFe and CoAgFe (trimetallics) were tested on SMX solution (39.5 µM) spiked with PS (1.0 mM). Results on SMX degradation showed better kinetics and efficiency in case of non-plated iron particles used compared to bimetallic and trimetallic systems as well as Fe2+ at early stage of the reaction. Direct and sequential addition of Fe2+ resulted in better reaction stoichiometric efficiency (RSE) however did not yield full SMX degradation in contrast to metallic particles. Bimetallic and trimetallic systems showed higher RSE than Fe0 initially due to less PS consumption while maintaining acceptable SMX degradation rate. Smooth corrosion was responsible of progressive release of iron corrosion products for SRs production. However, in case of improved corrosion, generated SRs were quenched by an excess of ironbased activators which negatively affected the RSE. SMX mineralization was greatly improved in oxic solution rather than in anoxic medium. This work demonstrated the potential of ironbased systems to sustain PS longer in oxic solutions without the production of heavy sludge or formation of transformation products that can burden the treatment process.","container-title":"Chemical Engineering Journal","DOI":"10.1016/j.cej.2014.07.002","ISSN":"13858947","journalAbbreviation":"Chemical Engineering Journal","language":"en","page":"280-292","source":"DOI.org (Crossref)","title":"Assessment of bimetallic and trimetallic iron-based systems for persulfate activation: Application to sulfamethoxazole degradation","title-short":"Assessment of bimetallic and trimetallic iron-based systems for persulfate activation","volume":"256","author":[{"family":"Ayoub","given":"Ghada"},{"family":"Ghauch","given":"Antoine"}],"issued":{"date-parts":[["2014",11]]}}}],"schema":"https://github.com/citation-style-language/schema/raw/master/csl-citation.json"} </w:instrText>
            </w:r>
            <w:r>
              <w:rPr>
                <w:rFonts w:cs="Times New Roman"/>
                <w:sz w:val="24"/>
              </w:rPr>
              <w:fldChar w:fldCharType="separate"/>
            </w:r>
            <w:r>
              <w:rPr>
                <w:rFonts w:cs="Times New Roman"/>
                <w:sz w:val="24"/>
              </w:rPr>
              <w:t>(Ayoub and Ghauch, 2014)</w:t>
            </w:r>
            <w:r>
              <w:rPr>
                <w:rFonts w:cs="Times New Roman"/>
                <w:sz w:val="24"/>
              </w:rPr>
              <w:fldChar w:fldCharType="end"/>
            </w:r>
          </w:p>
        </w:tc>
      </w:tr>
      <w:tr w:rsidR="0041565F" w14:paraId="381F74F6" w14:textId="77777777">
        <w:trPr>
          <w:jc w:val="center"/>
        </w:trPr>
        <w:tc>
          <w:tcPr>
            <w:tcW w:w="2166" w:type="dxa"/>
            <w:vAlign w:val="center"/>
          </w:tcPr>
          <w:p w14:paraId="2E800CEB" w14:textId="77777777" w:rsidR="0041565F" w:rsidRDefault="009A3521">
            <w:pPr>
              <w:jc w:val="center"/>
              <w:rPr>
                <w:rFonts w:eastAsia="宋体" w:cs="Times New Roman"/>
                <w:color w:val="000000"/>
                <w:kern w:val="0"/>
                <w:sz w:val="24"/>
                <w:lang w:bidi="ar"/>
              </w:rPr>
            </w:pPr>
            <w:r>
              <w:rPr>
                <w:rFonts w:eastAsia="宋体" w:cs="Times New Roman"/>
                <w:color w:val="000000"/>
                <w:kern w:val="0"/>
                <w:sz w:val="24"/>
                <w:lang w:bidi="ar"/>
              </w:rPr>
              <w:t>nZVI/RS500</w:t>
            </w:r>
          </w:p>
        </w:tc>
        <w:tc>
          <w:tcPr>
            <w:tcW w:w="1228" w:type="dxa"/>
            <w:vAlign w:val="center"/>
          </w:tcPr>
          <w:p w14:paraId="017C577C" w14:textId="77777777" w:rsidR="0041565F" w:rsidRDefault="009A3521">
            <w:pPr>
              <w:jc w:val="center"/>
              <w:rPr>
                <w:rFonts w:cs="Times New Roman"/>
                <w:sz w:val="24"/>
              </w:rPr>
            </w:pPr>
            <w:r>
              <w:rPr>
                <w:rFonts w:cs="Times New Roman"/>
                <w:sz w:val="24"/>
              </w:rPr>
              <w:t>2.0</w:t>
            </w:r>
          </w:p>
        </w:tc>
        <w:tc>
          <w:tcPr>
            <w:tcW w:w="2196" w:type="dxa"/>
            <w:vAlign w:val="center"/>
          </w:tcPr>
          <w:p w14:paraId="1A34E7CC" w14:textId="77777777" w:rsidR="0041565F" w:rsidRDefault="009A3521">
            <w:pPr>
              <w:jc w:val="center"/>
              <w:rPr>
                <w:rFonts w:cs="Times New Roman"/>
                <w:sz w:val="24"/>
              </w:rPr>
            </w:pPr>
            <w:r>
              <w:rPr>
                <w:rFonts w:eastAsia="宋体" w:cs="Times New Roman"/>
                <w:color w:val="000000"/>
                <w:kern w:val="0"/>
                <w:sz w:val="24"/>
                <w:lang w:bidi="ar"/>
              </w:rPr>
              <w:t>monochlorobenzene</w:t>
            </w:r>
          </w:p>
        </w:tc>
        <w:tc>
          <w:tcPr>
            <w:tcW w:w="905" w:type="dxa"/>
            <w:vAlign w:val="center"/>
          </w:tcPr>
          <w:p w14:paraId="7AAD35FA" w14:textId="77777777" w:rsidR="0041565F" w:rsidRDefault="009A3521">
            <w:pPr>
              <w:jc w:val="center"/>
              <w:rPr>
                <w:rFonts w:cs="Times New Roman"/>
                <w:sz w:val="24"/>
              </w:rPr>
            </w:pPr>
            <w:r>
              <w:rPr>
                <w:rFonts w:eastAsia="宋体" w:cs="Times New Roman"/>
                <w:color w:val="000000"/>
                <w:kern w:val="0"/>
                <w:sz w:val="24"/>
                <w:lang w:bidi="ar"/>
              </w:rPr>
              <w:t>4.10%</w:t>
            </w:r>
          </w:p>
        </w:tc>
        <w:tc>
          <w:tcPr>
            <w:tcW w:w="2027" w:type="dxa"/>
            <w:vAlign w:val="center"/>
          </w:tcPr>
          <w:p w14:paraId="61FCBE5A" w14:textId="77777777" w:rsidR="0041565F" w:rsidRDefault="009A3521">
            <w:pPr>
              <w:jc w:val="center"/>
              <w:rPr>
                <w:rFonts w:cs="Times New Roman"/>
                <w:sz w:val="24"/>
              </w:rPr>
            </w:pPr>
            <w:r>
              <w:rPr>
                <w:rFonts w:cs="Times New Roman"/>
                <w:sz w:val="24"/>
              </w:rPr>
              <w:fldChar w:fldCharType="begin"/>
            </w:r>
            <w:r>
              <w:rPr>
                <w:rFonts w:cs="Times New Roman"/>
                <w:sz w:val="24"/>
              </w:rPr>
              <w:instrText xml:space="preserve"> ADDIN ZOTERO_ITEM CSL_CITATION {"citationID":"1TL3FhpR","properties":{"formattedCitation":"(Yang et al., 2020)","plainCitation":"(Yang et al., 2020)","noteIndex":0},"citationItems":[{"id":436,"uris":["http://zotero.org/users/local/s9rg3UFG/items/ZJKL6QPF"],"itemData":{"id":436,"type":"article-journal","container-title":"Chemical Engineering Journal","DOI":"10.1016/j.cej.2020.125811","ISSN":"13858947","journalAbbreviation":"Chemical Engineering Journal","language":"en","page":"125811","source":"DOI.org (Crossref)","title":"Mechanistic insights into adsorptive and oxidative removal of monochlorobenzene in biochar-supported nanoscale zero-valent iron/persulfate system","volume":"400","author":[{"family":"Yang","given":"Lei"},{"family":"Chen","given":"Yun"},{"family":"Ouyang","given":"Da"},{"family":"Yan","given":"Jingchun"},{"family":"Qian","given":"Linbo"},{"family":"Han","given":"Lu"},{"family":"Chen","given":"Mengfang"},{"family":"Li","given":"Jing"},{"family":"Gu","given":"Mingyue"}],"issued":{"date-parts":[["2020",11]]}}}],"schema":"https://github.com/citation-style-language/schema/raw/master/csl-citation.json"} </w:instrText>
            </w:r>
            <w:r>
              <w:rPr>
                <w:rFonts w:cs="Times New Roman"/>
                <w:sz w:val="24"/>
              </w:rPr>
              <w:fldChar w:fldCharType="separate"/>
            </w:r>
            <w:r>
              <w:rPr>
                <w:rFonts w:cs="Times New Roman"/>
                <w:sz w:val="24"/>
              </w:rPr>
              <w:t>(Yang et al., 2020)</w:t>
            </w:r>
            <w:r>
              <w:rPr>
                <w:rFonts w:cs="Times New Roman"/>
                <w:sz w:val="24"/>
              </w:rPr>
              <w:fldChar w:fldCharType="end"/>
            </w:r>
          </w:p>
        </w:tc>
      </w:tr>
      <w:tr w:rsidR="0041565F" w14:paraId="1DAC13FB" w14:textId="77777777">
        <w:trPr>
          <w:jc w:val="center"/>
        </w:trPr>
        <w:tc>
          <w:tcPr>
            <w:tcW w:w="2166" w:type="dxa"/>
            <w:vAlign w:val="center"/>
          </w:tcPr>
          <w:p w14:paraId="29D6DB48" w14:textId="77777777" w:rsidR="0041565F" w:rsidRDefault="009A3521">
            <w:pPr>
              <w:jc w:val="center"/>
              <w:rPr>
                <w:rFonts w:eastAsia="宋体" w:cs="Times New Roman"/>
                <w:color w:val="000000"/>
                <w:kern w:val="0"/>
                <w:sz w:val="24"/>
                <w:lang w:bidi="ar"/>
              </w:rPr>
            </w:pPr>
            <w:r>
              <w:rPr>
                <w:rFonts w:eastAsia="宋体" w:cs="Times New Roman"/>
                <w:color w:val="000000"/>
                <w:kern w:val="0"/>
                <w:sz w:val="24"/>
                <w:lang w:bidi="ar"/>
              </w:rPr>
              <w:t>thermal (T =60 ◦C)</w:t>
            </w:r>
          </w:p>
        </w:tc>
        <w:tc>
          <w:tcPr>
            <w:tcW w:w="1228" w:type="dxa"/>
            <w:vAlign w:val="center"/>
          </w:tcPr>
          <w:p w14:paraId="32A731CC" w14:textId="77777777" w:rsidR="0041565F" w:rsidRDefault="009A3521">
            <w:pPr>
              <w:jc w:val="center"/>
              <w:rPr>
                <w:rFonts w:cs="Times New Roman"/>
                <w:sz w:val="24"/>
              </w:rPr>
            </w:pPr>
            <w:r>
              <w:rPr>
                <w:rFonts w:cs="Times New Roman"/>
                <w:sz w:val="24"/>
              </w:rPr>
              <w:t>2.0</w:t>
            </w:r>
          </w:p>
        </w:tc>
        <w:tc>
          <w:tcPr>
            <w:tcW w:w="2196" w:type="dxa"/>
            <w:vAlign w:val="center"/>
          </w:tcPr>
          <w:p w14:paraId="532E3460" w14:textId="77777777" w:rsidR="0041565F" w:rsidRDefault="009A3521">
            <w:pPr>
              <w:jc w:val="center"/>
              <w:rPr>
                <w:rFonts w:cs="Times New Roman"/>
                <w:sz w:val="24"/>
              </w:rPr>
            </w:pPr>
            <w:r>
              <w:rPr>
                <w:rFonts w:eastAsia="宋体" w:cs="Times New Roman"/>
                <w:color w:val="000000"/>
                <w:kern w:val="0"/>
                <w:sz w:val="24"/>
                <w:lang w:bidi="ar"/>
              </w:rPr>
              <w:t>ketoprofen</w:t>
            </w:r>
          </w:p>
        </w:tc>
        <w:tc>
          <w:tcPr>
            <w:tcW w:w="905" w:type="dxa"/>
            <w:vAlign w:val="center"/>
          </w:tcPr>
          <w:p w14:paraId="2E9C3BD7" w14:textId="77777777" w:rsidR="0041565F" w:rsidRDefault="009A3521">
            <w:pPr>
              <w:jc w:val="center"/>
              <w:rPr>
                <w:rFonts w:cs="Times New Roman"/>
                <w:sz w:val="24"/>
              </w:rPr>
            </w:pPr>
            <w:r>
              <w:rPr>
                <w:rFonts w:eastAsia="宋体" w:cs="Times New Roman"/>
                <w:color w:val="000000"/>
                <w:kern w:val="0"/>
                <w:sz w:val="24"/>
                <w:lang w:bidi="ar"/>
              </w:rPr>
              <w:t>1.55%</w:t>
            </w:r>
          </w:p>
        </w:tc>
        <w:tc>
          <w:tcPr>
            <w:tcW w:w="2027" w:type="dxa"/>
            <w:vAlign w:val="center"/>
          </w:tcPr>
          <w:p w14:paraId="3AB06F56" w14:textId="77777777" w:rsidR="0041565F" w:rsidRDefault="009A3521">
            <w:pPr>
              <w:jc w:val="center"/>
              <w:rPr>
                <w:rFonts w:cs="Times New Roman"/>
                <w:sz w:val="24"/>
              </w:rPr>
            </w:pPr>
            <w:r>
              <w:rPr>
                <w:rFonts w:cs="Times New Roman"/>
                <w:sz w:val="24"/>
              </w:rPr>
              <w:fldChar w:fldCharType="begin"/>
            </w:r>
            <w:r>
              <w:rPr>
                <w:rFonts w:cs="Times New Roman"/>
                <w:sz w:val="24"/>
              </w:rPr>
              <w:instrText xml:space="preserve"> ADDIN ZOTERO_ITEM CSL_CITATION {"citationID":"tlqh0sXa","properties":{"formattedCitation":"(Amasha et al., 2018)","plainCitation":"(Amasha et al., 2018)","noteIndex":0},"citationItems":[{"id":437,"uris":["http://zotero.org/users/local/s9rg3UFG/items/P3PGYCEU"],"itemData":{"id":437,"type":"article-journal","abstract":"This work assessed the treatment of ketoprofen (KTP) using persulfate (PS) based Advanced Oxidation Process (AOP) activated thermally, chemically (Fe2+) or by UV. KTP degradation was optimized by manipulating several experimental parameters to achieve efficient KTP and its byproducts removal. Parameters included: PS concentration, Fe2+ concentration, temperature, pH, dissolved ions e.g. Cl−, HCO3−, and humic acids (HA). Results showed that: (i) KTP degraded significantly in UV only systems in contrary to thermal and chemical systems where KTP was resistant in PS free solutions; (ii) KTP degradation extent increased with the increase in [PS]0 while it was highly dependent on the [Fe2+]0:[PS]0 molar ratio; (iii) The activation energy (EA) calculated in thermal activation experiments was found to be 157.02 (±8.9) kJ mol−1; (iv) The highest % reaction stoichiometric efficiency calculated only in thermal systems reached 38%; (v) Sequential KTP additions showed that the UV system was the most sustainable, followed by the thermal system while the chemical system was the least sustainable. (vi) KTP dissolved in a non-treated waste water matrix was best removed along with present coliforms in UV system. KTP transformation products were identified by HPLC/MS and a degradation reaction pathway was suggested. This study led to the conclusion that UV/PS systems are the most economically efficient among the three investigated PS-based systems.","container-title":"Chemical Engineering Journal","DOI":"10.1016/j.cej.2018.05.118","ISSN":"1385-8947","journalAbbreviation":"Chemical Engineering Journal","page":"395-410","source":"ScienceDirect","title":"A comparative study of the common persulfate activation techniques for the complete degradation of an NSAID: The case of ketoprofen","title-short":"A comparative study of the common persulfate activation techniques for the complete degradation of an NSAID","volume":"350","author":[{"family":"Amasha","given":"Maya"},{"family":"Baalbaki","given":"Abbas"},{"family":"Ghauch","given":"Antoine"}],"issued":{"date-parts":[["2018",10,15]]}}}],"schema":"https://github.com/citation-style-language/schema/raw/master/csl-citation.json"} </w:instrText>
            </w:r>
            <w:r>
              <w:rPr>
                <w:rFonts w:cs="Times New Roman"/>
                <w:sz w:val="24"/>
              </w:rPr>
              <w:fldChar w:fldCharType="separate"/>
            </w:r>
            <w:r>
              <w:rPr>
                <w:rFonts w:cs="Times New Roman"/>
                <w:sz w:val="24"/>
              </w:rPr>
              <w:t>(Amasha et al., 2018)</w:t>
            </w:r>
            <w:r>
              <w:rPr>
                <w:rFonts w:cs="Times New Roman"/>
                <w:sz w:val="24"/>
              </w:rPr>
              <w:fldChar w:fldCharType="end"/>
            </w:r>
          </w:p>
        </w:tc>
      </w:tr>
      <w:tr w:rsidR="0041565F" w14:paraId="67646C6B" w14:textId="77777777">
        <w:trPr>
          <w:jc w:val="center"/>
        </w:trPr>
        <w:tc>
          <w:tcPr>
            <w:tcW w:w="2166" w:type="dxa"/>
            <w:vAlign w:val="center"/>
          </w:tcPr>
          <w:p w14:paraId="6D874093" w14:textId="77777777" w:rsidR="0041565F" w:rsidRDefault="009A3521">
            <w:pPr>
              <w:jc w:val="center"/>
              <w:rPr>
                <w:rFonts w:eastAsia="宋体" w:cs="Times New Roman"/>
                <w:color w:val="000000"/>
                <w:kern w:val="0"/>
                <w:sz w:val="24"/>
                <w:lang w:bidi="ar"/>
              </w:rPr>
            </w:pPr>
            <w:r>
              <w:rPr>
                <w:rFonts w:eastAsia="宋体" w:cs="Times New Roman"/>
                <w:color w:val="000000"/>
                <w:kern w:val="0"/>
                <w:sz w:val="24"/>
                <w:lang w:bidi="ar"/>
              </w:rPr>
              <w:t>N, S-doped porous carbons</w:t>
            </w:r>
          </w:p>
        </w:tc>
        <w:tc>
          <w:tcPr>
            <w:tcW w:w="1228" w:type="dxa"/>
            <w:vAlign w:val="center"/>
          </w:tcPr>
          <w:p w14:paraId="78C530AC" w14:textId="77777777" w:rsidR="0041565F" w:rsidRDefault="009A3521">
            <w:pPr>
              <w:jc w:val="center"/>
              <w:rPr>
                <w:rFonts w:cs="Times New Roman"/>
                <w:sz w:val="24"/>
              </w:rPr>
            </w:pPr>
            <w:r>
              <w:rPr>
                <w:rFonts w:cs="Times New Roman"/>
                <w:sz w:val="24"/>
              </w:rPr>
              <w:t>8</w:t>
            </w:r>
          </w:p>
        </w:tc>
        <w:tc>
          <w:tcPr>
            <w:tcW w:w="2196" w:type="dxa"/>
            <w:vAlign w:val="center"/>
          </w:tcPr>
          <w:p w14:paraId="3FE93EA1" w14:textId="77777777" w:rsidR="0041565F" w:rsidRDefault="009A3521">
            <w:pPr>
              <w:jc w:val="center"/>
              <w:rPr>
                <w:rFonts w:cs="Times New Roman"/>
                <w:sz w:val="24"/>
              </w:rPr>
            </w:pPr>
            <w:r>
              <w:rPr>
                <w:rFonts w:eastAsia="宋体" w:cs="Times New Roman"/>
                <w:color w:val="000000"/>
                <w:kern w:val="0"/>
                <w:sz w:val="24"/>
                <w:lang w:bidi="ar"/>
              </w:rPr>
              <w:t>tetracycline</w:t>
            </w:r>
          </w:p>
        </w:tc>
        <w:tc>
          <w:tcPr>
            <w:tcW w:w="905" w:type="dxa"/>
            <w:vAlign w:val="center"/>
          </w:tcPr>
          <w:p w14:paraId="721481F9" w14:textId="77777777" w:rsidR="0041565F" w:rsidRDefault="009A3521">
            <w:pPr>
              <w:jc w:val="center"/>
              <w:rPr>
                <w:rFonts w:cs="Times New Roman"/>
                <w:sz w:val="24"/>
              </w:rPr>
            </w:pPr>
            <w:r>
              <w:rPr>
                <w:rFonts w:eastAsia="宋体" w:cs="Times New Roman"/>
                <w:color w:val="000000"/>
                <w:kern w:val="0"/>
                <w:sz w:val="24"/>
                <w:lang w:bidi="ar"/>
              </w:rPr>
              <w:t>1.50%</w:t>
            </w:r>
          </w:p>
        </w:tc>
        <w:tc>
          <w:tcPr>
            <w:tcW w:w="2027" w:type="dxa"/>
            <w:vAlign w:val="center"/>
          </w:tcPr>
          <w:p w14:paraId="17CB2558" w14:textId="77777777" w:rsidR="0041565F" w:rsidRDefault="009A3521">
            <w:pPr>
              <w:jc w:val="center"/>
              <w:rPr>
                <w:rFonts w:cs="Times New Roman"/>
                <w:sz w:val="24"/>
              </w:rPr>
            </w:pPr>
            <w:r>
              <w:rPr>
                <w:rFonts w:cs="Times New Roman"/>
                <w:sz w:val="24"/>
              </w:rPr>
              <w:fldChar w:fldCharType="begin"/>
            </w:r>
            <w:r>
              <w:rPr>
                <w:rFonts w:cs="Times New Roman"/>
                <w:sz w:val="24"/>
              </w:rPr>
              <w:instrText xml:space="preserve"> ADDIN ZOTERO_ITEM CSL_CITATION {"citationID":"eqorQYpG","properties":{"formattedCitation":"(Huo et al., 2020)","plainCitation":"(Huo et al., 2020)","noteIndex":0},"citationItems":[{"id":438,"uris":["http://zotero.org/users/local/s9rg3UFG/items/L5674795"],"itemData":{"id":438,"type":"article-journal","abstract":"Nitrogen and sulfur-codoped porous carbons (SNCs) with porous structures and high surface areas were successfully synthesized employing coffee grounds, sodium bicarbonate and L-cysteine monohydrochloride as precursors. The SNCs were highly efficient for adsorption and exhibited outstanding catalytic performance for the oxidative degradation of tetracycline hydrochloride (TeC) solutions, especially at a calcined temperature of 700 °C (SNCs-700). The radical quenching, advanced in situ electron paramagnetic resonance (EPR) technology, PS decomposition rates and Linear Sweep Voltammetry (LSV) indicated that the excellent oxidative effectiveness of the PS/SNCs-700 system originated from the nonradical pathways (singlet oxygen (1O2) and electron transfer). It’s supposed that N and S doping can effectively create point defects, which could generate 1O2, while carbonyl groups were determined to be the main active sites contributing to the electron transfer. TeC degradation intermediates were also identified, three degradation pathways, revealing that the pre-adsorption significantly accelerated the nonradical oxidation pathways. This approach provides an innovative method for the large-scale production and application of high-quality catalysts in water treatment.","container-title":"Journal of Hazardous Materials","DOI":"10.1016/j.jhazmat.2020.122055","ISSN":"0304-3894","journalAbbreviation":"Journal of Hazardous Materials","page":"122055","source":"ScienceDirect","title":"N, S-Doped porous carbons for persulfate activation to remove tetracycline: Nonradical mechanism","title-short":"N, S-Doped porous carbons for persulfate activation to remove tetracycline","volume":"391","author":[{"family":"Huo","given":"Xiaowei"},{"family":"Zhou","given":"Peng"},{"family":"Zhang","given":"Jing"},{"family":"Liu","given":"Yunxin"},{"family":"Cheng","given":"Xin"},{"family":"Liu","given":"Yang"},{"family":"Li","given":"Wenshu"},{"family":"Zhang","given":"Yongli"}],"issued":{"date-parts":[["2020",6,5]]}}}],"schema":"https://github.com/citation-style-language/schema/raw/master/csl-citation.json"} </w:instrText>
            </w:r>
            <w:r>
              <w:rPr>
                <w:rFonts w:cs="Times New Roman"/>
                <w:sz w:val="24"/>
              </w:rPr>
              <w:fldChar w:fldCharType="separate"/>
            </w:r>
            <w:r>
              <w:rPr>
                <w:rFonts w:cs="Times New Roman"/>
                <w:sz w:val="24"/>
              </w:rPr>
              <w:t>(Huo et al., 2020)</w:t>
            </w:r>
            <w:r>
              <w:rPr>
                <w:rFonts w:cs="Times New Roman"/>
                <w:sz w:val="24"/>
              </w:rPr>
              <w:fldChar w:fldCharType="end"/>
            </w:r>
          </w:p>
        </w:tc>
      </w:tr>
      <w:tr w:rsidR="0041565F" w14:paraId="5A6618CE" w14:textId="77777777">
        <w:trPr>
          <w:jc w:val="center"/>
        </w:trPr>
        <w:tc>
          <w:tcPr>
            <w:tcW w:w="2166" w:type="dxa"/>
            <w:tcBorders>
              <w:bottom w:val="single" w:sz="4" w:space="0" w:color="auto"/>
            </w:tcBorders>
            <w:vAlign w:val="center"/>
          </w:tcPr>
          <w:p w14:paraId="12A041B4" w14:textId="77777777" w:rsidR="0041565F" w:rsidRDefault="009A3521">
            <w:pPr>
              <w:jc w:val="center"/>
              <w:rPr>
                <w:rFonts w:eastAsia="宋体" w:cs="Times New Roman"/>
                <w:color w:val="000000"/>
                <w:kern w:val="0"/>
                <w:sz w:val="24"/>
                <w:lang w:bidi="ar"/>
              </w:rPr>
            </w:pPr>
            <w:r>
              <w:rPr>
                <w:rFonts w:eastAsia="宋体" w:cs="Times New Roman"/>
                <w:color w:val="000000"/>
                <w:kern w:val="0"/>
                <w:sz w:val="24"/>
                <w:lang w:bidi="ar"/>
              </w:rPr>
              <w:t>UV</w:t>
            </w:r>
          </w:p>
        </w:tc>
        <w:tc>
          <w:tcPr>
            <w:tcW w:w="1228" w:type="dxa"/>
            <w:tcBorders>
              <w:bottom w:val="single" w:sz="4" w:space="0" w:color="auto"/>
            </w:tcBorders>
            <w:vAlign w:val="center"/>
          </w:tcPr>
          <w:p w14:paraId="29056165" w14:textId="77777777" w:rsidR="0041565F" w:rsidRDefault="009A3521">
            <w:pPr>
              <w:jc w:val="center"/>
              <w:rPr>
                <w:rFonts w:cs="Times New Roman"/>
                <w:sz w:val="24"/>
              </w:rPr>
            </w:pPr>
            <w:r>
              <w:rPr>
                <w:rFonts w:cs="Times New Roman"/>
                <w:sz w:val="24"/>
              </w:rPr>
              <w:t>0.5</w:t>
            </w:r>
          </w:p>
        </w:tc>
        <w:tc>
          <w:tcPr>
            <w:tcW w:w="2196" w:type="dxa"/>
            <w:tcBorders>
              <w:bottom w:val="single" w:sz="4" w:space="0" w:color="auto"/>
            </w:tcBorders>
            <w:vAlign w:val="center"/>
          </w:tcPr>
          <w:p w14:paraId="4E7632B6" w14:textId="77777777" w:rsidR="0041565F" w:rsidRDefault="009A3521">
            <w:pPr>
              <w:jc w:val="center"/>
              <w:rPr>
                <w:rFonts w:cs="Times New Roman"/>
                <w:sz w:val="24"/>
              </w:rPr>
            </w:pPr>
            <w:r>
              <w:rPr>
                <w:rFonts w:eastAsia="宋体" w:cs="Times New Roman"/>
                <w:color w:val="000000"/>
                <w:kern w:val="0"/>
                <w:sz w:val="24"/>
                <w:lang w:bidi="ar"/>
              </w:rPr>
              <w:t>chloramphenicol</w:t>
            </w:r>
          </w:p>
        </w:tc>
        <w:tc>
          <w:tcPr>
            <w:tcW w:w="905" w:type="dxa"/>
            <w:tcBorders>
              <w:bottom w:val="single" w:sz="4" w:space="0" w:color="auto"/>
            </w:tcBorders>
            <w:vAlign w:val="center"/>
          </w:tcPr>
          <w:p w14:paraId="278453D9" w14:textId="77777777" w:rsidR="0041565F" w:rsidRDefault="009A3521">
            <w:pPr>
              <w:jc w:val="center"/>
              <w:rPr>
                <w:rFonts w:cs="Times New Roman"/>
                <w:sz w:val="24"/>
              </w:rPr>
            </w:pPr>
            <w:r>
              <w:rPr>
                <w:rFonts w:eastAsia="宋体" w:cs="Times New Roman"/>
                <w:color w:val="000000"/>
                <w:kern w:val="0"/>
                <w:sz w:val="24"/>
                <w:lang w:bidi="ar"/>
              </w:rPr>
              <w:t>24%</w:t>
            </w:r>
          </w:p>
        </w:tc>
        <w:tc>
          <w:tcPr>
            <w:tcW w:w="2027" w:type="dxa"/>
            <w:tcBorders>
              <w:bottom w:val="single" w:sz="4" w:space="0" w:color="auto"/>
            </w:tcBorders>
            <w:vAlign w:val="center"/>
          </w:tcPr>
          <w:p w14:paraId="1A917C9B" w14:textId="77777777" w:rsidR="0041565F" w:rsidRDefault="009A3521">
            <w:pPr>
              <w:jc w:val="center"/>
              <w:rPr>
                <w:rFonts w:cs="Times New Roman"/>
                <w:sz w:val="24"/>
              </w:rPr>
            </w:pPr>
            <w:r>
              <w:rPr>
                <w:rFonts w:cs="Times New Roman"/>
                <w:sz w:val="24"/>
              </w:rPr>
              <w:fldChar w:fldCharType="begin"/>
            </w:r>
            <w:r>
              <w:rPr>
                <w:rFonts w:cs="Times New Roman"/>
                <w:sz w:val="24"/>
              </w:rPr>
              <w:instrText xml:space="preserve"> ADDIN ZOTERO_ITEM CSL_CITATION {"citationID":"P0nUiREC","properties":{"formattedCitation":"(Ghauch et al., 2017)","plainCitation":"(Ghauch et al., 2017)","noteIndex":0},"citationItems":[{"id":439,"uris":["http://zotero.org/users/local/s9rg3UFG/items/NJF89WQJ"],"itemData":{"id":439,"type":"article-journal","abstract":"In this work, we investigated the treatment of chloramphenicol (CAP) solution using a persulfate (PS)-based Advanced Oxidation Process (AOP) generating sulfate and hydroxyl radicals upon exposure to low intensity UV. Experiments were carried out at 20°C in photo-reactors equipped with 4.9 Watt Low Pressure Mercury Lamp (LPHgL). Several experimental parameters were varied and evaluated to optimize the degradation process reaching therefore better mineralization of CAP and its degradation products. Parameters included: UV power, PS concentration, pH, dissolved ions e.g. HCO3−, Cl−, SO42−, nutrients e.g. NO3−, NO2−, HPO42− and organic acids e.g. fumaric acid, humic acids. Results showed that: (i) CAP degradation followed pseudo-first order kinetics with an optimized t1/2 lesser than 5min under controlled conditions; (ii) CAP mineralization extent was proportional to the amount of PS used (0.25–5.0mM) with no mineralization noticed in the absence of PS; (iii) The calculated % reaction stoichiometric efficiency (RSE) reached values up to 52% comparable to that of RSE obtained in thermally activated PS systems, however, exceeding by far RSE values in chemically activated systems; (iv) PS can be sustained in solution at high % RSE upon sequential CAP addition; (v) CAP partially disappeared along with coliforms in CAP-spiked non-treated wastewater samples using UV/PS system under moderate conditions; (vi) The optimized AOP showed an experimental break-even point between mineralization and CAP degradation at [PS]=0.5mM and a fluence of 330J for 1h reaction. CAP transformation products were identified by HPLC/MS and a CAP primary degradation reaction pathway was proposed. This study demonstrated that UV/PS system is much stronger than UV-only system for rapid and complete mineralization of CAP in water.","container-title":"Chemical Engineering Journal","DOI":"10.1016/j.cej.2017.02.133","ISSN":"1385-8947","journalAbbreviation":"Chemical Engineering Journal","page":"1012-1025","source":"ScienceDirect","title":"Contribution of persulfate in UV-254   nm activated systems for complete degradation of chloramphenicol antibiotic in water","volume":"317","author":[{"family":"Ghauch","given":"Antoine"},{"family":"Baalbaki","given":"Abbas"},{"family":"Amasha","given":"Maya"},{"family":"El Asmar","given":"Rime"},{"family":"Tantawi","given":"Omar"}],"issued":{"date-parts":[["2017",6,1]]}}}],"schema":"https://github.com/citation-style-language/schema/raw/master/csl-citation.json"} </w:instrText>
            </w:r>
            <w:r>
              <w:rPr>
                <w:rFonts w:cs="Times New Roman"/>
                <w:sz w:val="24"/>
              </w:rPr>
              <w:fldChar w:fldCharType="separate"/>
            </w:r>
            <w:r>
              <w:rPr>
                <w:rFonts w:cs="Times New Roman"/>
                <w:sz w:val="24"/>
              </w:rPr>
              <w:t>(Ghauch et al., 2017)</w:t>
            </w:r>
            <w:r>
              <w:rPr>
                <w:rFonts w:cs="Times New Roman"/>
                <w:sz w:val="24"/>
              </w:rPr>
              <w:fldChar w:fldCharType="end"/>
            </w:r>
          </w:p>
        </w:tc>
      </w:tr>
    </w:tbl>
    <w:p w14:paraId="19D27027" w14:textId="77777777" w:rsidR="0041565F" w:rsidRDefault="009A3521">
      <w:pPr>
        <w:rPr>
          <w:rFonts w:cs="Times New Roman"/>
          <w:sz w:val="24"/>
        </w:rPr>
      </w:pPr>
      <w:r>
        <w:rPr>
          <w:rFonts w:cs="Times New Roman"/>
          <w:sz w:val="24"/>
        </w:rPr>
        <w:br w:type="page"/>
      </w:r>
    </w:p>
    <w:p w14:paraId="39254F6D" w14:textId="77777777" w:rsidR="0041565F" w:rsidRDefault="009A3521">
      <w:pPr>
        <w:pStyle w:val="1"/>
        <w:rPr>
          <w:rFonts w:cs="Times New Roman"/>
          <w:b/>
          <w:bCs/>
          <w:sz w:val="24"/>
        </w:rPr>
      </w:pPr>
      <w:r>
        <w:rPr>
          <w:rFonts w:cs="Times New Roman"/>
          <w:b/>
          <w:bCs/>
          <w:sz w:val="24"/>
        </w:rPr>
        <w:lastRenderedPageBreak/>
        <w:t>Reference</w:t>
      </w:r>
    </w:p>
    <w:p w14:paraId="6764D878" w14:textId="77777777" w:rsidR="0041565F" w:rsidRDefault="009A3521">
      <w:pPr>
        <w:pStyle w:val="1"/>
        <w:rPr>
          <w:rFonts w:cs="Times New Roman"/>
          <w:sz w:val="24"/>
        </w:rPr>
      </w:pPr>
      <w:r>
        <w:rPr>
          <w:rFonts w:cs="Times New Roman"/>
          <w:sz w:val="24"/>
        </w:rPr>
        <w:fldChar w:fldCharType="begin"/>
      </w:r>
      <w:r>
        <w:rPr>
          <w:rFonts w:cs="Times New Roman"/>
          <w:sz w:val="24"/>
        </w:rPr>
        <w:instrText xml:space="preserve"> ADDIN ZOTERO_BIBL {"uncited":[],"omitted":[],"custom":[]} CSL_BIBLIOGRAPHY </w:instrText>
      </w:r>
      <w:r>
        <w:rPr>
          <w:rFonts w:cs="Times New Roman"/>
          <w:sz w:val="24"/>
        </w:rPr>
        <w:fldChar w:fldCharType="separate"/>
      </w:r>
      <w:r>
        <w:rPr>
          <w:rFonts w:cs="Times New Roman"/>
          <w:sz w:val="24"/>
        </w:rPr>
        <w:t>Amasha, M., Baalbaki, A., Ghauch, A., 2018. A comparative study of the common persulfate activation techniques for the complete degradation of an NSAID: The case of ketoprofen. Chemical Engineering Journal 350, 395–410. https://doi.org/10.1016/j.cej.2018.05.118</w:t>
      </w:r>
    </w:p>
    <w:p w14:paraId="22D16590" w14:textId="77777777" w:rsidR="0041565F" w:rsidRDefault="009A3521">
      <w:pPr>
        <w:pStyle w:val="1"/>
        <w:rPr>
          <w:rFonts w:cs="Times New Roman"/>
          <w:sz w:val="24"/>
        </w:rPr>
      </w:pPr>
      <w:r>
        <w:rPr>
          <w:rFonts w:cs="Times New Roman"/>
          <w:sz w:val="24"/>
        </w:rPr>
        <w:t>Ayoub, G., Ghauch, A., 2014. Assessment of bimetallic and trimetallic iron-based systems for persulfate activation: Application to sulfamethoxazole degradation. Chemical Engineering Journal 256, 280–292. https://doi.org/10.1016/j.cej.2014.07.002</w:t>
      </w:r>
    </w:p>
    <w:p w14:paraId="5632035A" w14:textId="77777777" w:rsidR="0041565F" w:rsidRDefault="009A3521">
      <w:pPr>
        <w:pStyle w:val="1"/>
        <w:rPr>
          <w:rFonts w:cs="Times New Roman"/>
          <w:sz w:val="24"/>
        </w:rPr>
      </w:pPr>
      <w:r>
        <w:rPr>
          <w:rFonts w:cs="Times New Roman"/>
          <w:sz w:val="24"/>
        </w:rPr>
        <w:t>Ghauch, A., Baalbaki, A., Amasha, M., El Asmar, R., Tantawi, O., 2017. Contribution of persulfate in UV-254   nm activated systems for complete degradation of chloramphenicol antibiotic in water. Chemical Engineering Journal 317, 1012–1025. https://doi.org/10.1016/j.cej.2017.02.133</w:t>
      </w:r>
    </w:p>
    <w:p w14:paraId="57B77CD2" w14:textId="77777777" w:rsidR="0041565F" w:rsidRDefault="009A3521">
      <w:pPr>
        <w:pStyle w:val="1"/>
        <w:rPr>
          <w:rFonts w:cs="Times New Roman"/>
          <w:sz w:val="24"/>
        </w:rPr>
      </w:pPr>
      <w:r>
        <w:rPr>
          <w:rFonts w:cs="Times New Roman"/>
          <w:sz w:val="24"/>
        </w:rPr>
        <w:t>Huo, X., Zhou, P., Zhang, J., Liu, Yunxin, Cheng, X., Liu, Yang, Li, W., Zhang, Y., 2020. N, S-Doped porous carbons for persulfate activation to remove tetracycline: Nonradical mechanism. Journal of Hazardous Materials 391, 122055. https://doi.org/10.1016/j.jhazmat.2020.122055</w:t>
      </w:r>
    </w:p>
    <w:p w14:paraId="353C580F" w14:textId="77777777" w:rsidR="0041565F" w:rsidRDefault="009A3521">
      <w:pPr>
        <w:pStyle w:val="1"/>
        <w:rPr>
          <w:rFonts w:cs="Times New Roman"/>
          <w:sz w:val="24"/>
        </w:rPr>
      </w:pPr>
      <w:r>
        <w:rPr>
          <w:rFonts w:cs="Times New Roman"/>
          <w:sz w:val="24"/>
        </w:rPr>
        <w:t>Yang, L., Chen, Y., Ouyang, D., Yan, J., Qian, L., Han, L., Chen, M., Li, J., Gu, M., 2020. Mechanistic insights into adsorptive and oxidative removal of monochlorobenzene in biochar-supported nanoscale zero-valent iron/persulfate system. Chemical Engineering Journal 400, 125811. https://doi.org/10.1016/j.cej.2020.125811</w:t>
      </w:r>
    </w:p>
    <w:p w14:paraId="670B1422" w14:textId="77777777" w:rsidR="0041565F" w:rsidRDefault="009A3521">
      <w:pPr>
        <w:pStyle w:val="1"/>
        <w:rPr>
          <w:rFonts w:cs="Times New Roman"/>
          <w:sz w:val="24"/>
        </w:rPr>
      </w:pPr>
      <w:r>
        <w:rPr>
          <w:rFonts w:cs="Times New Roman"/>
          <w:sz w:val="24"/>
        </w:rPr>
        <w:t>Wu, X., Zhang, J., Hu, S., Zhang, G., Lan, H., Peng, J., Liu, H., 2022. Evaluation of degradation performance toward antiviral drug ribavirin using advanced oxidation process and its relations to ecotoxicity evolution. Science of The Total Environment 850, 157851. https://doi.org/10.1016/j.scitotenv.2022.157851</w:t>
      </w:r>
    </w:p>
    <w:p w14:paraId="2F1050A4" w14:textId="77777777" w:rsidR="0041565F" w:rsidRDefault="009A3521">
      <w:pPr>
        <w:pStyle w:val="1"/>
        <w:rPr>
          <w:rFonts w:cs="Times New Roman"/>
          <w:sz w:val="24"/>
        </w:rPr>
      </w:pPr>
      <w:r>
        <w:rPr>
          <w:rFonts w:cs="Times New Roman"/>
          <w:sz w:val="24"/>
        </w:rPr>
        <w:t>Liu, X., Hong, Y., Ding, S., Jin, W., Dong, S., Xiao, R., Chu, W., 2021. Transformation of antiviral ribavirin during ozone/PMS intensified disinfection amid COVID-19 pandemic. Science of The Total Environment 790, 148030. https://doi.org/10.1016/j.scitotenv.2021.148030</w:t>
      </w:r>
    </w:p>
    <w:p w14:paraId="1FF279D3" w14:textId="77777777" w:rsidR="0041565F" w:rsidRDefault="009A3521">
      <w:pPr>
        <w:jc w:val="center"/>
        <w:rPr>
          <w:rFonts w:cs="Times New Roman"/>
          <w:sz w:val="24"/>
        </w:rPr>
      </w:pPr>
      <w:r>
        <w:rPr>
          <w:rFonts w:cs="Times New Roman"/>
          <w:sz w:val="24"/>
        </w:rPr>
        <w:fldChar w:fldCharType="end"/>
      </w:r>
      <w:bookmarkStart w:id="0" w:name="_GoBack"/>
      <w:bookmarkEnd w:id="0"/>
    </w:p>
    <w:sectPr w:rsidR="0041565F">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FB613" w14:textId="77777777" w:rsidR="00913695" w:rsidRDefault="00913695">
      <w:pPr>
        <w:spacing w:before="120" w:after="240"/>
      </w:pPr>
    </w:p>
  </w:endnote>
  <w:endnote w:type="continuationSeparator" w:id="0">
    <w:p w14:paraId="4943B88E" w14:textId="77777777" w:rsidR="00913695" w:rsidRDefault="00913695">
      <w:pPr>
        <w:spacing w:before="120" w:after="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79214" w14:textId="77777777" w:rsidR="00913695" w:rsidRDefault="00913695">
      <w:pPr>
        <w:spacing w:before="120" w:after="240"/>
      </w:pPr>
    </w:p>
  </w:footnote>
  <w:footnote w:type="continuationSeparator" w:id="0">
    <w:p w14:paraId="106005A1" w14:textId="77777777" w:rsidR="00913695" w:rsidRDefault="00913695">
      <w:pPr>
        <w:spacing w:before="120" w:after="24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2YmRiYmYyM2M2ODlhYTgxMjA1M2ZjYTNkZDliNWQifQ=="/>
  </w:docVars>
  <w:rsids>
    <w:rsidRoot w:val="00172A27"/>
    <w:rsid w:val="00172A27"/>
    <w:rsid w:val="002868B4"/>
    <w:rsid w:val="0041565F"/>
    <w:rsid w:val="00627BF0"/>
    <w:rsid w:val="00913695"/>
    <w:rsid w:val="009A3521"/>
    <w:rsid w:val="009B4102"/>
    <w:rsid w:val="00BE53A3"/>
    <w:rsid w:val="00C75D7E"/>
    <w:rsid w:val="02F97BF4"/>
    <w:rsid w:val="060D3F95"/>
    <w:rsid w:val="173F67F3"/>
    <w:rsid w:val="17CF42AB"/>
    <w:rsid w:val="2B273539"/>
    <w:rsid w:val="2C6E531E"/>
    <w:rsid w:val="30771B2F"/>
    <w:rsid w:val="419E40D4"/>
    <w:rsid w:val="5B9C122C"/>
    <w:rsid w:val="62C5706A"/>
    <w:rsid w:val="787900EB"/>
    <w:rsid w:val="7B1A5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B246821"/>
  <w15:docId w15:val="{511C7E40-5EA8-4567-B1E8-34FD9AEF9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semiHidden="1" w:qFormat="1"/>
    <w:lsdException w:name="Subtitle" w:qFormat="1"/>
    <w:lsdException w:name="Hyperlink"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eastAsiaTheme="minorEastAsia"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Default"/>
    <w:next w:val="Default"/>
    <w:autoRedefine/>
    <w:qFormat/>
    <w:pPr>
      <w:spacing w:before="152" w:after="160" w:line="240" w:lineRule="auto"/>
      <w:jc w:val="left"/>
    </w:pPr>
    <w:rPr>
      <w:rFonts w:ascii="宋体"/>
      <w:color w:val="auto"/>
    </w:rPr>
  </w:style>
  <w:style w:type="paragraph" w:customStyle="1" w:styleId="Default">
    <w:name w:val="Default"/>
    <w:autoRedefine/>
    <w:qFormat/>
    <w:pPr>
      <w:widowControl w:val="0"/>
      <w:autoSpaceDE w:val="0"/>
      <w:autoSpaceDN w:val="0"/>
      <w:adjustRightInd w:val="0"/>
      <w:spacing w:line="300" w:lineRule="auto"/>
      <w:jc w:val="center"/>
    </w:pPr>
    <w:rPr>
      <w:color w:val="000000"/>
      <w:sz w:val="24"/>
      <w:szCs w:val="24"/>
    </w:rPr>
  </w:style>
  <w:style w:type="paragraph" w:styleId="a4">
    <w:name w:val="Normal (Web)"/>
    <w:basedOn w:val="a"/>
    <w:autoRedefine/>
    <w:rPr>
      <w:sz w:val="24"/>
    </w:rPr>
  </w:style>
  <w:style w:type="table" w:styleId="a5">
    <w:name w:val="Table Grid"/>
    <w:basedOn w:val="a1"/>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书目1"/>
    <w:basedOn w:val="a"/>
    <w:qFormat/>
    <w:pPr>
      <w:ind w:left="720" w:hanging="720"/>
    </w:pPr>
  </w:style>
  <w:style w:type="paragraph" w:styleId="a6">
    <w:name w:val="header"/>
    <w:basedOn w:val="a"/>
    <w:link w:val="Char"/>
    <w:rsid w:val="00627BF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627BF0"/>
    <w:rPr>
      <w:rFonts w:eastAsiaTheme="minorEastAsia" w:cstheme="minorBidi"/>
      <w:kern w:val="2"/>
      <w:sz w:val="18"/>
      <w:szCs w:val="18"/>
    </w:rPr>
  </w:style>
  <w:style w:type="paragraph" w:styleId="a7">
    <w:name w:val="footer"/>
    <w:basedOn w:val="a"/>
    <w:link w:val="Char0"/>
    <w:rsid w:val="00627BF0"/>
    <w:pPr>
      <w:tabs>
        <w:tab w:val="center" w:pos="4153"/>
        <w:tab w:val="right" w:pos="8306"/>
      </w:tabs>
      <w:snapToGrid w:val="0"/>
      <w:jc w:val="left"/>
    </w:pPr>
    <w:rPr>
      <w:sz w:val="18"/>
      <w:szCs w:val="18"/>
    </w:rPr>
  </w:style>
  <w:style w:type="character" w:customStyle="1" w:styleId="Char0">
    <w:name w:val="页脚 Char"/>
    <w:basedOn w:val="a0"/>
    <w:link w:val="a7"/>
    <w:rsid w:val="00627BF0"/>
    <w:rPr>
      <w:rFonts w:eastAsiaTheme="minorEastAsia"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3239</Words>
  <Characters>18468</Characters>
  <Application>Microsoft Office Word</Application>
  <DocSecurity>0</DocSecurity>
  <Lines>153</Lines>
  <Paragraphs>43</Paragraphs>
  <ScaleCrop>false</ScaleCrop>
  <Company/>
  <LinksUpToDate>false</LinksUpToDate>
  <CharactersWithSpaces>21664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cp:lastModifiedBy>
  <cp:revision>3</cp:revision>
  <dcterms:created xsi:type="dcterms:W3CDTF">2024-03-21T01:44:00Z</dcterms:created>
  <dcterms:modified xsi:type="dcterms:W3CDTF">2024-03-21T02:20:00Z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B6E33974448E4157BC1AC9E45E6269FE_11</vt:lpwstr>
  </property>
  <property fmtid="{D5CDD505-2E9C-101B-9397-08002B2CF9AE}" pid="4" name="ZOTERO_PREF_1">
    <vt:lpwstr>&lt;data data-version="3" zotero-version="6.0.35"&gt;&lt;session id="3fC4R3EA"/&gt;&lt;style id="http://www.zotero.org/styles/arabian-journal-of-chemistry" hasBibliography="1" bibliographyStyleHasBeenSet="1"/&gt;&lt;prefs&gt;&lt;pref name="fieldType" value="Field"/&gt;&lt;/prefs&gt;&lt;/data&gt;</vt:lpwstr>
  </property>
</Properties>
</file>