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Supplementary data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 w:val="24"/>
        </w:rPr>
      </w:pPr>
      <w:r>
        <w:drawing>
          <wp:inline distT="0" distB="0" distL="0" distR="0">
            <wp:extent cx="5274310" cy="2341880"/>
            <wp:effectExtent l="0" t="0" r="2540" b="1270"/>
            <wp:docPr id="11002447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4477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 xml:space="preserve">Figure </w:t>
      </w:r>
      <w:r>
        <w:rPr>
          <w:rFonts w:hint="eastAsia" w:ascii="Times New Roman" w:hAnsi="Times New Roman" w:eastAsia="宋体" w:cs="Times New Roman"/>
          <w:b/>
          <w:bCs/>
          <w:sz w:val="24"/>
        </w:rPr>
        <w:t>S1</w:t>
      </w:r>
      <w:r>
        <w:rPr>
          <w:rFonts w:ascii="Times New Roman" w:hAnsi="Times New Roman" w:eastAsia="宋体" w:cs="Times New Roman"/>
          <w:b/>
          <w:bCs/>
          <w:sz w:val="24"/>
        </w:rPr>
        <w:t>.</w:t>
      </w:r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Impacts of PSS derivatives on APTT and TT in vitro.</w:t>
      </w:r>
    </w:p>
    <w:p>
      <w:pPr>
        <w:autoSpaceDE w:val="0"/>
        <w:autoSpaceDN w:val="0"/>
        <w:adjustRightInd w:val="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 (A) For APTT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assay, 50 μL of APTT reagent was mixed with 50 μL of the mixture (1.5 mg/mL sample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solution was diluted in sheep plasma at a ratio of 1:59) and incubated at 37 ºC for 180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s. Then, 50 μL of CaCl</w:t>
      </w:r>
      <w:r>
        <w:rPr>
          <w:rFonts w:ascii="Times New Roman" w:hAnsi="Times New Roman" w:eastAsia="宋体" w:cs="Times New Roman"/>
          <w:sz w:val="24"/>
          <w:vertAlign w:val="subscript"/>
        </w:rPr>
        <w:t>2</w:t>
      </w:r>
      <w:r>
        <w:rPr>
          <w:rFonts w:ascii="Times New Roman" w:hAnsi="Times New Roman" w:eastAsia="宋体" w:cs="Times New Roman"/>
          <w:sz w:val="24"/>
        </w:rPr>
        <w:t xml:space="preserve"> aqueous solution (0.025 M) pre-warmed for 15 min was added.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The clotting time was measured by an HP600-4 semiautomatic coagulation analyzer.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(B) For TT assay, 50 μL of the mixture mentioned above was incubated at 37 ºC for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180 s. Then, 50 μL of TT reagent pre-warmed for 15 min was added. The clotting time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was tested by an HP600-4 semiautomatic coagulation analyzer. Values are shown as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 xml:space="preserve">the mean ± SEM (n=3). </w:t>
      </w:r>
      <w:r>
        <w:rPr>
          <w:rFonts w:ascii="Times New Roman" w:hAnsi="Times New Roman" w:eastAsia="宋体" w:cs="Times New Roman"/>
          <w:sz w:val="24"/>
          <w:vertAlign w:val="superscript"/>
        </w:rPr>
        <w:t>*</w:t>
      </w:r>
      <w:r>
        <w:rPr>
          <w:rFonts w:ascii="Times New Roman" w:hAnsi="Times New Roman" w:eastAsia="宋体" w:cs="Times New Roman"/>
          <w:i/>
          <w:iCs/>
          <w:sz w:val="24"/>
        </w:rPr>
        <w:t>p</w:t>
      </w:r>
      <w:r>
        <w:rPr>
          <w:rFonts w:ascii="Times New Roman" w:hAnsi="Times New Roman" w:eastAsia="宋体" w:cs="Times New Roman"/>
          <w:sz w:val="24"/>
        </w:rPr>
        <w:t xml:space="preserve"> &lt; 0.05 and </w:t>
      </w:r>
      <w:r>
        <w:rPr>
          <w:rFonts w:ascii="Times New Roman" w:hAnsi="Times New Roman" w:eastAsia="宋体" w:cs="Times New Roman"/>
          <w:sz w:val="24"/>
          <w:vertAlign w:val="superscript"/>
        </w:rPr>
        <w:t>**</w:t>
      </w:r>
      <w:r>
        <w:rPr>
          <w:rFonts w:ascii="Times New Roman" w:hAnsi="Times New Roman" w:eastAsia="宋体" w:cs="Times New Roman"/>
          <w:i/>
          <w:iCs/>
          <w:sz w:val="24"/>
        </w:rPr>
        <w:t>p</w:t>
      </w:r>
      <w:r>
        <w:rPr>
          <w:rFonts w:ascii="Times New Roman" w:hAnsi="Times New Roman" w:eastAsia="宋体" w:cs="Times New Roman"/>
          <w:sz w:val="24"/>
        </w:rPr>
        <w:t xml:space="preserve"> &lt; 0.01 vs control group; </w:t>
      </w:r>
      <w:r>
        <w:rPr>
          <w:rFonts w:ascii="Times New Roman" w:hAnsi="Times New Roman" w:eastAsia="宋体" w:cs="Times New Roman"/>
          <w:sz w:val="24"/>
          <w:vertAlign w:val="superscript"/>
        </w:rPr>
        <w:t>#</w:t>
      </w:r>
      <w:r>
        <w:rPr>
          <w:rFonts w:ascii="Times New Roman" w:hAnsi="Times New Roman" w:eastAsia="宋体" w:cs="Times New Roman"/>
          <w:i/>
          <w:iCs/>
          <w:sz w:val="24"/>
        </w:rPr>
        <w:t>p</w:t>
      </w:r>
      <w:r>
        <w:rPr>
          <w:rFonts w:ascii="Times New Roman" w:hAnsi="Times New Roman" w:eastAsia="宋体" w:cs="Times New Roman"/>
          <w:sz w:val="24"/>
        </w:rPr>
        <w:t xml:space="preserve"> &lt; 0.05 and </w:t>
      </w:r>
      <w:r>
        <w:rPr>
          <w:rFonts w:ascii="Times New Roman" w:hAnsi="Times New Roman" w:eastAsia="宋体" w:cs="Times New Roman"/>
          <w:sz w:val="24"/>
          <w:vertAlign w:val="superscript"/>
        </w:rPr>
        <w:t>##</w:t>
      </w:r>
      <w:r>
        <w:rPr>
          <w:rFonts w:ascii="Times New Roman" w:hAnsi="Times New Roman" w:eastAsia="宋体" w:cs="Times New Roman"/>
          <w:i/>
          <w:iCs/>
          <w:sz w:val="24"/>
        </w:rPr>
        <w:t>p</w:t>
      </w:r>
      <w:r>
        <w:rPr>
          <w:rFonts w:ascii="Times New Roman" w:hAnsi="Times New Roman" w:eastAsia="宋体" w:cs="Times New Roman"/>
          <w:sz w:val="24"/>
        </w:rPr>
        <w:t xml:space="preserve"> &lt;</w:t>
      </w:r>
      <w:r>
        <w:rPr>
          <w:rFonts w:hint="eastAsia" w:ascii="Times New Roman" w:hAnsi="Times New Roman" w:eastAsia="宋体" w:cs="Times New Roman"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</w:rPr>
        <w:t>0.01 vs PMGS (PMGS-2) group. Heparin (3.125 μg/mL) was used as the positive agent</w:t>
      </w:r>
      <w:r>
        <w:rPr>
          <w:rFonts w:hint="eastAsia" w:ascii="Times New Roman" w:hAnsi="Times New Roman" w:eastAsia="宋体" w:cs="Times New Roman"/>
          <w:sz w:val="24"/>
        </w:rPr>
        <w:t>.</w:t>
      </w:r>
    </w:p>
    <w:p>
      <w:pPr>
        <w:widowControl/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widowControl/>
        <w:spacing w:line="360" w:lineRule="auto"/>
        <w:rPr>
          <w:rFonts w:ascii="Times New Roman" w:hAnsi="Times New Roman" w:eastAsia="宋体" w:cs="Times New Roman"/>
          <w:sz w:val="24"/>
        </w:rPr>
      </w:pPr>
      <w:r>
        <w:drawing>
          <wp:inline distT="0" distB="0" distL="0" distR="0">
            <wp:extent cx="5274310" cy="2270125"/>
            <wp:effectExtent l="0" t="0" r="2540" b="0"/>
            <wp:docPr id="17865571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55716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ascii="Times New Roman" w:hAnsi="Times New Roman" w:cs="Times New Roman"/>
          <w:color w:val="FF0000"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 xml:space="preserve">Figure </w:t>
      </w:r>
      <w:r>
        <w:rPr>
          <w:rFonts w:hint="eastAsia" w:ascii="Times New Roman" w:hAnsi="Times New Roman" w:eastAsia="宋体" w:cs="Times New Roman"/>
          <w:b/>
          <w:bCs/>
          <w:sz w:val="24"/>
        </w:rPr>
        <w:t>S2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.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The I</w:t>
      </w:r>
      <w:r>
        <w:rPr>
          <w:rFonts w:ascii="Times New Roman" w:hAnsi="Times New Roman" w:eastAsia="宋体" w:cs="Times New Roman"/>
          <w:sz w:val="24"/>
        </w:rPr>
        <w:t>nhibit</w:t>
      </w:r>
      <w:r>
        <w:rPr>
          <w:rFonts w:hint="eastAsia" w:ascii="Times New Roman" w:hAnsi="Times New Roman" w:eastAsia="宋体" w:cs="Times New Roman"/>
          <w:sz w:val="24"/>
        </w:rPr>
        <w:t xml:space="preserve">ory effect of </w:t>
      </w:r>
      <w:r>
        <w:rPr>
          <w:rFonts w:ascii="Times New Roman" w:hAnsi="Times New Roman" w:eastAsia="宋体" w:cs="Times New Roman"/>
          <w:sz w:val="24"/>
        </w:rPr>
        <w:t>P</w:t>
      </w:r>
      <w:r>
        <w:rPr>
          <w:rFonts w:hint="eastAsia" w:ascii="Times New Roman" w:hAnsi="Times New Roman" w:eastAsia="宋体" w:cs="Times New Roman"/>
          <w:sz w:val="24"/>
        </w:rPr>
        <w:t>GGS on TGF</w:t>
      </w:r>
      <w:r>
        <w:rPr>
          <w:rFonts w:hint="default" w:ascii="Times New Roman" w:hAnsi="Times New Roman" w:eastAsia="宋体" w:cs="Times New Roman"/>
          <w:sz w:val="24"/>
        </w:rPr>
        <w:t>β</w:t>
      </w:r>
      <w:r>
        <w:rPr>
          <w:rFonts w:hint="eastAsia" w:ascii="Times New Roman" w:hAnsi="Times New Roman" w:eastAsia="宋体" w:cs="Times New Roman"/>
          <w:sz w:val="24"/>
        </w:rPr>
        <w:t xml:space="preserve">1-induced </w:t>
      </w:r>
      <w:r>
        <w:rPr>
          <w:rFonts w:ascii="Times New Roman" w:hAnsi="Times New Roman" w:eastAsia="宋体" w:cs="Times New Roman"/>
          <w:sz w:val="24"/>
        </w:rPr>
        <w:t>inflammation</w:t>
      </w:r>
      <w:r>
        <w:rPr>
          <w:rFonts w:hint="eastAsia" w:ascii="Times New Roman" w:hAnsi="Times New Roman" w:eastAsia="宋体" w:cs="Times New Roman"/>
          <w:sz w:val="24"/>
        </w:rPr>
        <w:t xml:space="preserve"> in mice. 25mg/kg PGGS was used as the representative intervention dose for measuring levels of the pro-inflammatory cytokines. </w:t>
      </w:r>
      <w:r>
        <w:rPr>
          <w:rFonts w:ascii="Times New Roman" w:hAnsi="Times New Roman" w:eastAsia="宋体" w:cs="Times New Roman"/>
          <w:sz w:val="24"/>
        </w:rPr>
        <w:t>(</w:t>
      </w:r>
      <w:r>
        <w:rPr>
          <w:rFonts w:hint="eastAsia" w:ascii="Times New Roman" w:hAnsi="Times New Roman" w:eastAsia="宋体" w:cs="Times New Roman"/>
          <w:sz w:val="24"/>
        </w:rPr>
        <w:t>A-C</w:t>
      </w:r>
      <w:r>
        <w:rPr>
          <w:rFonts w:ascii="Times New Roman" w:hAnsi="Times New Roman" w:eastAsia="宋体" w:cs="Times New Roman"/>
          <w:sz w:val="24"/>
        </w:rPr>
        <w:t xml:space="preserve">) The mRNA expression of </w:t>
      </w:r>
      <w:r>
        <w:rPr>
          <w:rFonts w:hint="eastAsia" w:ascii="Times New Roman" w:hAnsi="Times New Roman" w:eastAsia="宋体" w:cs="Times New Roman"/>
          <w:sz w:val="24"/>
        </w:rPr>
        <w:t>IL-6</w:t>
      </w:r>
      <w:r>
        <w:rPr>
          <w:rFonts w:ascii="Times New Roman" w:hAnsi="Times New Roman" w:eastAsia="宋体" w:cs="Times New Roman"/>
          <w:sz w:val="24"/>
        </w:rPr>
        <w:t xml:space="preserve">, </w:t>
      </w:r>
      <w:r>
        <w:rPr>
          <w:rFonts w:hint="eastAsia" w:ascii="Times New Roman" w:hAnsi="Times New Roman" w:eastAsia="宋体" w:cs="Times New Roman"/>
          <w:sz w:val="24"/>
        </w:rPr>
        <w:t>IL-1</w:t>
      </w:r>
      <w:r>
        <w:rPr>
          <w:rFonts w:hint="default" w:ascii="Times New Roman" w:hAnsi="Times New Roman" w:eastAsia="宋体" w:cs="Times New Roman"/>
          <w:sz w:val="24"/>
        </w:rPr>
        <w:t>β</w:t>
      </w:r>
      <w:r>
        <w:rPr>
          <w:rFonts w:ascii="Times New Roman" w:hAnsi="Times New Roman" w:eastAsia="宋体" w:cs="Times New Roman"/>
          <w:sz w:val="24"/>
        </w:rPr>
        <w:t xml:space="preserve"> and </w:t>
      </w:r>
      <w:r>
        <w:rPr>
          <w:rFonts w:hint="eastAsia" w:ascii="Times New Roman" w:hAnsi="Times New Roman" w:eastAsia="宋体" w:cs="Times New Roman"/>
          <w:sz w:val="24"/>
        </w:rPr>
        <w:t>TNF-</w:t>
      </w:r>
      <w:r>
        <w:rPr>
          <w:rFonts w:hint="default" w:ascii="Times New Roman" w:hAnsi="Times New Roman" w:eastAsia="宋体" w:cs="Times New Roman"/>
          <w:sz w:val="24"/>
        </w:rPr>
        <w:t>α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</w:rPr>
        <w:t>in atrium tissues of mice in each group</w:t>
      </w:r>
      <w:r>
        <w:rPr>
          <w:rFonts w:ascii="Times New Roman" w:hAnsi="Times New Roman" w:eastAsia="宋体" w:cs="Times New Roman"/>
          <w:sz w:val="24"/>
        </w:rPr>
        <w:t xml:space="preserve"> determined by qRT-PCR.</w:t>
      </w:r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 </w:t>
      </w:r>
      <w:r>
        <w:rPr>
          <w:rFonts w:ascii="Times New Roman" w:hAnsi="Times New Roman" w:eastAsia="宋体" w:cs="Times New Roman"/>
          <w:sz w:val="24"/>
          <w:vertAlign w:val="superscript"/>
        </w:rPr>
        <w:t>*</w:t>
      </w:r>
      <w:r>
        <w:rPr>
          <w:rFonts w:ascii="Times New Roman" w:hAnsi="Times New Roman" w:eastAsia="宋体" w:cs="Times New Roman"/>
          <w:i/>
          <w:iCs/>
          <w:sz w:val="24"/>
        </w:rPr>
        <w:t>p</w:t>
      </w:r>
      <w:r>
        <w:rPr>
          <w:rFonts w:ascii="Times New Roman" w:hAnsi="Times New Roman" w:eastAsia="宋体" w:cs="Times New Roman"/>
          <w:sz w:val="24"/>
        </w:rPr>
        <w:t xml:space="preserve">＜0.05 and </w:t>
      </w:r>
      <w:r>
        <w:rPr>
          <w:rFonts w:ascii="Times New Roman" w:hAnsi="Times New Roman" w:eastAsia="宋体" w:cs="Times New Roman"/>
          <w:sz w:val="24"/>
          <w:vertAlign w:val="superscript"/>
        </w:rPr>
        <w:t>**</w:t>
      </w:r>
      <w:r>
        <w:rPr>
          <w:rFonts w:ascii="Times New Roman" w:hAnsi="Times New Roman" w:eastAsia="宋体" w:cs="Times New Roman"/>
          <w:i/>
          <w:iCs/>
          <w:sz w:val="24"/>
        </w:rPr>
        <w:t>p</w:t>
      </w:r>
      <w:r>
        <w:rPr>
          <w:rFonts w:ascii="Times New Roman" w:hAnsi="Times New Roman" w:eastAsia="宋体" w:cs="Times New Roman"/>
          <w:sz w:val="24"/>
        </w:rPr>
        <w:t xml:space="preserve">＜0.01 vs control group; </w:t>
      </w:r>
      <w:r>
        <w:rPr>
          <w:rFonts w:ascii="Times New Roman" w:hAnsi="Times New Roman" w:eastAsia="宋体" w:cs="Times New Roman"/>
          <w:sz w:val="24"/>
          <w:vertAlign w:val="superscript"/>
        </w:rPr>
        <w:t>#</w:t>
      </w:r>
      <w:r>
        <w:rPr>
          <w:rFonts w:ascii="Times New Roman" w:hAnsi="Times New Roman" w:eastAsia="宋体" w:cs="Times New Roman"/>
          <w:i/>
          <w:iCs/>
          <w:sz w:val="24"/>
        </w:rPr>
        <w:t>p</w:t>
      </w:r>
      <w:r>
        <w:rPr>
          <w:rFonts w:ascii="Times New Roman" w:hAnsi="Times New Roman" w:eastAsia="宋体" w:cs="Times New Roman"/>
          <w:sz w:val="24"/>
        </w:rPr>
        <w:t xml:space="preserve">＜0.05 and </w:t>
      </w:r>
      <w:r>
        <w:rPr>
          <w:rFonts w:ascii="Times New Roman" w:hAnsi="Times New Roman" w:eastAsia="宋体" w:cs="Times New Roman"/>
          <w:sz w:val="24"/>
          <w:vertAlign w:val="superscript"/>
        </w:rPr>
        <w:t>##</w:t>
      </w:r>
      <w:r>
        <w:rPr>
          <w:rFonts w:ascii="Times New Roman" w:hAnsi="Times New Roman" w:eastAsia="宋体" w:cs="Times New Roman"/>
          <w:i/>
          <w:iCs/>
          <w:sz w:val="24"/>
        </w:rPr>
        <w:t>p</w:t>
      </w:r>
      <w:r>
        <w:rPr>
          <w:rFonts w:ascii="Times New Roman" w:hAnsi="Times New Roman" w:eastAsia="宋体" w:cs="Times New Roman"/>
          <w:sz w:val="24"/>
        </w:rPr>
        <w:t>＜0.01 vs TGF</w:t>
      </w:r>
      <w:r>
        <w:rPr>
          <w:rFonts w:hint="eastAsia" w:ascii="Times New Roman" w:hAnsi="Times New Roman" w:eastAsia="宋体" w:cs="Times New Roman"/>
          <w:sz w:val="24"/>
        </w:rPr>
        <w:t>-</w:t>
      </w:r>
      <w:r>
        <w:rPr>
          <w:rFonts w:ascii="Times New Roman" w:hAnsi="Times New Roman" w:eastAsia="宋体" w:cs="Times New Roman"/>
          <w:sz w:val="24"/>
        </w:rPr>
        <w:t>β1 group.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49582271"/>
    <w:rsid w:val="00013B3C"/>
    <w:rsid w:val="0003748A"/>
    <w:rsid w:val="000B0618"/>
    <w:rsid w:val="00146F0C"/>
    <w:rsid w:val="00171ECE"/>
    <w:rsid w:val="002B7611"/>
    <w:rsid w:val="00301823"/>
    <w:rsid w:val="00335CBF"/>
    <w:rsid w:val="003811B6"/>
    <w:rsid w:val="0041784E"/>
    <w:rsid w:val="00417D2B"/>
    <w:rsid w:val="004C4F80"/>
    <w:rsid w:val="005D7908"/>
    <w:rsid w:val="00693E84"/>
    <w:rsid w:val="006E1957"/>
    <w:rsid w:val="006E740C"/>
    <w:rsid w:val="00777311"/>
    <w:rsid w:val="007C3EA2"/>
    <w:rsid w:val="00813B4F"/>
    <w:rsid w:val="008760DE"/>
    <w:rsid w:val="00887FA4"/>
    <w:rsid w:val="00975662"/>
    <w:rsid w:val="00984854"/>
    <w:rsid w:val="00987D58"/>
    <w:rsid w:val="00B61BE2"/>
    <w:rsid w:val="00B81C5E"/>
    <w:rsid w:val="00C11306"/>
    <w:rsid w:val="00CC2576"/>
    <w:rsid w:val="00E94A60"/>
    <w:rsid w:val="00EA3103"/>
    <w:rsid w:val="00F3387E"/>
    <w:rsid w:val="00F616E0"/>
    <w:rsid w:val="00F96AEB"/>
    <w:rsid w:val="2F956A51"/>
    <w:rsid w:val="49582271"/>
    <w:rsid w:val="7E7B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1059</Characters>
  <Lines>8</Lines>
  <Paragraphs>2</Paragraphs>
  <TotalTime>58</TotalTime>
  <ScaleCrop>false</ScaleCrop>
  <LinksUpToDate>false</LinksUpToDate>
  <CharactersWithSpaces>1242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2022-02-28T00:20:00Z</dcterms:created>
  <dc:creator>魏大鹏</dc:creator>
  <cp:lastModifiedBy>魏大鹏</cp:lastModifiedBy>
  <dcterms:modified xsi:type="dcterms:W3CDTF">2024-04-08T01:00:44Z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C10E68A795AE4BBEB27E163CD29DB76C</vt:lpwstr>
  </property>
</Properties>
</file>