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B62A" w14:textId="77777777" w:rsidR="00A13710" w:rsidRPr="00104879" w:rsidRDefault="00A13710" w:rsidP="00D8679F">
      <w:pPr>
        <w:spacing w:line="480" w:lineRule="auto"/>
        <w:jc w:val="center"/>
        <w:rPr>
          <w:b/>
          <w:bCs/>
        </w:rPr>
      </w:pPr>
      <w:r w:rsidRPr="00104879">
        <w:rPr>
          <w:b/>
          <w:bCs/>
        </w:rPr>
        <w:t xml:space="preserve">Constructing </w:t>
      </w:r>
      <w:proofErr w:type="spellStart"/>
      <w:r w:rsidRPr="00104879">
        <w:rPr>
          <w:b/>
          <w:bCs/>
        </w:rPr>
        <w:t>AgI</w:t>
      </w:r>
      <w:proofErr w:type="spellEnd"/>
      <w:r w:rsidRPr="00104879">
        <w:rPr>
          <w:b/>
          <w:bCs/>
        </w:rPr>
        <w:t>/BiSI p-n heterojunctions with an internal electric field for efficient degradation of refractory organic pollutants</w:t>
      </w:r>
    </w:p>
    <w:p w14:paraId="02EB58D5" w14:textId="77777777" w:rsidR="00A13710" w:rsidRPr="00104879" w:rsidRDefault="00A13710" w:rsidP="00D8679F">
      <w:pPr>
        <w:spacing w:after="240" w:line="480" w:lineRule="auto"/>
        <w:jc w:val="center"/>
        <w:rPr>
          <w:vertAlign w:val="superscript"/>
        </w:rPr>
      </w:pPr>
      <w:bookmarkStart w:id="0" w:name="_Hlk89944482"/>
      <w:bookmarkStart w:id="1" w:name="_Hlk86914948"/>
      <w:r w:rsidRPr="00104879">
        <w:t xml:space="preserve">Jin </w:t>
      </w:r>
      <w:proofErr w:type="spellStart"/>
      <w:proofErr w:type="gramStart"/>
      <w:r w:rsidRPr="00104879">
        <w:t>Liu</w:t>
      </w:r>
      <w:r w:rsidRPr="00104879">
        <w:rPr>
          <w:vertAlign w:val="superscript"/>
        </w:rPr>
        <w:t>a</w:t>
      </w:r>
      <w:proofErr w:type="spellEnd"/>
      <w:r w:rsidRPr="00104879">
        <w:rPr>
          <w:vertAlign w:val="superscript"/>
        </w:rPr>
        <w:t>,</w:t>
      </w:r>
      <w:r w:rsidRPr="00104879">
        <w:t>*</w:t>
      </w:r>
      <w:proofErr w:type="gramEnd"/>
      <w:r w:rsidRPr="00104879">
        <w:t xml:space="preserve">, Qian </w:t>
      </w:r>
      <w:proofErr w:type="spellStart"/>
      <w:r w:rsidRPr="00104879">
        <w:t>Zhong</w:t>
      </w:r>
      <w:r w:rsidRPr="00104879">
        <w:rPr>
          <w:vertAlign w:val="superscript"/>
        </w:rPr>
        <w:t>a</w:t>
      </w:r>
      <w:proofErr w:type="spellEnd"/>
      <w:r w:rsidRPr="00104879">
        <w:t xml:space="preserve">, </w:t>
      </w:r>
      <w:proofErr w:type="spellStart"/>
      <w:r w:rsidRPr="00104879">
        <w:t>Yanjin</w:t>
      </w:r>
      <w:proofErr w:type="spellEnd"/>
      <w:r w:rsidRPr="00104879">
        <w:t xml:space="preserve"> Wang</w:t>
      </w:r>
      <w:r w:rsidRPr="00104879">
        <w:rPr>
          <w:vertAlign w:val="superscript"/>
        </w:rPr>
        <w:t>a</w:t>
      </w:r>
      <w:r w:rsidRPr="00104879">
        <w:t xml:space="preserve">, </w:t>
      </w:r>
      <w:proofErr w:type="spellStart"/>
      <w:r w:rsidRPr="00104879">
        <w:t>Zezhi</w:t>
      </w:r>
      <w:proofErr w:type="spellEnd"/>
      <w:r w:rsidRPr="00104879">
        <w:t xml:space="preserve"> </w:t>
      </w:r>
      <w:proofErr w:type="spellStart"/>
      <w:r w:rsidRPr="00104879">
        <w:t>Zhang</w:t>
      </w:r>
      <w:r w:rsidRPr="00104879">
        <w:rPr>
          <w:vertAlign w:val="superscript"/>
        </w:rPr>
        <w:t>a</w:t>
      </w:r>
      <w:proofErr w:type="spellEnd"/>
      <w:r w:rsidRPr="00104879">
        <w:t xml:space="preserve">, </w:t>
      </w:r>
      <w:proofErr w:type="spellStart"/>
      <w:r w:rsidRPr="00104879">
        <w:t>Huiqin</w:t>
      </w:r>
      <w:proofErr w:type="spellEnd"/>
      <w:r w:rsidRPr="00104879">
        <w:t xml:space="preserve"> </w:t>
      </w:r>
      <w:proofErr w:type="spellStart"/>
      <w:r w:rsidRPr="00104879">
        <w:t>Zheng</w:t>
      </w:r>
      <w:r w:rsidRPr="00104879">
        <w:rPr>
          <w:vertAlign w:val="superscript"/>
        </w:rPr>
        <w:t>a</w:t>
      </w:r>
      <w:proofErr w:type="spellEnd"/>
      <w:r w:rsidRPr="00104879">
        <w:rPr>
          <w:vertAlign w:val="superscript"/>
        </w:rPr>
        <w:t>,</w:t>
      </w:r>
      <w:r w:rsidRPr="00104879">
        <w:t xml:space="preserve">*, Bin </w:t>
      </w:r>
      <w:proofErr w:type="spellStart"/>
      <w:r w:rsidRPr="00104879">
        <w:t>Yan</w:t>
      </w:r>
      <w:r w:rsidRPr="00104879">
        <w:rPr>
          <w:vertAlign w:val="superscript"/>
        </w:rPr>
        <w:t>b</w:t>
      </w:r>
      <w:proofErr w:type="spellEnd"/>
      <w:r w:rsidRPr="00104879">
        <w:t>, Yurong Shi</w:t>
      </w:r>
      <w:r w:rsidRPr="00104879">
        <w:rPr>
          <w:vertAlign w:val="superscript"/>
        </w:rPr>
        <w:t>b</w:t>
      </w:r>
      <w:bookmarkEnd w:id="0"/>
    </w:p>
    <w:bookmarkEnd w:id="1"/>
    <w:p w14:paraId="19BB8241" w14:textId="77777777" w:rsidR="00A13710" w:rsidRPr="00104879" w:rsidRDefault="00A13710" w:rsidP="00D8679F">
      <w:pPr>
        <w:adjustRightInd w:val="0"/>
        <w:snapToGrid w:val="0"/>
        <w:spacing w:line="480" w:lineRule="auto"/>
        <w:rPr>
          <w:rFonts w:eastAsia="Times New Roman"/>
          <w:bCs/>
          <w:i/>
          <w:iCs/>
        </w:rPr>
      </w:pPr>
      <w:r w:rsidRPr="00104879">
        <w:rPr>
          <w:rFonts w:eastAsia="Times New Roman"/>
          <w:bCs/>
          <w:i/>
          <w:iCs/>
          <w:vertAlign w:val="superscript"/>
        </w:rPr>
        <w:t xml:space="preserve">a </w:t>
      </w:r>
      <w:r w:rsidRPr="00104879">
        <w:rPr>
          <w:rFonts w:eastAsia="Times New Roman"/>
          <w:bCs/>
          <w:i/>
          <w:iCs/>
        </w:rPr>
        <w:t>College of Environmental Economics, Henan Finance University, Zhengzhou 450046, China</w:t>
      </w:r>
    </w:p>
    <w:p w14:paraId="4980A4CC" w14:textId="77777777" w:rsidR="00A13710" w:rsidRPr="00104879" w:rsidRDefault="00A13710" w:rsidP="00D8679F">
      <w:pPr>
        <w:adjustRightInd w:val="0"/>
        <w:snapToGrid w:val="0"/>
        <w:spacing w:line="480" w:lineRule="auto"/>
        <w:rPr>
          <w:rFonts w:eastAsia="Times New Roman"/>
          <w:bCs/>
          <w:i/>
          <w:iCs/>
        </w:rPr>
      </w:pPr>
      <w:r w:rsidRPr="00104879">
        <w:rPr>
          <w:rFonts w:eastAsia="Times New Roman"/>
          <w:bCs/>
          <w:i/>
          <w:iCs/>
          <w:vertAlign w:val="superscript"/>
        </w:rPr>
        <w:t xml:space="preserve">b </w:t>
      </w:r>
      <w:r w:rsidRPr="00104879">
        <w:rPr>
          <w:rFonts w:eastAsia="Times New Roman"/>
          <w:bCs/>
          <w:i/>
          <w:iCs/>
        </w:rPr>
        <w:t>School of Materials Science and Engineering, North China University of Water Resources and Electric Power, Zhengzhou, 450000, China</w:t>
      </w:r>
    </w:p>
    <w:p w14:paraId="673F04E4" w14:textId="77777777" w:rsidR="00A13710" w:rsidRDefault="00A13710" w:rsidP="00D8679F">
      <w:pPr>
        <w:spacing w:line="480" w:lineRule="auto"/>
        <w:jc w:val="left"/>
      </w:pPr>
      <w:r w:rsidRPr="00104879">
        <w:t>*Corresponding author. E-mail addresses: liuzejin1026@126.com (J. Liu); zhenghuiqin2000@163.com (H.Q. Zheng)</w:t>
      </w:r>
    </w:p>
    <w:p w14:paraId="77AB9669" w14:textId="77777777" w:rsidR="00A13710" w:rsidRDefault="00A13710" w:rsidP="00D8679F">
      <w:pPr>
        <w:widowControl/>
        <w:spacing w:line="480" w:lineRule="auto"/>
        <w:jc w:val="left"/>
      </w:pPr>
      <w:r>
        <w:br w:type="page"/>
      </w:r>
    </w:p>
    <w:p w14:paraId="673D6458" w14:textId="77777777" w:rsidR="007F18E7" w:rsidRDefault="007F18E7" w:rsidP="007F18E7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51DB9EE4" wp14:editId="716B8185">
            <wp:extent cx="3240000" cy="2329945"/>
            <wp:effectExtent l="0" t="0" r="0" b="0"/>
            <wp:docPr id="193115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70EA" w14:textId="15A95604" w:rsidR="007F18E7" w:rsidRDefault="007F18E7" w:rsidP="007F18E7">
      <w:pPr>
        <w:spacing w:line="480" w:lineRule="auto"/>
        <w:jc w:val="center"/>
      </w:pPr>
      <w:r w:rsidRPr="005E593A">
        <w:rPr>
          <w:rFonts w:hint="eastAsia"/>
          <w:b/>
          <w:bCs/>
        </w:rPr>
        <w:t>Fig. S</w:t>
      </w:r>
      <w:r>
        <w:rPr>
          <w:rFonts w:hint="eastAsia"/>
          <w:b/>
          <w:bCs/>
        </w:rPr>
        <w:t>1</w:t>
      </w:r>
      <w:r w:rsidRPr="005E593A">
        <w:rPr>
          <w:rFonts w:hint="eastAsia"/>
          <w:b/>
          <w:bCs/>
        </w:rPr>
        <w:t>.</w:t>
      </w:r>
      <w:r>
        <w:rPr>
          <w:rFonts w:hint="eastAsia"/>
        </w:rPr>
        <w:t xml:space="preserve"> Degradation rate and TOC rate of AR1 over </w:t>
      </w:r>
      <w:r>
        <w:t>3AgI/BiSI</w:t>
      </w:r>
      <w:r>
        <w:rPr>
          <w:rFonts w:hint="eastAsia"/>
        </w:rPr>
        <w:t xml:space="preserve"> under visible light irradiation.</w:t>
      </w:r>
    </w:p>
    <w:p w14:paraId="4CD4515F" w14:textId="77777777" w:rsidR="00A13710" w:rsidRDefault="00A13710" w:rsidP="00D8679F">
      <w:pPr>
        <w:widowControl/>
        <w:spacing w:line="480" w:lineRule="auto"/>
        <w:jc w:val="left"/>
      </w:pPr>
      <w:r>
        <w:br w:type="page"/>
      </w:r>
    </w:p>
    <w:p w14:paraId="60B748CD" w14:textId="77777777" w:rsidR="007F18E7" w:rsidRDefault="007F18E7" w:rsidP="007F18E7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6BA529D7" wp14:editId="3A431C69">
            <wp:extent cx="5205095" cy="2162810"/>
            <wp:effectExtent l="0" t="0" r="0" b="8890"/>
            <wp:docPr id="20232734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270C792" w14:textId="1F0C3CF9" w:rsidR="007F18E7" w:rsidRDefault="007F18E7" w:rsidP="007F18E7">
      <w:pPr>
        <w:spacing w:line="480" w:lineRule="auto"/>
        <w:jc w:val="center"/>
      </w:pPr>
      <w:r w:rsidRPr="000E77EF">
        <w:rPr>
          <w:rFonts w:hint="eastAsia"/>
          <w:b/>
          <w:bCs/>
        </w:rPr>
        <w:t xml:space="preserve">Fig. </w:t>
      </w:r>
      <w:r>
        <w:rPr>
          <w:rFonts w:hint="eastAsia"/>
          <w:b/>
          <w:bCs/>
        </w:rPr>
        <w:t>S2.</w:t>
      </w:r>
      <w:r>
        <w:rPr>
          <w:rFonts w:hint="eastAsia"/>
        </w:rPr>
        <w:t xml:space="preserve"> Effects of (a) AR1 concentration and (b) pH values on the p</w:t>
      </w:r>
      <w:r>
        <w:t xml:space="preserve">hotocatalytic </w:t>
      </w:r>
      <w:r>
        <w:rPr>
          <w:rFonts w:hint="eastAsia"/>
        </w:rPr>
        <w:t xml:space="preserve">performances of </w:t>
      </w:r>
      <w:r>
        <w:t>3AgI/BiSI</w:t>
      </w:r>
      <w:r>
        <w:rPr>
          <w:rFonts w:hint="eastAsia"/>
        </w:rPr>
        <w:t>.</w:t>
      </w:r>
    </w:p>
    <w:p w14:paraId="4A4A0DDC" w14:textId="77777777" w:rsidR="00A13710" w:rsidRDefault="00A13710" w:rsidP="00D8679F">
      <w:pPr>
        <w:widowControl/>
        <w:spacing w:line="480" w:lineRule="auto"/>
        <w:jc w:val="left"/>
      </w:pPr>
      <w:r>
        <w:br w:type="page"/>
      </w:r>
    </w:p>
    <w:p w14:paraId="77577953" w14:textId="2F490693" w:rsidR="008E2753" w:rsidRDefault="00E71531" w:rsidP="00D8679F">
      <w:pPr>
        <w:spacing w:line="480" w:lineRule="auto"/>
        <w:rPr>
          <w:b/>
          <w:bCs/>
        </w:rPr>
      </w:pPr>
      <w:bookmarkStart w:id="2" w:name="_Hlk167184453"/>
      <w:bookmarkStart w:id="3" w:name="_Hlk167184502"/>
      <w:r w:rsidRPr="00E71531">
        <w:rPr>
          <w:b/>
          <w:bCs/>
        </w:rPr>
        <w:lastRenderedPageBreak/>
        <w:t xml:space="preserve">Table </w:t>
      </w:r>
      <w:r w:rsidR="00E569B0">
        <w:rPr>
          <w:rFonts w:hint="eastAsia"/>
          <w:b/>
          <w:bCs/>
        </w:rPr>
        <w:t>S</w:t>
      </w:r>
      <w:r w:rsidRPr="00E71531">
        <w:rPr>
          <w:b/>
          <w:bCs/>
        </w:rPr>
        <w:t xml:space="preserve">1. </w:t>
      </w:r>
      <w:r w:rsidRPr="00E71531">
        <w:t xml:space="preserve">The electrical properties of </w:t>
      </w:r>
      <w:proofErr w:type="spellStart"/>
      <w:r w:rsidRPr="00E71531">
        <w:t>AgI</w:t>
      </w:r>
      <w:proofErr w:type="spellEnd"/>
      <w:r w:rsidRPr="00E71531">
        <w:t xml:space="preserve"> and BiSI obtained by Hall effect measurements.</w:t>
      </w: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E2753" w14:paraId="636143F3" w14:textId="77777777" w:rsidTr="008E2753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42AA" w14:textId="363E4830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bookmarkStart w:id="4" w:name="_Hlk167184480"/>
            <w:bookmarkEnd w:id="3"/>
            <w:r w:rsidRPr="00E71531">
              <w:t>Samples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1A41" w14:textId="77777777" w:rsidR="008E2753" w:rsidRPr="00E71531" w:rsidRDefault="008E2753" w:rsidP="008E2753">
            <w:pPr>
              <w:spacing w:line="480" w:lineRule="auto"/>
              <w:jc w:val="center"/>
            </w:pPr>
            <w:r w:rsidRPr="00E71531">
              <w:t>Carrier concentration</w:t>
            </w:r>
          </w:p>
          <w:p w14:paraId="70506054" w14:textId="314FE7A9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(cm</w:t>
            </w:r>
            <w:r w:rsidRPr="00E71531">
              <w:rPr>
                <w:vertAlign w:val="superscript"/>
              </w:rPr>
              <w:t>-3</w:t>
            </w:r>
            <w:r w:rsidRPr="00E71531">
              <w:t>)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1323" w14:textId="77777777" w:rsidR="008E2753" w:rsidRPr="00E71531" w:rsidRDefault="008E2753" w:rsidP="008E2753">
            <w:pPr>
              <w:spacing w:line="480" w:lineRule="auto"/>
              <w:jc w:val="center"/>
            </w:pPr>
            <w:r w:rsidRPr="00E71531">
              <w:t>Resistivity</w:t>
            </w:r>
          </w:p>
          <w:p w14:paraId="568C57FF" w14:textId="30261044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(</w:t>
            </w:r>
            <w:proofErr w:type="spellStart"/>
            <w:r w:rsidRPr="00E71531">
              <w:t>Ω·cm</w:t>
            </w:r>
            <w:proofErr w:type="spellEnd"/>
            <w:r w:rsidRPr="00E71531">
              <w:t>)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ABF6B" w14:textId="77777777" w:rsidR="008E2753" w:rsidRPr="00E71531" w:rsidRDefault="008E2753" w:rsidP="008E2753">
            <w:pPr>
              <w:spacing w:line="480" w:lineRule="auto"/>
              <w:jc w:val="center"/>
            </w:pPr>
            <w:r w:rsidRPr="00E71531">
              <w:t>Hall mobility</w:t>
            </w:r>
          </w:p>
          <w:p w14:paraId="6118B79D" w14:textId="319E46FC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(cm</w:t>
            </w:r>
            <w:r w:rsidRPr="00E71531">
              <w:rPr>
                <w:vertAlign w:val="superscript"/>
              </w:rPr>
              <w:t>2</w:t>
            </w:r>
            <w:r w:rsidRPr="00E71531">
              <w:t xml:space="preserve"> V</w:t>
            </w:r>
            <w:r w:rsidRPr="00E71531">
              <w:rPr>
                <w:vertAlign w:val="superscript"/>
              </w:rPr>
              <w:t>-1</w:t>
            </w:r>
            <w:r w:rsidRPr="00E71531">
              <w:t xml:space="preserve"> s</w:t>
            </w:r>
            <w:r w:rsidRPr="00E71531">
              <w:rPr>
                <w:vertAlign w:val="superscript"/>
              </w:rPr>
              <w:t>-1</w:t>
            </w:r>
            <w:r w:rsidRPr="00E71531">
              <w:t>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E40B" w14:textId="20160698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Conduction type</w:t>
            </w:r>
          </w:p>
        </w:tc>
      </w:tr>
      <w:tr w:rsidR="008E2753" w14:paraId="1D70F767" w14:textId="77777777" w:rsidTr="008E2753">
        <w:trPr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2578A5D5" w14:textId="7313BB59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E71531">
              <w:t>AgI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207EAD14" w14:textId="570743BC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1.864×10</w:t>
            </w:r>
            <w:r w:rsidRPr="00E71531">
              <w:rPr>
                <w:vertAlign w:val="superscript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36C2A3CB" w14:textId="4CBE6D9F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2.272×10</w:t>
            </w:r>
            <w:r w:rsidRPr="00E71531">
              <w:rPr>
                <w:vertAlign w:val="superscript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6412802E" w14:textId="40803CEF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1.452×10</w:t>
            </w:r>
            <w:r w:rsidRPr="00E71531">
              <w:rPr>
                <w:vertAlign w:val="superscript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34CC51F5" w14:textId="12AE844E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p</w:t>
            </w:r>
          </w:p>
        </w:tc>
      </w:tr>
      <w:tr w:rsidR="008E2753" w14:paraId="5EEA78B5" w14:textId="77777777" w:rsidTr="008E2753">
        <w:trPr>
          <w:jc w:val="center"/>
        </w:trPr>
        <w:tc>
          <w:tcPr>
            <w:tcW w:w="1659" w:type="dxa"/>
            <w:vAlign w:val="center"/>
          </w:tcPr>
          <w:p w14:paraId="11CFE444" w14:textId="143B28E1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BiSI</w:t>
            </w:r>
          </w:p>
        </w:tc>
        <w:tc>
          <w:tcPr>
            <w:tcW w:w="1659" w:type="dxa"/>
            <w:vAlign w:val="center"/>
          </w:tcPr>
          <w:p w14:paraId="6F74C0DE" w14:textId="3C9C0A0F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3.023×10</w:t>
            </w:r>
            <w:r w:rsidRPr="00E71531">
              <w:rPr>
                <w:vertAlign w:val="superscript"/>
              </w:rPr>
              <w:t>12</w:t>
            </w:r>
          </w:p>
        </w:tc>
        <w:tc>
          <w:tcPr>
            <w:tcW w:w="1659" w:type="dxa"/>
            <w:vAlign w:val="center"/>
          </w:tcPr>
          <w:p w14:paraId="6D17FF61" w14:textId="493AB33C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1.053×10</w:t>
            </w:r>
            <w:r w:rsidRPr="00E71531">
              <w:rPr>
                <w:vertAlign w:val="superscript"/>
              </w:rPr>
              <w:t>5</w:t>
            </w:r>
          </w:p>
        </w:tc>
        <w:tc>
          <w:tcPr>
            <w:tcW w:w="1659" w:type="dxa"/>
            <w:vAlign w:val="center"/>
          </w:tcPr>
          <w:p w14:paraId="4CAD1A75" w14:textId="6BFAD56B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9.826</w:t>
            </w:r>
          </w:p>
        </w:tc>
        <w:tc>
          <w:tcPr>
            <w:tcW w:w="1660" w:type="dxa"/>
            <w:vAlign w:val="center"/>
          </w:tcPr>
          <w:p w14:paraId="27DCDBD6" w14:textId="10DA54CC" w:rsidR="008E2753" w:rsidRDefault="008E2753" w:rsidP="008E2753">
            <w:pPr>
              <w:spacing w:line="480" w:lineRule="auto"/>
              <w:jc w:val="center"/>
              <w:rPr>
                <w:b/>
                <w:bCs/>
              </w:rPr>
            </w:pPr>
            <w:r w:rsidRPr="00E71531">
              <w:t>n</w:t>
            </w:r>
          </w:p>
        </w:tc>
      </w:tr>
      <w:bookmarkEnd w:id="4"/>
    </w:tbl>
    <w:p w14:paraId="479F5587" w14:textId="77777777" w:rsidR="008E2753" w:rsidRDefault="008E2753" w:rsidP="00D8679F">
      <w:pPr>
        <w:spacing w:line="480" w:lineRule="auto"/>
        <w:rPr>
          <w:b/>
          <w:bCs/>
        </w:rPr>
      </w:pPr>
    </w:p>
    <w:bookmarkEnd w:id="2"/>
    <w:p w14:paraId="456657AD" w14:textId="77777777" w:rsidR="00E71531" w:rsidRDefault="00E71531">
      <w:pPr>
        <w:widowControl/>
        <w:ind w:firstLineChars="100" w:firstLine="241"/>
        <w:jc w:val="left"/>
        <w:rPr>
          <w:b/>
          <w:bCs/>
        </w:rPr>
      </w:pPr>
      <w:r>
        <w:rPr>
          <w:b/>
          <w:bCs/>
        </w:rPr>
        <w:br w:type="page"/>
      </w:r>
    </w:p>
    <w:p w14:paraId="16028DE9" w14:textId="4B5C5D72" w:rsidR="00A13710" w:rsidRDefault="00A13710" w:rsidP="00D8679F">
      <w:pPr>
        <w:spacing w:line="480" w:lineRule="auto"/>
      </w:pPr>
      <w:r w:rsidRPr="00E214BB">
        <w:rPr>
          <w:b/>
          <w:bCs/>
        </w:rPr>
        <w:lastRenderedPageBreak/>
        <w:t>Table S</w:t>
      </w:r>
      <w:r w:rsidR="000A64D8">
        <w:rPr>
          <w:rFonts w:hint="eastAsia"/>
          <w:b/>
          <w:bCs/>
        </w:rPr>
        <w:t>2</w:t>
      </w:r>
      <w:r w:rsidRPr="00E214BB">
        <w:rPr>
          <w:b/>
          <w:bCs/>
        </w:rPr>
        <w:t xml:space="preserve">. </w:t>
      </w:r>
      <w:r w:rsidRPr="00E214BB">
        <w:t>Comparison of AR1 degradation over different reported different photocatalysts.</w:t>
      </w:r>
    </w:p>
    <w:tbl>
      <w:tblPr>
        <w:tblStyle w:val="a9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05"/>
        <w:gridCol w:w="1523"/>
        <w:gridCol w:w="1077"/>
        <w:gridCol w:w="1523"/>
        <w:gridCol w:w="1276"/>
        <w:gridCol w:w="851"/>
      </w:tblGrid>
      <w:tr w:rsidR="00F702E1" w14:paraId="78A5F228" w14:textId="77777777" w:rsidTr="00F702E1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BE7B4" w14:textId="09EAB2A8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Catalyst</w:t>
            </w:r>
            <w:r w:rsidRPr="00F26923">
              <w:rPr>
                <w:rFonts w:hint="eastAsia"/>
                <w:lang w:val="de-DE"/>
              </w:rPr>
              <w:t xml:space="preserve"> type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D0BD" w14:textId="0BD49872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Catalyst</w:t>
            </w:r>
            <w:r w:rsidRPr="00F26923">
              <w:rPr>
                <w:rFonts w:hint="eastAsia"/>
                <w:lang w:val="de-DE"/>
              </w:rPr>
              <w:t xml:space="preserve"> dose </w:t>
            </w:r>
            <w:r w:rsidRPr="00F26923">
              <w:rPr>
                <w:lang w:val="de-DE"/>
              </w:rPr>
              <w:t>(g)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AF2A" w14:textId="75E916D7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AR1 concentration (mg L</w:t>
            </w:r>
            <w:r w:rsidRPr="00F26923">
              <w:rPr>
                <w:vertAlign w:val="superscript"/>
                <w:lang w:val="de-DE"/>
              </w:rPr>
              <w:t>-1</w:t>
            </w:r>
            <w:r w:rsidRPr="00F26923">
              <w:rPr>
                <w:lang w:val="de-DE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369C" w14:textId="77777777" w:rsidR="00F702E1" w:rsidRPr="00F26923" w:rsidRDefault="00F702E1" w:rsidP="00F702E1">
            <w:pPr>
              <w:pStyle w:val="TCTableBody"/>
              <w:spacing w:after="0" w:line="480" w:lineRule="auto"/>
              <w:jc w:val="center"/>
              <w:rPr>
                <w:rFonts w:ascii="Times New Roman" w:eastAsiaTheme="minorEastAsia" w:hAnsi="Times New Roman"/>
                <w:szCs w:val="24"/>
                <w:lang w:val="de-DE" w:eastAsia="zh-CN"/>
              </w:rPr>
            </w:pPr>
            <w:r w:rsidRPr="00F26923">
              <w:rPr>
                <w:rFonts w:ascii="Times New Roman" w:eastAsiaTheme="minorEastAsia" w:hAnsi="Times New Roman"/>
                <w:szCs w:val="24"/>
                <w:lang w:val="de-DE" w:eastAsia="zh-CN"/>
              </w:rPr>
              <w:t>AR1</w:t>
            </w:r>
          </w:p>
          <w:p w14:paraId="5314A331" w14:textId="4421C5EE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hint="eastAsia"/>
                <w:lang w:val="de-DE"/>
              </w:rPr>
              <w:t>v</w:t>
            </w:r>
            <w:r w:rsidRPr="00F26923">
              <w:rPr>
                <w:lang w:val="de-DE"/>
              </w:rPr>
              <w:t>olume (mL)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6CD6" w14:textId="5EB30B55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Light source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ADD9" w14:textId="77777777" w:rsidR="00F702E1" w:rsidRPr="00F26923" w:rsidRDefault="00F702E1" w:rsidP="00F702E1">
            <w:pPr>
              <w:pStyle w:val="TCTableBody"/>
              <w:spacing w:after="0" w:line="480" w:lineRule="auto"/>
              <w:jc w:val="center"/>
              <w:rPr>
                <w:rFonts w:ascii="Times New Roman" w:eastAsiaTheme="minorEastAsia" w:hAnsi="Times New Roman"/>
                <w:szCs w:val="24"/>
                <w:lang w:val="de-DE" w:eastAsia="zh-CN"/>
              </w:rPr>
            </w:pPr>
            <w:r w:rsidRPr="00F26923">
              <w:rPr>
                <w:rFonts w:ascii="Times New Roman" w:eastAsiaTheme="minorEastAsia" w:hAnsi="Times New Roman" w:hint="eastAsia"/>
                <w:szCs w:val="24"/>
                <w:lang w:val="de-DE" w:eastAsia="zh-CN"/>
              </w:rPr>
              <w:t>k</w:t>
            </w:r>
          </w:p>
          <w:p w14:paraId="05ED2603" w14:textId="02081BE0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(min</w:t>
            </w:r>
            <w:r w:rsidRPr="00F26923">
              <w:rPr>
                <w:vertAlign w:val="superscript"/>
                <w:lang w:val="de-DE"/>
              </w:rPr>
              <w:t>-1</w:t>
            </w:r>
            <w:r w:rsidRPr="00F26923">
              <w:rPr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F383" w14:textId="0C222324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Ref.</w:t>
            </w:r>
          </w:p>
        </w:tc>
      </w:tr>
      <w:tr w:rsidR="00F702E1" w14:paraId="2ED168FA" w14:textId="77777777" w:rsidTr="00F702E1"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1147D541" w14:textId="3E55547D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TiO</w:t>
            </w:r>
            <w:r w:rsidRPr="00F26923">
              <w:rPr>
                <w:vertAlign w:val="subscript"/>
                <w:lang w:val="de-DE"/>
              </w:rPr>
              <w:t>2</w:t>
            </w:r>
            <w:r w:rsidRPr="00F26923">
              <w:rPr>
                <w:lang w:val="de-DE"/>
              </w:rPr>
              <w:t>/glass microspheres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0BCCE7AC" w14:textId="6A970F82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0.03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4EE068C8" w14:textId="403ACEBC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2209C72" w14:textId="2B19DA57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50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081E8873" w14:textId="19D9FF7E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20 W UV lamp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655EC0" w14:textId="5B2B4DFA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0.0103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9F09D5A" w14:textId="275B5B6B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noProof/>
                <w:lang w:val="de-DE"/>
              </w:rPr>
              <w:t>[1]</w:t>
            </w:r>
          </w:p>
        </w:tc>
      </w:tr>
      <w:tr w:rsidR="00F702E1" w14:paraId="53AD8C1C" w14:textId="77777777" w:rsidTr="00F702E1">
        <w:tc>
          <w:tcPr>
            <w:tcW w:w="1576" w:type="dxa"/>
            <w:vAlign w:val="center"/>
          </w:tcPr>
          <w:p w14:paraId="32B50C26" w14:textId="5D67F91A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ZnAl</w:t>
            </w:r>
            <w:r w:rsidRPr="00F26923">
              <w:rPr>
                <w:vertAlign w:val="subscript"/>
                <w:lang w:val="de-DE"/>
              </w:rPr>
              <w:t>2</w:t>
            </w:r>
            <w:r w:rsidRPr="00F26923">
              <w:rPr>
                <w:lang w:val="de-DE"/>
              </w:rPr>
              <w:t>O</w:t>
            </w:r>
            <w:r w:rsidRPr="00F26923">
              <w:rPr>
                <w:vertAlign w:val="subscript"/>
                <w:lang w:val="de-DE"/>
              </w:rPr>
              <w:t>4</w:t>
            </w:r>
            <w:r w:rsidRPr="00F26923">
              <w:rPr>
                <w:lang w:val="de-DE"/>
              </w:rPr>
              <w:t>/CuS</w:t>
            </w:r>
          </w:p>
        </w:tc>
        <w:tc>
          <w:tcPr>
            <w:tcW w:w="1105" w:type="dxa"/>
            <w:vAlign w:val="center"/>
          </w:tcPr>
          <w:p w14:paraId="669FD2A9" w14:textId="78CC4CDC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0.2</w:t>
            </w:r>
          </w:p>
        </w:tc>
        <w:tc>
          <w:tcPr>
            <w:tcW w:w="1523" w:type="dxa"/>
            <w:vAlign w:val="center"/>
          </w:tcPr>
          <w:p w14:paraId="1C619AD4" w14:textId="50AD7BC6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20</w:t>
            </w:r>
          </w:p>
        </w:tc>
        <w:tc>
          <w:tcPr>
            <w:tcW w:w="1077" w:type="dxa"/>
            <w:vAlign w:val="center"/>
          </w:tcPr>
          <w:p w14:paraId="677D6D09" w14:textId="2A722B7B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200</w:t>
            </w:r>
          </w:p>
        </w:tc>
        <w:tc>
          <w:tcPr>
            <w:tcW w:w="1523" w:type="dxa"/>
            <w:vAlign w:val="center"/>
          </w:tcPr>
          <w:p w14:paraId="51CCF10C" w14:textId="78FACB46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4×17 W UV lamp</w:t>
            </w:r>
          </w:p>
        </w:tc>
        <w:tc>
          <w:tcPr>
            <w:tcW w:w="1276" w:type="dxa"/>
            <w:vAlign w:val="center"/>
          </w:tcPr>
          <w:p w14:paraId="3E484016" w14:textId="4855221B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0.030</w:t>
            </w:r>
          </w:p>
        </w:tc>
        <w:tc>
          <w:tcPr>
            <w:tcW w:w="851" w:type="dxa"/>
            <w:vAlign w:val="center"/>
          </w:tcPr>
          <w:p w14:paraId="74CF66F4" w14:textId="050A5262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noProof/>
                <w:lang w:val="de-DE"/>
              </w:rPr>
              <w:t>[2]</w:t>
            </w:r>
          </w:p>
        </w:tc>
      </w:tr>
      <w:tr w:rsidR="00F702E1" w14:paraId="6DB12DBB" w14:textId="77777777" w:rsidTr="00F702E1">
        <w:tc>
          <w:tcPr>
            <w:tcW w:w="1576" w:type="dxa"/>
            <w:vAlign w:val="center"/>
          </w:tcPr>
          <w:p w14:paraId="43E4F68C" w14:textId="405C8513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AgI/Bi</w:t>
            </w:r>
            <w:r w:rsidRPr="00F26923">
              <w:rPr>
                <w:vertAlign w:val="subscript"/>
                <w:lang w:val="de-DE"/>
              </w:rPr>
              <w:t>2</w:t>
            </w:r>
            <w:r w:rsidRPr="00F26923">
              <w:rPr>
                <w:lang w:val="de-DE"/>
              </w:rPr>
              <w:t>Ga</w:t>
            </w:r>
            <w:r w:rsidRPr="00F26923">
              <w:rPr>
                <w:vertAlign w:val="subscript"/>
                <w:lang w:val="de-DE"/>
              </w:rPr>
              <w:t>4</w:t>
            </w:r>
            <w:r w:rsidRPr="00F26923">
              <w:rPr>
                <w:lang w:val="de-DE"/>
              </w:rPr>
              <w:t>O</w:t>
            </w:r>
            <w:r w:rsidRPr="00F26923">
              <w:rPr>
                <w:vertAlign w:val="subscript"/>
                <w:lang w:val="de-DE"/>
              </w:rPr>
              <w:t>9</w:t>
            </w:r>
          </w:p>
        </w:tc>
        <w:tc>
          <w:tcPr>
            <w:tcW w:w="1105" w:type="dxa"/>
            <w:vAlign w:val="center"/>
          </w:tcPr>
          <w:p w14:paraId="41D333AC" w14:textId="3869EF36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</w:t>
            </w:r>
            <w:r w:rsidRPr="00F26923">
              <w:rPr>
                <w:rFonts w:hint="eastAsia"/>
                <w:lang w:val="de-DE"/>
              </w:rPr>
              <w:t>02</w:t>
            </w:r>
          </w:p>
        </w:tc>
        <w:tc>
          <w:tcPr>
            <w:tcW w:w="1523" w:type="dxa"/>
            <w:vAlign w:val="center"/>
          </w:tcPr>
          <w:p w14:paraId="5E722D04" w14:textId="530AC521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20</w:t>
            </w:r>
          </w:p>
        </w:tc>
        <w:tc>
          <w:tcPr>
            <w:tcW w:w="1077" w:type="dxa"/>
            <w:vAlign w:val="center"/>
          </w:tcPr>
          <w:p w14:paraId="5D35E2FE" w14:textId="5F396D03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50</w:t>
            </w:r>
          </w:p>
        </w:tc>
        <w:tc>
          <w:tcPr>
            <w:tcW w:w="1523" w:type="dxa"/>
            <w:vAlign w:val="center"/>
          </w:tcPr>
          <w:p w14:paraId="3917E6C1" w14:textId="77777777" w:rsidR="00F702E1" w:rsidRPr="00F26923" w:rsidRDefault="00F702E1" w:rsidP="00F702E1">
            <w:pPr>
              <w:pStyle w:val="TCTableBody"/>
              <w:spacing w:after="0" w:line="480" w:lineRule="auto"/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F26923">
              <w:rPr>
                <w:rFonts w:ascii="Times New Roman" w:hAnsi="Times New Roman"/>
                <w:szCs w:val="24"/>
                <w:lang w:val="de-DE"/>
              </w:rPr>
              <w:t>100 W</w:t>
            </w:r>
          </w:p>
          <w:p w14:paraId="775223BB" w14:textId="64FC4BB5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LED lamp (λ=420 nm)</w:t>
            </w:r>
          </w:p>
        </w:tc>
        <w:tc>
          <w:tcPr>
            <w:tcW w:w="1276" w:type="dxa"/>
            <w:vAlign w:val="center"/>
          </w:tcPr>
          <w:p w14:paraId="2531A7A2" w14:textId="3DF1578A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0.2539</w:t>
            </w:r>
          </w:p>
        </w:tc>
        <w:tc>
          <w:tcPr>
            <w:tcW w:w="851" w:type="dxa"/>
            <w:vAlign w:val="center"/>
          </w:tcPr>
          <w:p w14:paraId="7CF8BE80" w14:textId="6EB81B7A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noProof/>
                <w:lang w:val="de-DE"/>
              </w:rPr>
              <w:t>[3]</w:t>
            </w:r>
          </w:p>
        </w:tc>
      </w:tr>
      <w:tr w:rsidR="00F702E1" w14:paraId="4849B8A2" w14:textId="77777777" w:rsidTr="00F702E1">
        <w:tc>
          <w:tcPr>
            <w:tcW w:w="1576" w:type="dxa"/>
            <w:vAlign w:val="center"/>
          </w:tcPr>
          <w:p w14:paraId="41345B3D" w14:textId="6DB274AE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Ag-Li-ZnO</w:t>
            </w:r>
          </w:p>
        </w:tc>
        <w:tc>
          <w:tcPr>
            <w:tcW w:w="1105" w:type="dxa"/>
            <w:vAlign w:val="center"/>
          </w:tcPr>
          <w:p w14:paraId="109D1A31" w14:textId="72333803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0.05</w:t>
            </w:r>
          </w:p>
        </w:tc>
        <w:tc>
          <w:tcPr>
            <w:tcW w:w="1523" w:type="dxa"/>
            <w:vAlign w:val="center"/>
          </w:tcPr>
          <w:p w14:paraId="760273E8" w14:textId="31F8AE39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5</w:t>
            </w:r>
          </w:p>
        </w:tc>
        <w:tc>
          <w:tcPr>
            <w:tcW w:w="1077" w:type="dxa"/>
            <w:vAlign w:val="center"/>
          </w:tcPr>
          <w:p w14:paraId="57258EA1" w14:textId="2C40802C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50</w:t>
            </w:r>
          </w:p>
        </w:tc>
        <w:tc>
          <w:tcPr>
            <w:tcW w:w="1523" w:type="dxa"/>
            <w:vAlign w:val="center"/>
          </w:tcPr>
          <w:p w14:paraId="56DDA05C" w14:textId="4181EC0E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300 W tungsten lamp</w:t>
            </w:r>
          </w:p>
        </w:tc>
        <w:tc>
          <w:tcPr>
            <w:tcW w:w="1276" w:type="dxa"/>
            <w:vAlign w:val="center"/>
          </w:tcPr>
          <w:p w14:paraId="0F5DDC84" w14:textId="3049A749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0.0181</w:t>
            </w:r>
          </w:p>
        </w:tc>
        <w:tc>
          <w:tcPr>
            <w:tcW w:w="851" w:type="dxa"/>
            <w:vAlign w:val="center"/>
          </w:tcPr>
          <w:p w14:paraId="1EE1676E" w14:textId="14A358F7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noProof/>
                <w:lang w:val="de-DE"/>
              </w:rPr>
              <w:t>[4]</w:t>
            </w:r>
          </w:p>
        </w:tc>
      </w:tr>
      <w:tr w:rsidR="00F702E1" w14:paraId="23BE4CF6" w14:textId="77777777" w:rsidTr="00F702E1">
        <w:tc>
          <w:tcPr>
            <w:tcW w:w="1576" w:type="dxa"/>
            <w:vAlign w:val="center"/>
          </w:tcPr>
          <w:p w14:paraId="4F3CF83E" w14:textId="6D5C8CDD" w:rsidR="00F702E1" w:rsidRDefault="00F702E1" w:rsidP="00F702E1">
            <w:pPr>
              <w:spacing w:line="480" w:lineRule="auto"/>
              <w:jc w:val="center"/>
            </w:pPr>
            <w:proofErr w:type="spellStart"/>
            <w:r w:rsidRPr="00F26923">
              <w:t>AgI</w:t>
            </w:r>
            <w:proofErr w:type="spellEnd"/>
            <w:r w:rsidRPr="00F26923">
              <w:t>/BiSI</w:t>
            </w:r>
          </w:p>
        </w:tc>
        <w:tc>
          <w:tcPr>
            <w:tcW w:w="1105" w:type="dxa"/>
            <w:vAlign w:val="center"/>
          </w:tcPr>
          <w:p w14:paraId="710C30BF" w14:textId="1294FCE3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eastAsia="宋体"/>
              </w:rPr>
              <w:t>0.05</w:t>
            </w:r>
          </w:p>
        </w:tc>
        <w:tc>
          <w:tcPr>
            <w:tcW w:w="1523" w:type="dxa"/>
            <w:vAlign w:val="center"/>
          </w:tcPr>
          <w:p w14:paraId="7BB70180" w14:textId="78B65B04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eastAsia="等线" w:hint="eastAsia"/>
                <w:lang w:val="de-DE"/>
              </w:rPr>
              <w:t>30</w:t>
            </w:r>
          </w:p>
        </w:tc>
        <w:tc>
          <w:tcPr>
            <w:tcW w:w="1077" w:type="dxa"/>
            <w:vAlign w:val="center"/>
          </w:tcPr>
          <w:p w14:paraId="36C17DEB" w14:textId="06CE9E65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hint="eastAsia"/>
                <w:lang w:val="de-DE"/>
              </w:rPr>
              <w:t>100</w:t>
            </w:r>
          </w:p>
        </w:tc>
        <w:tc>
          <w:tcPr>
            <w:tcW w:w="1523" w:type="dxa"/>
            <w:vAlign w:val="center"/>
          </w:tcPr>
          <w:p w14:paraId="380861EF" w14:textId="3F9F3892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eastAsia="宋体"/>
              </w:rPr>
              <w:t xml:space="preserve">100 W LED </w:t>
            </w:r>
            <w:r w:rsidRPr="00F26923">
              <w:rPr>
                <w:lang w:val="de-DE"/>
              </w:rPr>
              <w:t>lamp (λ=420 nm)</w:t>
            </w:r>
          </w:p>
        </w:tc>
        <w:tc>
          <w:tcPr>
            <w:tcW w:w="1276" w:type="dxa"/>
            <w:vAlign w:val="center"/>
          </w:tcPr>
          <w:p w14:paraId="34A1E531" w14:textId="5A4A1580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rFonts w:hint="eastAsia"/>
                <w:lang w:val="de-DE"/>
              </w:rPr>
              <w:t>0.4699</w:t>
            </w:r>
          </w:p>
        </w:tc>
        <w:tc>
          <w:tcPr>
            <w:tcW w:w="851" w:type="dxa"/>
            <w:vAlign w:val="center"/>
          </w:tcPr>
          <w:p w14:paraId="41E25AB3" w14:textId="6727AEE2" w:rsidR="00F702E1" w:rsidRDefault="00F702E1" w:rsidP="00F702E1">
            <w:pPr>
              <w:spacing w:line="480" w:lineRule="auto"/>
              <w:jc w:val="center"/>
            </w:pPr>
            <w:r w:rsidRPr="00F26923">
              <w:rPr>
                <w:lang w:val="de-DE"/>
              </w:rPr>
              <w:t>This work</w:t>
            </w:r>
          </w:p>
        </w:tc>
      </w:tr>
    </w:tbl>
    <w:p w14:paraId="292481FF" w14:textId="77777777" w:rsidR="00A13710" w:rsidRDefault="00A13710" w:rsidP="00F702E1">
      <w:pPr>
        <w:spacing w:line="480" w:lineRule="auto"/>
      </w:pPr>
    </w:p>
    <w:p w14:paraId="789BE442" w14:textId="42D86217" w:rsidR="00A13710" w:rsidRPr="00753FDB" w:rsidRDefault="00753FDB" w:rsidP="00753FDB">
      <w:pPr>
        <w:spacing w:line="480" w:lineRule="auto"/>
        <w:rPr>
          <w:b/>
          <w:bCs/>
        </w:rPr>
      </w:pPr>
      <w:r w:rsidRPr="00753FDB">
        <w:rPr>
          <w:rFonts w:hint="eastAsia"/>
          <w:b/>
          <w:bCs/>
        </w:rPr>
        <w:t>References</w:t>
      </w:r>
    </w:p>
    <w:p w14:paraId="0F90A2E7" w14:textId="3B8AD95F" w:rsidR="00A13710" w:rsidRPr="0033644B" w:rsidRDefault="00A13710" w:rsidP="00753FDB">
      <w:pPr>
        <w:pStyle w:val="EndNoteBibliography"/>
        <w:spacing w:line="480" w:lineRule="auto"/>
        <w:jc w:val="both"/>
      </w:pPr>
      <w:r w:rsidRPr="0033644B">
        <w:t>[1] Y. Zhang, M. Han, Y.J. Tao, W.J. Zhang, H. Wang, Sol-gel synthesis of</w:t>
      </w:r>
      <w:r w:rsidR="00753FDB">
        <w:rPr>
          <w:rFonts w:eastAsiaTheme="minorEastAsia" w:hint="eastAsia"/>
          <w:lang w:eastAsia="zh-CN"/>
        </w:rPr>
        <w:t xml:space="preserve"> </w:t>
      </w:r>
      <w:r w:rsidRPr="0033644B">
        <w:t xml:space="preserve">suspensible titanium dioxide-hollow glass microsphere composites for photocatalytic degradation </w:t>
      </w:r>
      <w:r w:rsidRPr="0033644B">
        <w:lastRenderedPageBreak/>
        <w:t xml:space="preserve">of Acid Red 1, Ceram. Int., 46 (2020) 22846-22853, </w:t>
      </w:r>
      <w:r w:rsidRPr="00A13710">
        <w:t>https://doi.org/10.1016/j.ceramint.2020.06.053</w:t>
      </w:r>
      <w:r w:rsidRPr="0033644B">
        <w:t>.</w:t>
      </w:r>
    </w:p>
    <w:p w14:paraId="3AC63330" w14:textId="77777777" w:rsidR="00A13710" w:rsidRPr="0033644B" w:rsidRDefault="00A13710" w:rsidP="00753FDB">
      <w:pPr>
        <w:pStyle w:val="EndNoteBibliography"/>
        <w:spacing w:line="480" w:lineRule="auto"/>
        <w:jc w:val="both"/>
      </w:pPr>
      <w:r w:rsidRPr="0033644B">
        <w:t>[2] Y. Fahoul, M. Zouheir, K. Tanji, A. Kherbeche, Synthesis of a novel ZnAl</w:t>
      </w:r>
      <w:r w:rsidRPr="00753FDB">
        <w:rPr>
          <w:vertAlign w:val="subscript"/>
        </w:rPr>
        <w:t>2</w:t>
      </w:r>
      <w:r w:rsidRPr="0033644B">
        <w:t>O</w:t>
      </w:r>
      <w:r w:rsidRPr="00753FDB">
        <w:rPr>
          <w:vertAlign w:val="subscript"/>
        </w:rPr>
        <w:t>4</w:t>
      </w:r>
      <w:r w:rsidRPr="0033644B">
        <w:t xml:space="preserve">/CuS nanocomposite and its characterization for photocatalytic degradation of acid red 1 under UV illumination, J. Alloys Compd., 889 (2021) 161708, </w:t>
      </w:r>
      <w:r w:rsidRPr="00A13710">
        <w:t>https://doi.org/10.1016/j.jallcom.2021.161708</w:t>
      </w:r>
      <w:r w:rsidRPr="0033644B">
        <w:t>.</w:t>
      </w:r>
    </w:p>
    <w:p w14:paraId="60A685E9" w14:textId="77777777" w:rsidR="00A13710" w:rsidRPr="0033644B" w:rsidRDefault="00A13710" w:rsidP="00753FDB">
      <w:pPr>
        <w:pStyle w:val="EndNoteBibliography"/>
        <w:spacing w:line="480" w:lineRule="auto"/>
        <w:jc w:val="both"/>
      </w:pPr>
      <w:r w:rsidRPr="0033644B">
        <w:t>[3] Y. Liu, H. Zou, H. Ma, J. Ko, W. Sun, K. Andrew Lin, S. Zhan, H. Wang, Highly efficient activation of peroxymonosulfate by MOF-derived CoP/CoOx heterostructured nanoparticles for the degradation of tetracycline, Chem. Eng. J., 430 (2022) 132816, 10.1016/j.cej.2021.132816.</w:t>
      </w:r>
    </w:p>
    <w:p w14:paraId="200ADD88" w14:textId="58C1F0BF" w:rsidR="0053546A" w:rsidRPr="00753FDB" w:rsidRDefault="00A13710" w:rsidP="00753FDB">
      <w:pPr>
        <w:pStyle w:val="EndNoteBibliography"/>
        <w:spacing w:line="480" w:lineRule="auto"/>
        <w:jc w:val="both"/>
        <w:rPr>
          <w:rFonts w:eastAsiaTheme="minorEastAsia"/>
          <w:lang w:eastAsia="zh-CN"/>
        </w:rPr>
      </w:pPr>
      <w:r w:rsidRPr="0033644B">
        <w:t xml:space="preserve">[4] K. Masula, R. Kore, Y. Bhongiri, S. Pola, M. Basude, Ag-Li-ZnO nanostructures for efficient photocatalytic degradation of organic dyes and textile wastewater under visible light treatment, J. Mol. Struct., 1305 (2024) 137750, </w:t>
      </w:r>
      <w:r w:rsidRPr="00A13710">
        <w:t>https://doi.org/10.1016/j.molstruc.2024.137750</w:t>
      </w:r>
      <w:r w:rsidRPr="0033644B">
        <w:t>.</w:t>
      </w:r>
    </w:p>
    <w:sectPr w:rsidR="0053546A" w:rsidRPr="00753FDB" w:rsidSect="00A13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0E28" w14:textId="77777777" w:rsidR="00A41A54" w:rsidRDefault="00A41A54" w:rsidP="00D8679F">
      <w:r>
        <w:separator/>
      </w:r>
    </w:p>
  </w:endnote>
  <w:endnote w:type="continuationSeparator" w:id="0">
    <w:p w14:paraId="0DFEB0BB" w14:textId="77777777" w:rsidR="00A41A54" w:rsidRDefault="00A41A54" w:rsidP="00D8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AFD2" w14:textId="77777777" w:rsidR="00D8679F" w:rsidRDefault="00D86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E830" w14:textId="77777777" w:rsidR="00D8679F" w:rsidRDefault="00D867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D9AF" w14:textId="77777777" w:rsidR="00D8679F" w:rsidRDefault="00D86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1B77" w14:textId="77777777" w:rsidR="00A41A54" w:rsidRDefault="00A41A54" w:rsidP="00D8679F">
      <w:r>
        <w:separator/>
      </w:r>
    </w:p>
  </w:footnote>
  <w:footnote w:type="continuationSeparator" w:id="0">
    <w:p w14:paraId="6E5396E2" w14:textId="77777777" w:rsidR="00A41A54" w:rsidRDefault="00A41A54" w:rsidP="00D8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9E52" w14:textId="77777777" w:rsidR="00D8679F" w:rsidRDefault="00D86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D23B" w14:textId="77777777" w:rsidR="00D8679F" w:rsidRDefault="00D86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2EA1" w14:textId="77777777" w:rsidR="00D8679F" w:rsidRDefault="00D86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13710"/>
    <w:rsid w:val="000A64D8"/>
    <w:rsid w:val="00131571"/>
    <w:rsid w:val="001857B5"/>
    <w:rsid w:val="0028401A"/>
    <w:rsid w:val="0031113F"/>
    <w:rsid w:val="00514916"/>
    <w:rsid w:val="0053546A"/>
    <w:rsid w:val="006159C9"/>
    <w:rsid w:val="006743EC"/>
    <w:rsid w:val="00674B69"/>
    <w:rsid w:val="00753FDB"/>
    <w:rsid w:val="007F18E7"/>
    <w:rsid w:val="007F692F"/>
    <w:rsid w:val="00814334"/>
    <w:rsid w:val="008E2753"/>
    <w:rsid w:val="008F123D"/>
    <w:rsid w:val="00946BDE"/>
    <w:rsid w:val="009E5D64"/>
    <w:rsid w:val="00A13710"/>
    <w:rsid w:val="00A41A54"/>
    <w:rsid w:val="00BA313A"/>
    <w:rsid w:val="00D574EF"/>
    <w:rsid w:val="00D8679F"/>
    <w:rsid w:val="00E569B0"/>
    <w:rsid w:val="00E71531"/>
    <w:rsid w:val="00EE4873"/>
    <w:rsid w:val="00F514CA"/>
    <w:rsid w:val="00F57E82"/>
    <w:rsid w:val="00F702E1"/>
    <w:rsid w:val="00F70388"/>
    <w:rsid w:val="00F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02390"/>
  <w15:chartTrackingRefBased/>
  <w15:docId w15:val="{6C10B418-E612-4104-989A-E5EDB80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710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7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7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710"/>
    <w:rPr>
      <w:sz w:val="18"/>
      <w:szCs w:val="18"/>
    </w:rPr>
  </w:style>
  <w:style w:type="paragraph" w:customStyle="1" w:styleId="TCTableBody">
    <w:name w:val="TC_Table_Body"/>
    <w:basedOn w:val="a"/>
    <w:link w:val="TCTableBody0"/>
    <w:rsid w:val="00A13710"/>
    <w:pPr>
      <w:widowControl/>
      <w:spacing w:after="20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rsid w:val="00A13710"/>
    <w:pPr>
      <w:jc w:val="center"/>
    </w:pPr>
    <w:rPr>
      <w:rFonts w:ascii="Times" w:eastAsia="Times New Roman" w:hAnsi="Times"/>
      <w:noProof/>
      <w:kern w:val="0"/>
      <w:szCs w:val="20"/>
      <w:lang w:eastAsia="en-US"/>
    </w:rPr>
  </w:style>
  <w:style w:type="character" w:customStyle="1" w:styleId="TCTableBody0">
    <w:name w:val="TC_Table_Body 字符"/>
    <w:basedOn w:val="a0"/>
    <w:link w:val="TCTableBody"/>
    <w:rsid w:val="00A13710"/>
    <w:rPr>
      <w:rFonts w:ascii="Times" w:eastAsia="Times New Roman" w:hAnsi="Times"/>
      <w:kern w:val="0"/>
      <w:szCs w:val="20"/>
      <w:lang w:eastAsia="en-US"/>
    </w:rPr>
  </w:style>
  <w:style w:type="character" w:customStyle="1" w:styleId="EndNoteBibliographyTitle0">
    <w:name w:val="EndNote Bibliography Title 字符"/>
    <w:basedOn w:val="TCTableBody0"/>
    <w:link w:val="EndNoteBibliographyTitle"/>
    <w:rsid w:val="00A13710"/>
    <w:rPr>
      <w:rFonts w:ascii="Times" w:eastAsia="Times New Roman" w:hAnsi="Times"/>
      <w:noProof/>
      <w:kern w:val="0"/>
      <w:szCs w:val="20"/>
      <w:lang w:eastAsia="en-US"/>
    </w:rPr>
  </w:style>
  <w:style w:type="paragraph" w:customStyle="1" w:styleId="EndNoteBibliography">
    <w:name w:val="EndNote Bibliography"/>
    <w:basedOn w:val="a"/>
    <w:link w:val="EndNoteBibliography0"/>
    <w:rsid w:val="00A13710"/>
    <w:pPr>
      <w:jc w:val="center"/>
    </w:pPr>
    <w:rPr>
      <w:rFonts w:ascii="Times" w:eastAsia="Times New Roman" w:hAnsi="Times"/>
      <w:noProof/>
      <w:kern w:val="0"/>
      <w:szCs w:val="20"/>
      <w:lang w:eastAsia="en-US"/>
    </w:rPr>
  </w:style>
  <w:style w:type="character" w:customStyle="1" w:styleId="EndNoteBibliography0">
    <w:name w:val="EndNote Bibliography 字符"/>
    <w:basedOn w:val="TCTableBody0"/>
    <w:link w:val="EndNoteBibliography"/>
    <w:rsid w:val="00A13710"/>
    <w:rPr>
      <w:rFonts w:ascii="Times" w:eastAsia="Times New Roman" w:hAnsi="Times"/>
      <w:noProof/>
      <w:kern w:val="0"/>
      <w:szCs w:val="20"/>
      <w:lang w:eastAsia="en-US"/>
    </w:rPr>
  </w:style>
  <w:style w:type="character" w:styleId="a7">
    <w:name w:val="Hyperlink"/>
    <w:basedOn w:val="a0"/>
    <w:uiPriority w:val="99"/>
    <w:unhideWhenUsed/>
    <w:rsid w:val="00A1371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371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71531"/>
    <w:pPr>
      <w:ind w:firstLineChars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liu</dc:creator>
  <cp:keywords/>
  <dc:description/>
  <cp:lastModifiedBy>jin liu</cp:lastModifiedBy>
  <cp:revision>15</cp:revision>
  <dcterms:created xsi:type="dcterms:W3CDTF">2024-05-20T14:55:00Z</dcterms:created>
  <dcterms:modified xsi:type="dcterms:W3CDTF">2024-05-21T03:52:00Z</dcterms:modified>
</cp:coreProperties>
</file>