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2"/>
      <w:r>
        <w:rPr>
          <w:rFonts w:ascii="Times New Roman" w:hAnsi="Times New Roman" w:cs="Times New Roman"/>
          <w:b/>
          <w:bCs/>
          <w:sz w:val="32"/>
          <w:szCs w:val="32"/>
        </w:rPr>
        <w:t>Supplementary Materials to:</w:t>
      </w:r>
    </w:p>
    <w:p>
      <w:pPr>
        <w:spacing w:line="360" w:lineRule="auto"/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Hlk64385154"/>
      <w:r>
        <w:rPr>
          <w:rFonts w:hint="default" w:ascii="Times New Roman" w:hAnsi="Times New Roman" w:eastAsia="等线"/>
          <w:b/>
          <w:bCs/>
          <w:iCs/>
          <w:sz w:val="30"/>
          <w:szCs w:val="30"/>
          <w:lang w:val="en-US" w:eastAsia="zh-CN"/>
        </w:rPr>
        <w:t>E</w:t>
      </w:r>
      <w:r>
        <w:rPr>
          <w:rFonts w:ascii="Times New Roman" w:hAnsi="Times New Roman" w:eastAsia="等线"/>
          <w:b/>
          <w:bCs/>
          <w:iCs/>
          <w:sz w:val="30"/>
          <w:szCs w:val="30"/>
        </w:rPr>
        <w:t xml:space="preserve">xploration </w:t>
      </w:r>
      <w:r>
        <w:rPr>
          <w:rFonts w:hint="default" w:ascii="Times New Roman" w:hAnsi="Times New Roman" w:eastAsia="等线"/>
          <w:b/>
          <w:bCs/>
          <w:iCs/>
          <w:sz w:val="30"/>
          <w:szCs w:val="30"/>
          <w:lang w:val="en-US" w:eastAsia="zh-CN"/>
        </w:rPr>
        <w:t>on</w:t>
      </w:r>
      <w:r>
        <w:rPr>
          <w:rFonts w:hint="default" w:ascii="Times New Roman" w:hAnsi="Times New Roman" w:eastAsia="等线"/>
          <w:b/>
          <w:bCs/>
          <w:iCs/>
          <w:sz w:val="30"/>
          <w:szCs w:val="30"/>
        </w:rPr>
        <w:t xml:space="preserve"> the</w:t>
      </w:r>
      <w:r>
        <w:rPr>
          <w:rFonts w:ascii="Times New Roman" w:hAnsi="Times New Roman" w:eastAsia="等线"/>
          <w:b/>
          <w:bCs/>
          <w:iCs/>
          <w:sz w:val="30"/>
          <w:szCs w:val="30"/>
        </w:rPr>
        <w:t xml:space="preserve"> </w:t>
      </w:r>
      <w:r>
        <w:rPr>
          <w:rFonts w:hint="default" w:ascii="Times New Roman" w:hAnsi="Times New Roman" w:eastAsia="等线"/>
          <w:b/>
          <w:bCs/>
          <w:iCs/>
          <w:sz w:val="30"/>
          <w:szCs w:val="30"/>
          <w:lang w:val="en-US" w:eastAsia="zh-CN"/>
        </w:rPr>
        <w:t>mechanism</w:t>
      </w:r>
      <w:r>
        <w:rPr>
          <w:rFonts w:hint="default" w:ascii="Times New Roman" w:hAnsi="Times New Roman" w:eastAsia="等线"/>
          <w:b/>
          <w:bCs/>
          <w:iCs/>
          <w:sz w:val="30"/>
          <w:szCs w:val="30"/>
        </w:rPr>
        <w:t xml:space="preserve"> of </w:t>
      </w:r>
      <w:r>
        <w:rPr>
          <w:rFonts w:ascii="Times New Roman" w:hAnsi="Times New Roman" w:eastAsia="等线"/>
          <w:b/>
          <w:bCs/>
          <w:iCs/>
          <w:sz w:val="30"/>
          <w:szCs w:val="30"/>
        </w:rPr>
        <w:t>“black as la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cquer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and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sweet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ness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as candy</w:t>
      </w:r>
      <w:r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based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on the reactions of 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crosslinking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coloring and 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Maillard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oligosaccharide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hydrolysis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during </w:t>
      </w:r>
      <w:r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ocess</w:t>
      </w:r>
      <w:r>
        <w:rPr>
          <w:rFonts w:hint="eastAsia" w:ascii="Times New Roman" w:hAnsi="Times New Roman" w:eastAsia="等线"/>
          <w:b/>
          <w:bCs/>
          <w:i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ing</w:t>
      </w:r>
      <w:r>
        <w:rPr>
          <w:rFonts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default" w:ascii="Times New Roman" w:hAnsi="Times New Roman" w:eastAsia="等线"/>
          <w:b/>
          <w:bCs/>
          <w:i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Radix Rehmanniae</w:t>
      </w:r>
    </w:p>
    <w:p>
      <w:pPr>
        <w:spacing w:line="360" w:lineRule="auto"/>
        <w:rPr>
          <w:rFonts w:hint="default"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Ji</w:t>
      </w:r>
      <w:r>
        <w:rPr>
          <w:rFonts w:hint="default" w:ascii="Times New Roman" w:hAnsi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ngjing Yang</w:t>
      </w:r>
      <w:r>
        <w:rPr>
          <w:rFonts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a,</w:t>
      </w:r>
      <w:r>
        <w:rPr>
          <w:rFonts w:hint="eastAsia"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1"/>
          <w:rFonts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footnoteReference w:id="0"/>
      </w:r>
      <w:r>
        <w:rPr>
          <w:rFonts w:hint="default" w:ascii="Times New Roman" w:hAnsi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Cheng Xue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eastAsia="en-US"/>
          <w14:textFill>
            <w14:solidFill>
              <w14:schemeClr w14:val="tx1"/>
            </w14:solidFill>
          </w14:textFill>
        </w:rPr>
        <w:t>a,</w:t>
      </w:r>
      <w:r>
        <w:rPr>
          <w:rFonts w:hint="eastAsia"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b w:val="0"/>
          <w:bCs w:val="0"/>
          <w:color w:val="000000" w:themeColor="text1"/>
          <w:sz w:val="24"/>
          <w:highlight w:val="none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ihua Zhang</w:t>
      </w:r>
      <w:r>
        <w:rPr>
          <w:rFonts w:hint="default" w:ascii="Times New Roman" w:hAnsi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Ning Meng</w:t>
      </w:r>
      <w:r>
        <w:rPr>
          <w:rFonts w:hint="default" w:ascii="Times New Roman" w:hAnsi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Jing Yang</w:t>
      </w:r>
      <w:r>
        <w:rPr>
          <w:rFonts w:hint="default" w:ascii="Times New Roman" w:hAnsi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Ying Cui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eastAsia="en-US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Yuefei Wang</w:t>
      </w:r>
      <w:r>
        <w:rPr>
          <w:rFonts w:hint="default" w:ascii="Times New Roman" w:hAnsi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a,</w:t>
      </w:r>
      <w:r>
        <w:rPr>
          <w:rFonts w:hint="eastAsia" w:ascii="Times New Roman" w:hAnsi="Times New Roman"/>
          <w:color w:val="000000" w:themeColor="text1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b,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Xin Chai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eastAsia="en-US"/>
          <w14:textFill>
            <w14:solidFill>
              <w14:schemeClr w14:val="tx1"/>
            </w14:solidFill>
          </w14:textFill>
        </w:rPr>
        <w:t>a,</w:t>
      </w:r>
      <w:r>
        <w:rPr>
          <w:rFonts w:hint="eastAsia"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eastAsia="en-US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等线"/>
          <w:bCs/>
          <w:color w:val="000000" w:themeColor="text1"/>
          <w:kern w:val="0"/>
          <w:sz w:val="24"/>
          <w:szCs w:val="24"/>
          <w:vertAlign w:val="superscript"/>
          <w:lang w:eastAsia="en-US"/>
          <w14:textFill>
            <w14:solidFill>
              <w14:schemeClr w14:val="tx1"/>
            </w14:solidFill>
          </w14:textFill>
        </w:rPr>
        <w:footnoteReference w:id="1" w:customMarkFollows="1"/>
        <w:sym w:font="Symbol" w:char="F02A"/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13" w:afterLines="100" w:line="360" w:lineRule="auto"/>
        <w:textAlignment w:val="auto"/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</w:pPr>
      <w:bookmarkStart w:id="2" w:name="_Hlk138769803"/>
      <w:bookmarkStart w:id="3" w:name="_Hlk146696377"/>
      <w:r>
        <w:rPr>
          <w:b w:val="0"/>
          <w:bCs w:val="0"/>
          <w:i/>
          <w:iCs/>
          <w:sz w:val="24"/>
          <w:szCs w:val="24"/>
          <w:vertAlign w:val="superscript"/>
        </w:rPr>
        <w:t>a</w:t>
      </w:r>
      <w:r>
        <w:rPr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</w:rPr>
        <w:t>National</w:t>
      </w:r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 xml:space="preserve"> Key Laboratory of Chinese Medicine</w:t>
      </w:r>
      <w:r>
        <w:rPr>
          <w:rFonts w:hint="eastAsia"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</w:rPr>
        <w:t xml:space="preserve"> Modernization</w:t>
      </w:r>
      <w:bookmarkEnd w:id="2"/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 xml:space="preserve">, </w:t>
      </w:r>
      <w:bookmarkStart w:id="4" w:name="_Hlk146696603"/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>State Key Laboratory of Component-based Chinese Medicine</w:t>
      </w:r>
      <w:bookmarkEnd w:id="4"/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 xml:space="preserve">, Tianjin Key Laboratory of TCM Chemistry and Analysis, </w:t>
      </w:r>
      <w:bookmarkStart w:id="5" w:name="_Hlk134173771"/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>Tianjin University of Traditional Chinese Medicine,</w:t>
      </w:r>
      <w:bookmarkEnd w:id="5"/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 xml:space="preserve"> Tianjin</w:t>
      </w:r>
      <w:r>
        <w:rPr>
          <w:rFonts w:hint="eastAsia"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US" w:eastAsia="zh-CN"/>
        </w:rPr>
        <w:t>,</w:t>
      </w:r>
      <w:r>
        <w:rPr>
          <w:rFonts w:ascii="Times New Roman" w:hAnsi="Times New Roman" w:eastAsia="等线" w:cs="Times New Roman"/>
          <w:b w:val="0"/>
          <w:bCs w:val="0"/>
          <w:i/>
          <w:iCs/>
          <w:color w:val="auto"/>
          <w:kern w:val="0"/>
          <w:sz w:val="24"/>
          <w:szCs w:val="24"/>
          <w:lang w:val="en-GB" w:eastAsia="en-GB"/>
        </w:rPr>
        <w:t xml:space="preserve"> 301617, China</w:t>
      </w:r>
      <w:bookmarkEnd w:id="3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textAlignment w:val="auto"/>
        <w:rPr>
          <w:rFonts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</w:pPr>
      <w:r>
        <w:rPr>
          <w:i/>
          <w:iCs/>
          <w:sz w:val="24"/>
          <w:szCs w:val="24"/>
          <w:vertAlign w:val="superscript"/>
        </w:rPr>
        <w:t>b</w:t>
      </w:r>
      <w:r>
        <w:rPr>
          <w:i/>
          <w:iCs/>
          <w:sz w:val="24"/>
          <w:szCs w:val="24"/>
        </w:rPr>
        <w:t xml:space="preserve"> </w:t>
      </w:r>
      <w:r>
        <w:rPr>
          <w:rFonts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  <w:t>Haihe Laboratory of Modern Chinese Medicine, Tianjin</w:t>
      </w:r>
      <w:r>
        <w:rPr>
          <w:rFonts w:hint="eastAsia" w:ascii="Times New Roman" w:hAnsi="Times New Roman" w:eastAsia="等线" w:cs="Times New Roman"/>
          <w:i/>
          <w:iCs/>
          <w:kern w:val="0"/>
          <w:sz w:val="24"/>
          <w:szCs w:val="24"/>
          <w:lang w:val="en-US" w:eastAsia="zh-CN"/>
        </w:rPr>
        <w:t>,</w:t>
      </w:r>
      <w:r>
        <w:rPr>
          <w:rFonts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  <w:t xml:space="preserve"> 301617, China</w:t>
      </w:r>
    </w:p>
    <w:p>
      <w:pPr>
        <w:widowControl/>
        <w:numPr>
          <w:ilvl w:val="-1"/>
          <w:numId w:val="0"/>
        </w:numPr>
        <w:spacing w:before="100" w:beforeAutospacing="1" w:after="100" w:afterAutospacing="1" w:line="360" w:lineRule="auto"/>
        <w:ind w:leftChars="0"/>
        <w:rPr>
          <w:rFonts w:hint="eastAsia" w:eastAsia="等线" w:cs="Times New Roman"/>
          <w:i/>
          <w:iCs/>
          <w:kern w:val="0"/>
          <w:sz w:val="24"/>
          <w:szCs w:val="24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lnNumType w:countBy="0" w:restart="continuous"/>
          <w:cols w:space="425" w:num="1"/>
          <w:docGrid w:type="lines" w:linePitch="312" w:charSpace="0"/>
        </w:sectPr>
      </w:pPr>
      <w:r>
        <w:rPr>
          <w:rFonts w:hint="eastAsia" w:eastAsiaTheme="minorEastAsia"/>
          <w:i/>
          <w:iCs/>
          <w:color w:val="000000"/>
          <w:sz w:val="24"/>
          <w:shd w:val="clear" w:color="auto" w:fill="FFFFFF"/>
          <w:vertAlign w:val="superscript"/>
          <w:lang w:val="en-US" w:eastAsia="zh-CN"/>
        </w:rPr>
        <w:t>c</w:t>
      </w:r>
      <w:r>
        <w:rPr>
          <w:rFonts w:ascii="Times New Roman" w:hAnsi="Times New Roman" w:eastAsia="等线" w:cs="Times New Roman"/>
          <w:i/>
          <w:iCs/>
          <w:kern w:val="0"/>
          <w:sz w:val="24"/>
          <w:szCs w:val="24"/>
          <w:vertAlign w:val="superscript"/>
          <w:lang w:val="en-GB"/>
        </w:rPr>
        <w:t xml:space="preserve"> </w:t>
      </w:r>
      <w:r>
        <w:rPr>
          <w:rFonts w:hint="eastAsia"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  <w:t>Baoji Food and Drug Inspection and Testing Center</w:t>
      </w:r>
      <w:r>
        <w:rPr>
          <w:rFonts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  <w:t>,</w:t>
      </w:r>
      <w:r>
        <w:rPr>
          <w:rFonts w:hint="eastAsia" w:eastAsia="等线" w:cs="Times New Roman"/>
          <w:i/>
          <w:i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等线" w:cs="Times New Roman"/>
          <w:i/>
          <w:iCs/>
          <w:kern w:val="0"/>
          <w:sz w:val="24"/>
          <w:szCs w:val="24"/>
          <w:lang w:val="en-US" w:eastAsia="zh-CN"/>
        </w:rPr>
        <w:t>Shannxi,</w:t>
      </w:r>
      <w:r>
        <w:rPr>
          <w:rFonts w:hint="eastAsia" w:ascii="Times New Roman" w:hAnsi="Times New Roman" w:eastAsia="等线" w:cs="Times New Roman"/>
          <w:i/>
          <w:iCs/>
          <w:kern w:val="0"/>
          <w:sz w:val="24"/>
          <w:szCs w:val="24"/>
          <w:lang w:val="en-GB"/>
        </w:rPr>
        <w:t xml:space="preserve"> 721000, Chin</w:t>
      </w:r>
      <w:r>
        <w:rPr>
          <w:rFonts w:hint="eastAsia" w:ascii="Times New Roman" w:hAnsi="Times New Roman" w:eastAsia="等线" w:cs="Times New Roman"/>
          <w:i/>
          <w:iCs/>
          <w:kern w:val="0"/>
          <w:sz w:val="24"/>
          <w:szCs w:val="24"/>
          <w:lang w:val="en-US" w:eastAsia="zh-CN"/>
        </w:rPr>
        <w:t>a</w:t>
      </w:r>
    </w:p>
    <w:bookmarkEnd w:id="0"/>
    <w:bookmarkEnd w:id="1"/>
    <w:p>
      <w:pPr>
        <w:spacing w:line="360" w:lineRule="auto"/>
        <w:jc w:val="center"/>
        <w:rPr>
          <w:rFonts w:hint="eastAsia" w:ascii="Times New Roman" w:hAnsi="Times New Roman" w:cs="Times New Roman"/>
          <w:szCs w:val="21"/>
          <w:highlight w:val="none"/>
        </w:rPr>
      </w:pPr>
      <w:r>
        <w:rPr>
          <w:rFonts w:ascii="Times New Roman" w:hAnsi="Times New Roman"/>
          <w:b/>
          <w:sz w:val="24"/>
          <w:highlight w:val="none"/>
        </w:rPr>
        <w:t>Table of Contents</w:t>
      </w: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The dynamic variations on the 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color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of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different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processed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RR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products.</w:t>
      </w: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The dynamic variations on the content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saccharides in different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processed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RR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products.</w:t>
      </w: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hint="default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The dynamic variations on the contents of the</w:t>
      </w:r>
      <w:r>
        <w:rPr>
          <w:rFonts w:hint="eastAsia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neutral, acidic, and alkaline amino acids in different processed RR</w:t>
      </w:r>
      <w:r>
        <w:rPr>
          <w:rFonts w:hint="eastAsia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products and RW.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UV-vis spectra 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reactions between 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-glucosidase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at 0 and 12 h, respectively.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Dynamic variations on the content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and the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absorbance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reactions between 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-glucosidase in 12 h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tabs>
          <w:tab w:val="left" w:pos="125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UV-vis spectra of CCRPs from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reactions between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Leo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-glucosidase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at 0 and 12 h, respectively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Dyna</w:t>
      </w:r>
      <w:bookmarkStart w:id="6" w:name="_GoBack"/>
      <w:bookmarkEnd w:id="6"/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mic variations on the content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Leo,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the absorbance 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reactions between Leo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-glucosidase in 12 h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hint="eastAsia" w:ascii="Times New Roman" w:hAnsi="Times New Roman"/>
          <w:sz w:val="24"/>
          <w:lang w:val="en-US" w:eastAsia="zh-CN"/>
        </w:rPr>
      </w:pP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hint="eastAsia" w:ascii="Times New Roman" w:hAnsi="Times New Roman"/>
          <w:sz w:val="24"/>
        </w:rPr>
      </w:pPr>
    </w:p>
    <w:p>
      <w:pPr>
        <w:pStyle w:val="12"/>
        <w:widowControl w:val="0"/>
        <w:snapToGrid w:val="0"/>
        <w:spacing w:line="360" w:lineRule="auto"/>
        <w:ind w:firstLine="0"/>
        <w:jc w:val="both"/>
        <w:rPr>
          <w:rFonts w:ascii="Times New Roman" w:hAnsi="Times New Roman"/>
          <w:sz w:val="24"/>
        </w:rPr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widowControl/>
        <w:tabs>
          <w:tab w:val="left" w:pos="7655"/>
          <w:tab w:val="left" w:pos="8647"/>
        </w:tabs>
        <w:adjustRightInd w:val="0"/>
        <w:snapToGrid w:val="0"/>
        <w:spacing w:before="120" w:line="360" w:lineRule="auto"/>
        <w:jc w:val="center"/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218"/>
        </w:tabs>
        <w:bidi w:val="0"/>
        <w:jc w:val="left"/>
        <w:rPr>
          <w:rFonts w:hint="eastAsia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tabs>
          <w:tab w:val="left" w:pos="3218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51065" cy="3989705"/>
            <wp:effectExtent l="0" t="0" r="635" b="10795"/>
            <wp:docPr id="7" name="图片 7" descr="中药饮片标准量化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药饮片标准量化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snapToGrid w:val="0"/>
        <w:spacing w:line="360" w:lineRule="auto"/>
        <w:ind w:firstLine="0"/>
        <w:jc w:val="center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The dynamic variations on the 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color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of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different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processed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RR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products.</w:t>
      </w:r>
    </w:p>
    <w:p>
      <w:pPr>
        <w:tabs>
          <w:tab w:val="left" w:pos="3218"/>
        </w:tabs>
        <w:bidi w:val="0"/>
        <w:jc w:val="center"/>
        <w:rPr>
          <w:rFonts w:hint="default" w:ascii="Times New Roman" w:hAnsi="Times New Roman" w:eastAsia="宋体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7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hint="default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Notes</w:t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: The color of FRR ranges from 06A</w:t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sym w:font="Symbol" w:char="002D"/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07C; The color of RRR ranges from 03A</w:t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sym w:font="Symbol" w:char="002D"/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03C; The color of PRR ranges from 10A</w:t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sym w:font="Symbol" w:char="002D"/>
      </w:r>
      <w:r>
        <w:rPr>
          <w:rFonts w:hint="eastAsia" w:ascii="Times New Roman" w:hAnsi="Times New Roman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10C.</w:t>
      </w:r>
    </w:p>
    <w:p>
      <w:pPr>
        <w:tabs>
          <w:tab w:val="left" w:pos="3218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950335"/>
            <wp:effectExtent l="0" t="0" r="10160" b="0"/>
            <wp:docPr id="4" name="图片 4" descr="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snapToGrid w:val="0"/>
        <w:spacing w:line="360" w:lineRule="auto"/>
        <w:ind w:firstLine="0"/>
        <w:jc w:val="center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The dy</w:t>
      </w:r>
      <w:r>
        <w:rPr>
          <w:rFonts w:hint="eastAsia" w:ascii="Times New Roman" w:hAnsi="Times New Roman"/>
          <w:sz w:val="24"/>
        </w:rPr>
        <w:t>namic variations on the content</w:t>
      </w:r>
      <w:r>
        <w:rPr>
          <w:rFonts w:hint="eastAsia" w:ascii="Times New Roman" w:hAnsi="Times New Roman"/>
          <w:sz w:val="24"/>
          <w:lang w:val="en-US" w:eastAsia="zh-CN"/>
        </w:rPr>
        <w:t>s</w:t>
      </w:r>
      <w:r>
        <w:rPr>
          <w:rFonts w:hint="eastAsia" w:ascii="Times New Roman" w:hAnsi="Times New Roman"/>
          <w:sz w:val="24"/>
        </w:rPr>
        <w:t xml:space="preserve"> of </w:t>
      </w:r>
      <w:r>
        <w:rPr>
          <w:rFonts w:hint="eastAsia" w:ascii="Times New Roman" w:hAnsi="Times New Roman"/>
          <w:sz w:val="24"/>
          <w:lang w:val="en-US" w:eastAsia="zh-CN"/>
        </w:rPr>
        <w:t xml:space="preserve">the </w:t>
      </w:r>
      <w:r>
        <w:rPr>
          <w:rFonts w:hint="eastAsia" w:ascii="Times New Roman" w:hAnsi="Times New Roman"/>
          <w:sz w:val="24"/>
        </w:rPr>
        <w:t>saccharides in different</w:t>
      </w:r>
      <w:r>
        <w:rPr>
          <w:rFonts w:hint="eastAsia" w:ascii="Times New Roman" w:hAnsi="Times New Roman"/>
          <w:sz w:val="24"/>
          <w:lang w:val="en-US" w:eastAsia="zh-CN"/>
        </w:rPr>
        <w:t xml:space="preserve"> processed</w:t>
      </w:r>
      <w:r>
        <w:rPr>
          <w:rFonts w:hint="eastAsia" w:ascii="Times New Roman" w:hAnsi="Times New Roman"/>
          <w:sz w:val="24"/>
        </w:rPr>
        <w:t xml:space="preserve"> RR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</w:rPr>
        <w:t>products.</w:t>
      </w:r>
    </w:p>
    <w:p>
      <w:pPr>
        <w:tabs>
          <w:tab w:val="left" w:pos="3218"/>
        </w:tabs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062345" cy="4537710"/>
            <wp:effectExtent l="0" t="0" r="8255" b="8890"/>
            <wp:docPr id="6" name="图片 6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594"/>
        </w:tabs>
        <w:bidi w:val="0"/>
        <w:jc w:val="center"/>
        <w:rPr>
          <w:rFonts w:ascii="Times New Roman" w:hAnsi="Times New Roman"/>
          <w:b/>
          <w:sz w:val="24"/>
        </w:rPr>
      </w:pPr>
    </w:p>
    <w:p>
      <w:pPr>
        <w:tabs>
          <w:tab w:val="left" w:pos="12594"/>
        </w:tabs>
        <w:bidi w:val="0"/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The dynamic variations </w:t>
      </w:r>
      <w:r>
        <w:rPr>
          <w:rFonts w:hint="eastAsia" w:ascii="Times New Roman" w:hAnsi="Times New Roman"/>
          <w:b w:val="0"/>
          <w:bCs/>
          <w:sz w:val="24"/>
          <w:lang w:val="en-US" w:eastAsia="zh-CN"/>
        </w:rPr>
        <w:t>on the contents of the</w:t>
      </w:r>
      <w:r>
        <w:rPr>
          <w:rFonts w:hint="eastAsia"/>
          <w:b w:val="0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lang w:val="en-US" w:eastAsia="zh-CN"/>
        </w:rPr>
        <w:t>neutral, acidic, and alkaline amino acids in different processed RR</w:t>
      </w:r>
      <w:r>
        <w:rPr>
          <w:rFonts w:hint="eastAsia"/>
          <w:b w:val="0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lang w:val="en-US" w:eastAsia="zh-CN"/>
        </w:rPr>
        <w:t>products and RW.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64050" cy="4772660"/>
            <wp:effectExtent l="0" t="0" r="6350" b="2540"/>
            <wp:docPr id="2" name="图片 2" descr="附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UV-vis spectra 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reactions between 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-glucosidase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at 0 and 12 h, respectively.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Dynamic variations on the content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and the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absorbance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reactions between Cat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-glucosidase in 12 h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055"/>
        </w:tabs>
        <w:bidi w:val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2594"/>
        </w:tabs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12594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</w:p>
    <w:p>
      <w:pPr>
        <w:tabs>
          <w:tab w:val="left" w:pos="12594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58360" cy="4674870"/>
            <wp:effectExtent l="0" t="0" r="2540" b="11430"/>
            <wp:docPr id="5" name="图片 5" descr="附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594"/>
        </w:tabs>
        <w:bidi w:val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25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UV-vis spectra of CCRPs from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reactions between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Leo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-glucosidase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at 0 and 12 h, respectively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Dynamic variations on the content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Leo,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the absorbance of CCRPs from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reactions between Leo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Ala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Arg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or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Glu in the presence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β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-glucosidase in 12 h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tabs>
          <w:tab w:val="left" w:pos="12594"/>
        </w:tabs>
        <w:bidi w:val="0"/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12594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Sylfae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/>
  </w:footnote>
  <w:footnote w:type="continuationSeparator" w:id="5">
    <w:p/>
  </w:footnote>
  <w:footnote w:id="0">
    <w:p>
      <w:pPr>
        <w:spacing w:line="240" w:lineRule="auto"/>
        <w:rPr>
          <w:rFonts w:ascii="Times New Roman" w:hAnsi="Times New Roman" w:eastAsia="等线" w:cs="Times New Roman"/>
          <w:kern w:val="0"/>
          <w:szCs w:val="21"/>
          <w:highlight w:val="none"/>
        </w:rPr>
      </w:pPr>
      <w:r>
        <w:rPr>
          <w:rFonts w:hint="eastAsia"/>
          <w:szCs w:val="21"/>
          <w:highlight w:val="none"/>
          <w:lang w:val="en-US" w:eastAsia="zh-CN"/>
        </w:rPr>
        <w:t xml:space="preserve">* </w:t>
      </w:r>
      <w:r>
        <w:rPr>
          <w:rFonts w:ascii="Times New Roman" w:hAnsi="Times New Roman" w:eastAsia="等线" w:cs="Times New Roman"/>
          <w:kern w:val="0"/>
          <w:szCs w:val="21"/>
          <w:highlight w:val="none"/>
        </w:rPr>
        <w:t xml:space="preserve">Corresponding authors </w:t>
      </w:r>
    </w:p>
    <w:p>
      <w:pPr>
        <w:pStyle w:val="6"/>
        <w:snapToGrid/>
        <w:spacing w:line="240" w:lineRule="auto"/>
        <w:jc w:val="both"/>
        <w:rPr>
          <w:rFonts w:ascii="Times New Roman" w:hAnsi="Times New Roman" w:eastAsia="等线" w:cs="Times New Roman"/>
          <w:kern w:val="0"/>
          <w:sz w:val="21"/>
          <w:szCs w:val="21"/>
        </w:rPr>
      </w:pPr>
      <w:r>
        <w:rPr>
          <w:rFonts w:ascii="Times New Roman" w:hAnsi="Times New Roman" w:eastAsia="等线" w:cs="Times New Roman"/>
          <w:i w:val="0"/>
          <w:iCs w:val="0"/>
          <w:kern w:val="0"/>
          <w:sz w:val="21"/>
          <w:szCs w:val="21"/>
        </w:rPr>
        <w:t>E-mail addresses:</w:t>
      </w:r>
      <w:r>
        <w:rPr>
          <w:rFonts w:hint="eastAsia" w:ascii="Times New Roman" w:hAnsi="Times New Roman" w:eastAsia="等线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楷体"/>
          <w:sz w:val="21"/>
          <w:szCs w:val="21"/>
        </w:rPr>
        <w:t>wangyf0622@tjutcm.edu.cn (Y. Wang)</w:t>
      </w:r>
      <w:r>
        <w:rPr>
          <w:rFonts w:hint="eastAsia" w:ascii="Times New Roman" w:hAnsi="Times New Roman" w:eastAsia="楷体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eastAsia="等线" w:cs="Times New Roman"/>
          <w:i/>
          <w:iCs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等线" w:cs="Times New Roman"/>
          <w:kern w:val="0"/>
          <w:sz w:val="21"/>
          <w:szCs w:val="21"/>
        </w:rPr>
        <w:t>chaix0622@tjutcm.edu.cn (X. Chai).</w:t>
      </w:r>
    </w:p>
    <w:p>
      <w:pPr>
        <w:pStyle w:val="6"/>
        <w:snapToGrid/>
        <w:spacing w:line="240" w:lineRule="auto"/>
        <w:jc w:val="both"/>
        <w:rPr>
          <w:rFonts w:hint="eastAsia" w:eastAsia="等线"/>
          <w:lang w:val="en-US" w:eastAsia="zh-CN"/>
        </w:rPr>
      </w:pPr>
      <w:r>
        <w:rPr>
          <w:rFonts w:hint="eastAsia" w:ascii="Times New Roman" w:hAnsi="Times New Roman" w:eastAsia="等线"/>
          <w:bCs/>
          <w:sz w:val="21"/>
          <w:szCs w:val="21"/>
          <w:shd w:val="clear" w:color="auto" w:fill="FFFFFF"/>
          <w:vertAlign w:val="superscript"/>
          <w:lang w:val="en-US" w:eastAsia="zh-CN" w:bidi="en-US"/>
        </w:rPr>
        <w:t>1</w:t>
      </w:r>
      <w:r>
        <w:rPr>
          <w:rFonts w:hint="eastAsia" w:ascii="Times New Roman" w:hAnsi="Times New Roman" w:eastAsia="等线" w:cs="Times New Roman"/>
          <w:kern w:val="0"/>
          <w:sz w:val="21"/>
          <w:szCs w:val="21"/>
        </w:rPr>
        <w:t xml:space="preserve"> The two authors contributed equally to this article and share co-first authorship</w:t>
      </w:r>
      <w:r>
        <w:rPr>
          <w:rFonts w:hint="eastAsia" w:ascii="Times New Roman" w:hAnsi="Times New Roman" w:eastAsia="等线" w:cs="Times New Roman"/>
          <w:kern w:val="0"/>
          <w:sz w:val="21"/>
          <w:szCs w:val="21"/>
          <w:lang w:val="en-US" w:eastAsia="zh-CN"/>
        </w:rPr>
        <w:t>.</w:t>
      </w:r>
    </w:p>
  </w:footnote>
  <w:footnote w:id="1">
    <w:p>
      <w:pPr>
        <w:spacing w:line="36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revisionView w:markup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4"/>
    <w:footnote w:id="5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zMTE3MmYyNGY0N2FkODU1MTEyYjA0MWRmYmE4ODYifQ=="/>
  </w:docVars>
  <w:rsids>
    <w:rsidRoot w:val="00000000"/>
    <w:rsid w:val="018067FB"/>
    <w:rsid w:val="01F71A4C"/>
    <w:rsid w:val="02702D13"/>
    <w:rsid w:val="029C7664"/>
    <w:rsid w:val="03231B33"/>
    <w:rsid w:val="03353615"/>
    <w:rsid w:val="04E6106A"/>
    <w:rsid w:val="056C5306"/>
    <w:rsid w:val="07041C7C"/>
    <w:rsid w:val="073532E0"/>
    <w:rsid w:val="07445DBE"/>
    <w:rsid w:val="087E3C7F"/>
    <w:rsid w:val="08BB4220"/>
    <w:rsid w:val="09FE29B2"/>
    <w:rsid w:val="0B422D73"/>
    <w:rsid w:val="0BB00990"/>
    <w:rsid w:val="0C3017BC"/>
    <w:rsid w:val="0C63281E"/>
    <w:rsid w:val="0C831611"/>
    <w:rsid w:val="0CAF4438"/>
    <w:rsid w:val="0CB07405"/>
    <w:rsid w:val="0CDD7D50"/>
    <w:rsid w:val="0DA16476"/>
    <w:rsid w:val="0E396186"/>
    <w:rsid w:val="0E6B438E"/>
    <w:rsid w:val="0EC06EE1"/>
    <w:rsid w:val="0F0F7410"/>
    <w:rsid w:val="0F2D6FE1"/>
    <w:rsid w:val="0F670FFA"/>
    <w:rsid w:val="104C4DC9"/>
    <w:rsid w:val="105E41AB"/>
    <w:rsid w:val="106317C1"/>
    <w:rsid w:val="1090632E"/>
    <w:rsid w:val="10953945"/>
    <w:rsid w:val="10E16B8A"/>
    <w:rsid w:val="11AA0091"/>
    <w:rsid w:val="11BF79F4"/>
    <w:rsid w:val="11E15093"/>
    <w:rsid w:val="11F1099F"/>
    <w:rsid w:val="121A2F08"/>
    <w:rsid w:val="12267E6B"/>
    <w:rsid w:val="126109CE"/>
    <w:rsid w:val="126A26AA"/>
    <w:rsid w:val="1324792E"/>
    <w:rsid w:val="132F0080"/>
    <w:rsid w:val="143516C6"/>
    <w:rsid w:val="15D05110"/>
    <w:rsid w:val="1615355E"/>
    <w:rsid w:val="163F05DA"/>
    <w:rsid w:val="16DC71E1"/>
    <w:rsid w:val="172310DA"/>
    <w:rsid w:val="17534EE5"/>
    <w:rsid w:val="178C0B7C"/>
    <w:rsid w:val="17AA0D42"/>
    <w:rsid w:val="17FE0021"/>
    <w:rsid w:val="18F02060"/>
    <w:rsid w:val="1A073B05"/>
    <w:rsid w:val="1BFB4FA4"/>
    <w:rsid w:val="1BFF3271"/>
    <w:rsid w:val="1C783D5C"/>
    <w:rsid w:val="1C83463D"/>
    <w:rsid w:val="1C9B22E3"/>
    <w:rsid w:val="1CBA09BB"/>
    <w:rsid w:val="1CC950A2"/>
    <w:rsid w:val="1CCB2BC8"/>
    <w:rsid w:val="1D48246B"/>
    <w:rsid w:val="1E2F53D8"/>
    <w:rsid w:val="1E8A6AB3"/>
    <w:rsid w:val="1E8F7C25"/>
    <w:rsid w:val="1EE937D9"/>
    <w:rsid w:val="1F155038"/>
    <w:rsid w:val="21215EAD"/>
    <w:rsid w:val="213D7E0C"/>
    <w:rsid w:val="21472A39"/>
    <w:rsid w:val="214B42D7"/>
    <w:rsid w:val="21627873"/>
    <w:rsid w:val="21844DAB"/>
    <w:rsid w:val="21EA1D42"/>
    <w:rsid w:val="22754915"/>
    <w:rsid w:val="2327680A"/>
    <w:rsid w:val="23753ADE"/>
    <w:rsid w:val="24990FE4"/>
    <w:rsid w:val="25B032A3"/>
    <w:rsid w:val="27016DC1"/>
    <w:rsid w:val="27D8263D"/>
    <w:rsid w:val="285D2D4B"/>
    <w:rsid w:val="289912A7"/>
    <w:rsid w:val="28996270"/>
    <w:rsid w:val="289C2C39"/>
    <w:rsid w:val="28DE3C83"/>
    <w:rsid w:val="293D6BFB"/>
    <w:rsid w:val="294C32E2"/>
    <w:rsid w:val="29C42E79"/>
    <w:rsid w:val="2A3C5105"/>
    <w:rsid w:val="2A3D631F"/>
    <w:rsid w:val="2AB27175"/>
    <w:rsid w:val="2B351743"/>
    <w:rsid w:val="2C1856FE"/>
    <w:rsid w:val="2CC13E88"/>
    <w:rsid w:val="2DE25FC3"/>
    <w:rsid w:val="2DEE10BD"/>
    <w:rsid w:val="2E020414"/>
    <w:rsid w:val="2E6B4538"/>
    <w:rsid w:val="2E8D23D3"/>
    <w:rsid w:val="2EB628DA"/>
    <w:rsid w:val="2F11770F"/>
    <w:rsid w:val="2F3A4E4F"/>
    <w:rsid w:val="304E56B8"/>
    <w:rsid w:val="30896BCA"/>
    <w:rsid w:val="30C801B7"/>
    <w:rsid w:val="30C83A9E"/>
    <w:rsid w:val="31D43E75"/>
    <w:rsid w:val="31ED2D94"/>
    <w:rsid w:val="33286721"/>
    <w:rsid w:val="332E5807"/>
    <w:rsid w:val="34D0301A"/>
    <w:rsid w:val="35223149"/>
    <w:rsid w:val="355829AC"/>
    <w:rsid w:val="359C4D44"/>
    <w:rsid w:val="361231BE"/>
    <w:rsid w:val="36D84410"/>
    <w:rsid w:val="36F5706C"/>
    <w:rsid w:val="37173885"/>
    <w:rsid w:val="37D050DF"/>
    <w:rsid w:val="37DC6623"/>
    <w:rsid w:val="39731D1B"/>
    <w:rsid w:val="399A3BF6"/>
    <w:rsid w:val="39C268AA"/>
    <w:rsid w:val="39E92488"/>
    <w:rsid w:val="3A663AD8"/>
    <w:rsid w:val="3B0B02BA"/>
    <w:rsid w:val="3B162834"/>
    <w:rsid w:val="3B824942"/>
    <w:rsid w:val="3C5800CD"/>
    <w:rsid w:val="3C6B7ACC"/>
    <w:rsid w:val="3E467EA9"/>
    <w:rsid w:val="3E594080"/>
    <w:rsid w:val="3E636CAD"/>
    <w:rsid w:val="3F9E7BA5"/>
    <w:rsid w:val="4042652C"/>
    <w:rsid w:val="41107584"/>
    <w:rsid w:val="41826BC8"/>
    <w:rsid w:val="425F778B"/>
    <w:rsid w:val="42A17DA3"/>
    <w:rsid w:val="42B04E5F"/>
    <w:rsid w:val="440C17E1"/>
    <w:rsid w:val="447A0A8D"/>
    <w:rsid w:val="44D81A76"/>
    <w:rsid w:val="44EE3048"/>
    <w:rsid w:val="450308A1"/>
    <w:rsid w:val="45763769"/>
    <w:rsid w:val="45A51959"/>
    <w:rsid w:val="45F97EA7"/>
    <w:rsid w:val="46C2478C"/>
    <w:rsid w:val="46EA50E5"/>
    <w:rsid w:val="48315726"/>
    <w:rsid w:val="48D641D2"/>
    <w:rsid w:val="4953791E"/>
    <w:rsid w:val="49891591"/>
    <w:rsid w:val="49F0367A"/>
    <w:rsid w:val="4A8D175A"/>
    <w:rsid w:val="4ACF7478"/>
    <w:rsid w:val="4B21533E"/>
    <w:rsid w:val="4B4F5E2B"/>
    <w:rsid w:val="4B616322"/>
    <w:rsid w:val="4BA91A77"/>
    <w:rsid w:val="4C17140D"/>
    <w:rsid w:val="4CD15729"/>
    <w:rsid w:val="4D1675E0"/>
    <w:rsid w:val="4D221AE1"/>
    <w:rsid w:val="4D913E48"/>
    <w:rsid w:val="4D9E77A8"/>
    <w:rsid w:val="4DD23507"/>
    <w:rsid w:val="4ECA42C5"/>
    <w:rsid w:val="4F0A6CD0"/>
    <w:rsid w:val="4FC8656E"/>
    <w:rsid w:val="50083210"/>
    <w:rsid w:val="508F3931"/>
    <w:rsid w:val="513B7615"/>
    <w:rsid w:val="51A4625B"/>
    <w:rsid w:val="524E3378"/>
    <w:rsid w:val="531B14AC"/>
    <w:rsid w:val="53634C01"/>
    <w:rsid w:val="53A82586"/>
    <w:rsid w:val="55432336"/>
    <w:rsid w:val="55E464CD"/>
    <w:rsid w:val="565C2507"/>
    <w:rsid w:val="568B268E"/>
    <w:rsid w:val="569161E1"/>
    <w:rsid w:val="56BA0FDC"/>
    <w:rsid w:val="573C7C43"/>
    <w:rsid w:val="575B631B"/>
    <w:rsid w:val="577B4C0F"/>
    <w:rsid w:val="581035A9"/>
    <w:rsid w:val="583B614D"/>
    <w:rsid w:val="58927E46"/>
    <w:rsid w:val="58AC0F23"/>
    <w:rsid w:val="58C21EA1"/>
    <w:rsid w:val="59E2248C"/>
    <w:rsid w:val="59E963F2"/>
    <w:rsid w:val="5A3C56EA"/>
    <w:rsid w:val="5A4F67C3"/>
    <w:rsid w:val="5A7871E4"/>
    <w:rsid w:val="5A981634"/>
    <w:rsid w:val="5B24002B"/>
    <w:rsid w:val="5B6727A8"/>
    <w:rsid w:val="5B97302A"/>
    <w:rsid w:val="5C130A11"/>
    <w:rsid w:val="5C82259C"/>
    <w:rsid w:val="5CF1327E"/>
    <w:rsid w:val="5D095B37"/>
    <w:rsid w:val="5D2378DB"/>
    <w:rsid w:val="5D373386"/>
    <w:rsid w:val="5D5A52DF"/>
    <w:rsid w:val="5E1E4FE1"/>
    <w:rsid w:val="5E47584B"/>
    <w:rsid w:val="5EA93E10"/>
    <w:rsid w:val="5EAD0539"/>
    <w:rsid w:val="5ECB022A"/>
    <w:rsid w:val="5EFD7A36"/>
    <w:rsid w:val="6192502F"/>
    <w:rsid w:val="61A86601"/>
    <w:rsid w:val="62D376AD"/>
    <w:rsid w:val="62F31AFE"/>
    <w:rsid w:val="63D803A1"/>
    <w:rsid w:val="63DB4953"/>
    <w:rsid w:val="642C0428"/>
    <w:rsid w:val="64A9266B"/>
    <w:rsid w:val="659B09D6"/>
    <w:rsid w:val="65FC5D3F"/>
    <w:rsid w:val="672F50CE"/>
    <w:rsid w:val="685A7522"/>
    <w:rsid w:val="68617757"/>
    <w:rsid w:val="696314F4"/>
    <w:rsid w:val="6AAA163C"/>
    <w:rsid w:val="6ACE4BFE"/>
    <w:rsid w:val="6B02484E"/>
    <w:rsid w:val="6B143AE2"/>
    <w:rsid w:val="6B6852C5"/>
    <w:rsid w:val="6BC90669"/>
    <w:rsid w:val="6C9600A2"/>
    <w:rsid w:val="6D374CDD"/>
    <w:rsid w:val="6D54588F"/>
    <w:rsid w:val="6F8D5088"/>
    <w:rsid w:val="6FC0720B"/>
    <w:rsid w:val="720C498A"/>
    <w:rsid w:val="724845EC"/>
    <w:rsid w:val="72B73031"/>
    <w:rsid w:val="72D82ABE"/>
    <w:rsid w:val="73814F04"/>
    <w:rsid w:val="741A0424"/>
    <w:rsid w:val="74312486"/>
    <w:rsid w:val="74546174"/>
    <w:rsid w:val="752E10BB"/>
    <w:rsid w:val="75870F25"/>
    <w:rsid w:val="75EF73B7"/>
    <w:rsid w:val="76D90BB3"/>
    <w:rsid w:val="77AB402B"/>
    <w:rsid w:val="788D60F9"/>
    <w:rsid w:val="78EE6B97"/>
    <w:rsid w:val="79E36879"/>
    <w:rsid w:val="7ADD5115"/>
    <w:rsid w:val="7AEC5358"/>
    <w:rsid w:val="7AEF309B"/>
    <w:rsid w:val="7B49679B"/>
    <w:rsid w:val="7B5A6EE3"/>
    <w:rsid w:val="7B6770D5"/>
    <w:rsid w:val="7C2E4759"/>
    <w:rsid w:val="7C330D65"/>
    <w:rsid w:val="7D225061"/>
    <w:rsid w:val="7DB12A1F"/>
    <w:rsid w:val="7E4D52C8"/>
    <w:rsid w:val="7E4E5655"/>
    <w:rsid w:val="7F2E0B3B"/>
    <w:rsid w:val="7F3B5A0A"/>
    <w:rsid w:val="7FD91C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Subtitle"/>
    <w:basedOn w:val="1"/>
    <w:next w:val="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6">
    <w:name w:val="footnote text"/>
    <w:basedOn w:val="1"/>
    <w:autoRedefine/>
    <w:qFormat/>
    <w:uiPriority w:val="0"/>
    <w:pPr>
      <w:snapToGrid w:val="0"/>
      <w:jc w:val="left"/>
    </w:pPr>
    <w:rPr>
      <w:sz w:val="18"/>
    </w:rPr>
  </w:style>
  <w:style w:type="paragraph" w:styleId="7">
    <w:name w:val="Normal (Web)"/>
    <w:basedOn w:val="1"/>
    <w:autoRedefine/>
    <w:qFormat/>
    <w:uiPriority w:val="0"/>
    <w:rPr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otnote reference"/>
    <w:basedOn w:val="10"/>
    <w:autoRedefine/>
    <w:qFormat/>
    <w:uiPriority w:val="0"/>
    <w:rPr>
      <w:vertAlign w:val="superscript"/>
    </w:rPr>
  </w:style>
  <w:style w:type="paragraph" w:customStyle="1" w:styleId="12">
    <w:name w:val="New paragraph"/>
    <w:basedOn w:val="1"/>
    <w:autoRedefine/>
    <w:qFormat/>
    <w:uiPriority w:val="0"/>
    <w:pPr>
      <w:widowControl/>
      <w:spacing w:line="480" w:lineRule="auto"/>
      <w:ind w:firstLine="720"/>
      <w:jc w:val="left"/>
    </w:pPr>
    <w:rPr>
      <w:rFonts w:ascii="Times New Roman" w:hAnsi="Times New Roman" w:eastAsia="宋体"/>
      <w:kern w:val="0"/>
      <w:sz w:val="24"/>
      <w:szCs w:val="24"/>
      <w:lang w:val="en-GB" w:eastAsia="en-GB"/>
    </w:rPr>
  </w:style>
  <w:style w:type="paragraph" w:customStyle="1" w:styleId="13">
    <w:name w:val="RSC B06 B Heading (Sub-Section)"/>
    <w:autoRedefine/>
    <w:qFormat/>
    <w:uiPriority w:val="0"/>
    <w:pPr>
      <w:spacing w:after="80" w:line="240" w:lineRule="exact"/>
    </w:pPr>
    <w:rPr>
      <w:rFonts w:ascii="Calibri" w:hAnsi="Calibri" w:eastAsia="宋体" w:cs="Times New Roman"/>
      <w:b/>
      <w:kern w:val="2"/>
      <w:sz w:val="18"/>
      <w:szCs w:val="22"/>
      <w:lang w:val="en-US" w:eastAsia="zh-CN" w:bidi="ar-SA"/>
    </w:rPr>
  </w:style>
  <w:style w:type="paragraph" w:customStyle="1" w:styleId="14">
    <w:name w:val="Author List"/>
    <w:basedOn w:val="5"/>
    <w:next w:val="1"/>
    <w:autoRedefine/>
    <w:qFormat/>
    <w:uiPriority w:val="1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customStyle="1" w:styleId="15">
    <w:name w:val="FA_Corresponding_Author_Footnote"/>
    <w:basedOn w:val="1"/>
    <w:next w:val="1"/>
    <w:autoRedefine/>
    <w:qFormat/>
    <w:uiPriority w:val="0"/>
    <w:pPr>
      <w:widowControl/>
      <w:spacing w:after="200" w:line="480" w:lineRule="auto"/>
    </w:pPr>
    <w:rPr>
      <w:rFonts w:ascii="Times" w:hAnsi="Times" w:eastAsia="Times New Roman" w:cs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459</Words>
  <Characters>2303</Characters>
  <Lines>0</Lines>
  <Paragraphs>0</Paragraphs>
  <TotalTime>9</TotalTime>
  <ScaleCrop>false</ScaleCrop>
  <LinksUpToDate>false</LinksUpToDate>
  <CharactersWithSpaces>2745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2023-09-28T00:53:00Z</dcterms:created>
  <dc:creator>Administrator</dc:creator>
  <cp:lastModifiedBy>Jingjing Yang</cp:lastModifiedBy>
  <cp:lastPrinted>2023-12-21T13:14:00Z</cp:lastPrinted>
  <dcterms:modified xsi:type="dcterms:W3CDTF">2024-07-22T07:12:52Z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CF6F1C63FFB849DEB6AAC316F9A837FB_13</vt:lpwstr>
  </property>
</Properties>
</file>