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Supplementary materials</w:t>
      </w:r>
    </w:p>
    <w:p>
      <w:pPr>
        <w:spacing w:line="48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GoBack"/>
      <w:bookmarkEnd w:id="4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For</w:t>
      </w:r>
    </w:p>
    <w:p>
      <w:pPr>
        <w:spacing w:before="312" w:beforeLines="100" w:after="312" w:afterLines="100" w:line="360" w:lineRule="auto"/>
        <w:rPr>
          <w:rFonts w:ascii="Times New Roman" w:hAnsi="Times New Roman" w:eastAsia="宋体" w:cs="Times New Roman"/>
          <w:b/>
          <w:bCs/>
          <w:sz w:val="28"/>
          <w:szCs w:val="28"/>
          <w:shd w:val="clear" w:color="auto" w:fill="FFFFFF"/>
        </w:rPr>
      </w:pPr>
      <w:bookmarkStart w:id="0" w:name="_Hlk47529653"/>
      <w:bookmarkStart w:id="1" w:name="_Hlk92445265"/>
      <w:bookmarkStart w:id="2" w:name="OLE_LINK2"/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bidi="ar"/>
        </w:rPr>
        <w:t xml:space="preserve">Deciphering the Healing Power of </w:t>
      </w:r>
      <w:r>
        <w:rPr>
          <w:rFonts w:hint="eastAsia" w:ascii="Times New Roman" w:hAnsi="Times New Roman" w:eastAsia="等线" w:cs="Times New Roman"/>
          <w:b/>
          <w:bCs/>
          <w:i/>
          <w:iCs/>
          <w:sz w:val="32"/>
          <w:szCs w:val="32"/>
          <w:lang w:bidi="ar"/>
        </w:rPr>
        <w:t>Swertia Chirayita</w:t>
      </w:r>
      <w:r>
        <w:rPr>
          <w:rFonts w:hint="eastAsia" w:ascii="Times New Roman" w:hAnsi="Times New Roman" w:eastAsia="等线" w:cs="Times New Roman"/>
          <w:b/>
          <w:bCs/>
          <w:sz w:val="32"/>
          <w:szCs w:val="32"/>
          <w:lang w:bidi="ar"/>
        </w:rPr>
        <w:t>: A Potential Treatment for Acute Liver Injury</w:t>
      </w:r>
    </w:p>
    <w:bookmarkEnd w:id="0"/>
    <w:bookmarkEnd w:id="1"/>
    <w:bookmarkEnd w:id="2"/>
    <w:p>
      <w:pPr>
        <w:widowControl w:val="0"/>
        <w:spacing w:before="312" w:beforeLines="100" w:after="312" w:afterLines="100" w:line="360" w:lineRule="auto"/>
        <w:rPr>
          <w:rFonts w:hint="default" w:ascii="Times New Roman" w:hAnsi="Times New Roman" w:cs="Times New Roman"/>
          <w:sz w:val="22"/>
          <w:szCs w:val="22"/>
          <w:vertAlign w:val="superscript"/>
        </w:rPr>
      </w:pPr>
      <w:r>
        <w:rPr>
          <w:rFonts w:hint="default" w:ascii="Times New Roman" w:hAnsi="Times New Roman" w:cs="Times New Roman"/>
          <w:sz w:val="22"/>
          <w:szCs w:val="22"/>
          <w:lang w:bidi="ar"/>
        </w:rPr>
        <w:t>Sa Guo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bidi="ar"/>
        </w:rPr>
        <w:t>1</w:t>
      </w:r>
      <w:r>
        <w:rPr>
          <w:rFonts w:hint="default" w:ascii="Times New Roman" w:hAnsi="Times New Roman" w:cs="Times New Roman"/>
          <w:sz w:val="22"/>
          <w:szCs w:val="22"/>
          <w:lang w:bidi="ar"/>
        </w:rPr>
        <w:t>, Cen Wu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bidi="ar"/>
        </w:rPr>
        <w:t>1</w:t>
      </w:r>
      <w:r>
        <w:rPr>
          <w:rFonts w:hint="default" w:ascii="Times New Roman" w:hAnsi="Times New Roman" w:cs="Times New Roman"/>
          <w:sz w:val="22"/>
          <w:szCs w:val="22"/>
          <w:lang w:bidi="ar"/>
        </w:rPr>
        <w:t xml:space="preserve">,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Xinwei Liu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vertAlign w:val="superscript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, 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Xianli Meng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vertAlign w:val="superscript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3</w:t>
      </w:r>
      <w:r>
        <w:rPr>
          <w:rFonts w:hint="default" w:ascii="Times New Roman" w:hAnsi="Times New Roman" w:cs="Times New Roman"/>
          <w:color w:val="0D0D0D" w:themeColor="text1" w:themeTint="F2"/>
          <w:sz w:val="20"/>
          <w:szCs w:val="20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, </w:t>
      </w:r>
      <w:r>
        <w:rPr>
          <w:rFonts w:hint="default" w:ascii="Times New Roman" w:hAnsi="Times New Roman" w:cs="Times New Roman"/>
          <w:sz w:val="22"/>
          <w:szCs w:val="22"/>
          <w:lang w:bidi="ar"/>
        </w:rPr>
        <w:t>Yi Zhang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bidi="ar"/>
        </w:rPr>
        <w:t>2, *</w:t>
      </w:r>
      <w:r>
        <w:rPr>
          <w:rFonts w:hint="default" w:ascii="Times New Roman" w:hAnsi="Times New Roman" w:cs="Times New Roman"/>
          <w:sz w:val="22"/>
          <w:szCs w:val="22"/>
          <w:lang w:bidi="ar"/>
        </w:rPr>
        <w:t xml:space="preserve">, Shaohui Wang 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bidi="ar"/>
        </w:rPr>
        <w:t>2,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val="en-US" w:eastAsia="zh-CN" w:bidi="ar"/>
        </w:rPr>
        <w:t>4</w:t>
      </w:r>
      <w:r>
        <w:rPr>
          <w:rFonts w:hint="default" w:ascii="Times New Roman" w:hAnsi="Times New Roman" w:cs="Times New Roman"/>
          <w:sz w:val="22"/>
          <w:szCs w:val="22"/>
          <w:vertAlign w:val="superscript"/>
          <w:lang w:bidi="ar"/>
        </w:rPr>
        <w:t>, *</w:t>
      </w:r>
    </w:p>
    <w:p>
      <w:pPr>
        <w:widowControl w:val="0"/>
        <w:numPr>
          <w:ilvl w:val="0"/>
          <w:numId w:val="1"/>
        </w:numPr>
        <w:spacing w:line="360" w:lineRule="auto"/>
        <w:rPr>
          <w:rFonts w:hint="default" w:ascii="Times New Roman" w:hAnsi="Times New Roman" w:cs="Times New Roman"/>
          <w:i/>
          <w:iCs/>
          <w:sz w:val="24"/>
        </w:rPr>
      </w:pPr>
      <w:r>
        <w:rPr>
          <w:rFonts w:hint="default" w:ascii="Times New Roman" w:hAnsi="Times New Roman" w:eastAsia="等线" w:cs="Times New Roman"/>
          <w:i/>
          <w:iCs/>
          <w:sz w:val="24"/>
          <w:lang w:bidi="ar"/>
        </w:rPr>
        <w:t>State Key Laboratory of Southwestern Chinese Medicine Resources, School of Pharmacy, Chengdu University of Traditional Chinese Medicine, Chengdu 611137, China</w:t>
      </w:r>
    </w:p>
    <w:p>
      <w:pPr>
        <w:widowControl w:val="0"/>
        <w:numPr>
          <w:ilvl w:val="0"/>
          <w:numId w:val="1"/>
        </w:numPr>
        <w:spacing w:line="360" w:lineRule="auto"/>
        <w:rPr>
          <w:rFonts w:hint="default" w:ascii="Times New Roman" w:hAnsi="Times New Roman" w:cs="Times New Roman"/>
          <w:i/>
          <w:iCs/>
          <w:sz w:val="24"/>
        </w:rPr>
      </w:pPr>
      <w:bookmarkStart w:id="3" w:name="OLE_LINK1"/>
      <w:r>
        <w:rPr>
          <w:rFonts w:hint="default" w:ascii="Times New Roman" w:hAnsi="Times New Roman" w:eastAsia="等线" w:cs="Times New Roman"/>
          <w:i/>
          <w:iCs/>
          <w:sz w:val="24"/>
          <w:lang w:bidi="ar"/>
        </w:rPr>
        <w:t>State Key Laboratory of Southwestern Chinese Medicine Resources,</w:t>
      </w:r>
      <w:bookmarkEnd w:id="3"/>
      <w:r>
        <w:rPr>
          <w:rFonts w:hint="default" w:ascii="Times New Roman" w:hAnsi="Times New Roman" w:eastAsia="等线" w:cs="Times New Roman"/>
          <w:i/>
          <w:iCs/>
          <w:sz w:val="24"/>
          <w:lang w:bidi="ar"/>
        </w:rPr>
        <w:t xml:space="preserve"> School of Ethnic Medicine, Chengdu University of Traditional Chinese Medicine, Chengdu 611137, China</w:t>
      </w:r>
    </w:p>
    <w:p>
      <w:pPr>
        <w:widowControl w:val="0"/>
        <w:numPr>
          <w:ilvl w:val="0"/>
          <w:numId w:val="1"/>
        </w:numPr>
        <w:spacing w:line="360" w:lineRule="auto"/>
        <w:rPr>
          <w:rFonts w:hint="default" w:ascii="Times New Roman" w:hAnsi="Times New Roman" w:cs="Times New Roman"/>
          <w:i/>
          <w:iCs/>
          <w:sz w:val="24"/>
        </w:rPr>
      </w:pPr>
      <w:r>
        <w:rPr>
          <w:rFonts w:hint="default" w:ascii="Times New Roman" w:hAnsi="Times New Roman" w:cs="Times New Roman"/>
          <w:i/>
          <w:iCs/>
          <w:sz w:val="24"/>
        </w:rPr>
        <w:t>State Key Laboratory of Southwestern Chinese Medicine Resources, Innovative Institute of Chinese Medicine and Pharmacy, Chengdu University of Traditional Chinese Medicine, Chengdu 611137, China</w:t>
      </w:r>
    </w:p>
    <w:p>
      <w:pPr>
        <w:widowControl w:val="0"/>
        <w:numPr>
          <w:ilvl w:val="0"/>
          <w:numId w:val="1"/>
        </w:numPr>
        <w:spacing w:line="360" w:lineRule="auto"/>
        <w:rPr>
          <w:rFonts w:hint="default" w:ascii="Times New Roman" w:hAnsi="Times New Roman" w:eastAsia="等线" w:cs="Times New Roman"/>
          <w:i/>
          <w:iCs/>
          <w:sz w:val="24"/>
        </w:rPr>
      </w:pPr>
      <w:r>
        <w:rPr>
          <w:rFonts w:hint="default" w:ascii="Times New Roman" w:hAnsi="Times New Roman" w:eastAsia="等线" w:cs="Times New Roman"/>
          <w:i/>
          <w:iCs/>
          <w:sz w:val="24"/>
          <w:lang w:bidi="ar"/>
        </w:rPr>
        <w:t xml:space="preserve">Meishan Traditional Chinese Medicine Hospital, Meishan, </w:t>
      </w:r>
      <w:r>
        <w:rPr>
          <w:rFonts w:hint="default" w:ascii="Times New Roman" w:hAnsi="Times New Roman" w:eastAsia="等线" w:cs="Times New Roman"/>
          <w:i/>
          <w:iCs/>
          <w:color w:val="0D0D0D"/>
          <w:sz w:val="24"/>
          <w:lang w:bidi="ar"/>
        </w:rPr>
        <w:t xml:space="preserve">620010, </w:t>
      </w:r>
      <w:r>
        <w:rPr>
          <w:rFonts w:hint="default" w:ascii="Times New Roman" w:hAnsi="Times New Roman" w:eastAsia="等线" w:cs="Times New Roman"/>
          <w:i/>
          <w:iCs/>
          <w:sz w:val="24"/>
          <w:lang w:bidi="ar"/>
        </w:rPr>
        <w:t>China</w:t>
      </w:r>
    </w:p>
    <w:p>
      <w:pPr>
        <w:widowControl w:val="0"/>
        <w:spacing w:line="360" w:lineRule="auto"/>
        <w:rPr>
          <w:rFonts w:eastAsia="等线"/>
          <w:i/>
          <w:iCs/>
          <w:color w:val="0D0D0D"/>
          <w:sz w:val="24"/>
        </w:rPr>
      </w:pPr>
    </w:p>
    <w:p>
      <w:pPr>
        <w:spacing w:line="360" w:lineRule="auto"/>
        <w:rPr>
          <w:rFonts w:ascii="Times New Roman" w:hAnsi="Times New Roman" w:eastAsia="等线" w:cs="Times New Roman"/>
          <w:i/>
          <w:iCs/>
          <w:color w:val="0D0D0D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等线" w:cs="Times New Roman"/>
          <w:i/>
          <w:iCs/>
          <w:color w:val="0D0D0D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b/>
          <w:bCs/>
          <w:sz w:val="24"/>
          <w:lang w:bidi="ar"/>
        </w:rPr>
        <w:t xml:space="preserve">Corresponding authors: </w:t>
      </w:r>
      <w:r>
        <w:rPr>
          <w:rFonts w:hint="default" w:ascii="Times New Roman" w:hAnsi="Times New Roman" w:cs="Times New Roman"/>
          <w:sz w:val="24"/>
          <w:lang w:bidi="ar"/>
        </w:rPr>
        <w:t>Chengdu University of Traditional Chinese Medicine 1166 Liutai Avenue, Wenjiang District, Chengdu 611137, China. Shaohui Wang (winter9091@163.com); Yi Zhang (zhangyi@cdutcm.edu.cn).</w:t>
      </w:r>
    </w:p>
    <w:p>
      <w:pPr>
        <w:widowControl w:val="0"/>
        <w:tabs>
          <w:tab w:val="left" w:pos="4410"/>
        </w:tabs>
        <w:spacing w:line="360" w:lineRule="auto"/>
        <w:rPr>
          <w:rFonts w:hint="default" w:ascii="Times New Roman" w:hAnsi="Times New Roman" w:eastAsia="等线" w:cs="Times New Roman"/>
          <w:b/>
          <w:bCs/>
          <w:sz w:val="24"/>
        </w:rPr>
      </w:pPr>
      <w:r>
        <w:rPr>
          <w:rFonts w:hint="default" w:ascii="Times New Roman" w:hAnsi="Times New Roman" w:cs="Times New Roman"/>
          <w:sz w:val="24"/>
          <w:lang w:bidi="ar"/>
        </w:rPr>
        <w:t>Tel: +86-028-61932600; Fax: +86-028-619326</w:t>
      </w:r>
    </w:p>
    <w:p>
      <w:pPr>
        <w:widowControl/>
        <w:spacing w:line="360" w:lineRule="auto"/>
        <w:rPr>
          <w:rFonts w:ascii="Times New Roman" w:hAnsi="Times New Roman" w:eastAsia="宋体" w:cs="Times New Roman"/>
          <w:b/>
          <w:bCs/>
          <w:sz w:val="24"/>
          <w:szCs w:val="24"/>
        </w:rPr>
      </w:pPr>
    </w:p>
    <w:p>
      <w:pPr>
        <w:spacing w:line="360" w:lineRule="auto"/>
        <w:rPr>
          <w:rFonts w:ascii="Times New Roman" w:hAnsi="Times New Roman"/>
          <w:sz w:val="24"/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AndChars" w:linePitch="312" w:charSpace="0"/>
        </w:sectPr>
      </w:pPr>
    </w:p>
    <w:p>
      <w:pPr>
        <w:spacing w:line="360" w:lineRule="auto"/>
        <w:rPr>
          <w:rFonts w:ascii="Times New Roman" w:hAnsi="Times New Roman" w:eastAsia="宋体" w:cs="Times New Roman"/>
          <w:b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Figure Legend for Supplementary Data</w:t>
      </w:r>
    </w:p>
    <w:p>
      <w:pPr>
        <w:pStyle w:val="12"/>
        <w:spacing w:line="360" w:lineRule="auto"/>
        <w:rPr>
          <w:rFonts w:ascii="Times New Roman" w:hAnsi="Times New Roman" w:eastAsia="宋体" w:cs="Times New Roman"/>
          <w:i/>
          <w:iCs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1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structure of chemical components in 80% ethanolic extract of 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Swertia chirayita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 xml:space="preserve">The secondary fragmentation information of standard substances. </w:t>
      </w:r>
      <w:r>
        <w:rPr>
          <w:rFonts w:hint="eastAsia" w:ascii="Times New Roman" w:hAnsi="Times New Roman" w:eastAsia="宋体" w:cs="Times New Roman"/>
          <w:color w:val="0000FF"/>
          <w:sz w:val="24"/>
          <w:szCs w:val="24"/>
        </w:rPr>
        <w:t>(</w:t>
      </w:r>
      <w:r>
        <w:rPr>
          <w:rFonts w:ascii="Times New Roman" w:hAnsi="Times New Roman" w:eastAsia="宋体" w:cs="Times New Roman"/>
          <w:color w:val="0000FF"/>
          <w:sz w:val="24"/>
          <w:szCs w:val="24"/>
        </w:rPr>
        <w:t>A)</w:t>
      </w:r>
      <w:r>
        <w:rPr>
          <w:rFonts w:ascii="Times New Roman" w:hAnsi="Times New Roman" w:eastAsia="宋体" w:cs="Times New Roman"/>
          <w:sz w:val="24"/>
          <w:szCs w:val="24"/>
        </w:rPr>
        <w:t xml:space="preserve"> Loganic acid, </w:t>
      </w:r>
      <w:r>
        <w:rPr>
          <w:rFonts w:ascii="Times New Roman" w:hAnsi="Times New Roman" w:cs="Times New Roman"/>
          <w:color w:val="0000FF"/>
          <w:sz w:val="24"/>
          <w:szCs w:val="24"/>
        </w:rPr>
        <w:t>(B)</w:t>
      </w:r>
      <w:r>
        <w:rPr>
          <w:rFonts w:ascii="Times New Roman" w:hAnsi="Times New Roman" w:cs="Times New Roman"/>
          <w:sz w:val="24"/>
          <w:szCs w:val="24"/>
        </w:rPr>
        <w:t xml:space="preserve"> Chlorogenic acid, </w:t>
      </w:r>
      <w:r>
        <w:rPr>
          <w:rFonts w:ascii="Times New Roman" w:hAnsi="Times New Roman" w:cs="Times New Roman"/>
          <w:color w:val="0000FF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 xml:space="preserve"> Swertiamarin, </w:t>
      </w:r>
      <w:r>
        <w:rPr>
          <w:rFonts w:ascii="Times New Roman" w:hAnsi="Times New Roman" w:cs="Times New Roman"/>
          <w:color w:val="0000FF"/>
          <w:sz w:val="24"/>
          <w:szCs w:val="24"/>
        </w:rPr>
        <w:t>(D)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Sweroside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FF"/>
          <w:sz w:val="24"/>
          <w:szCs w:val="24"/>
        </w:rPr>
        <w:t>(E)</w:t>
      </w:r>
      <w:r>
        <w:rPr>
          <w:rFonts w:ascii="Times New Roman" w:hAnsi="Times New Roman" w:cs="Times New Roman"/>
          <w:sz w:val="24"/>
          <w:szCs w:val="24"/>
        </w:rPr>
        <w:t xml:space="preserve"> Isoorientin, </w:t>
      </w:r>
      <w:r>
        <w:rPr>
          <w:rFonts w:ascii="Times New Roman" w:hAnsi="Times New Roman" w:cs="Times New Roman"/>
          <w:color w:val="0000FF"/>
          <w:sz w:val="24"/>
          <w:szCs w:val="24"/>
        </w:rPr>
        <w:t>(F)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Ursolic Acid</w:t>
      </w:r>
      <w:r>
        <w:rPr>
          <w:rFonts w:ascii="Times New Roman" w:hAnsi="Times New Roman" w:cs="Times New Roman"/>
          <w:sz w:val="24"/>
          <w:szCs w:val="24"/>
        </w:rPr>
        <w:t>. And the standard substances as well as the extract compounds are shown in this figure.</w:t>
      </w:r>
    </w:p>
    <w:p>
      <w:pPr>
        <w:spacing w:line="360" w:lineRule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Supplementary Figure 3 </w:t>
      </w:r>
      <w:r>
        <w:rPr>
          <w:rFonts w:ascii="Times New Roman" w:hAnsi="Times New Roman" w:eastAsia="宋体" w:cs="Times New Roman"/>
          <w:bCs/>
          <w:sz w:val="24"/>
          <w:szCs w:val="24"/>
        </w:rPr>
        <w:t>Network analysis of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 xml:space="preserve">swertiamarine and acute liver injury. 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1440" w:right="1800" w:bottom="1440" w:left="180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color w:val="0000FF"/>
          <w:sz w:val="24"/>
          <w:szCs w:val="24"/>
        </w:rPr>
        <w:t>(A)</w:t>
      </w:r>
      <w:r>
        <w:rPr>
          <w:rFonts w:ascii="Times New Roman" w:hAnsi="Times New Roman" w:eastAsia="宋体" w:cs="Times New Roman"/>
          <w:sz w:val="24"/>
          <w:szCs w:val="24"/>
        </w:rPr>
        <w:t xml:space="preserve"> Venn diagram and candidate targets of swertiamarine and acute liver injury, </w:t>
      </w:r>
      <w:r>
        <w:rPr>
          <w:rFonts w:ascii="Times New Roman" w:hAnsi="Times New Roman" w:eastAsia="宋体" w:cs="Times New Roman"/>
          <w:color w:val="0000FF"/>
          <w:sz w:val="24"/>
          <w:szCs w:val="24"/>
        </w:rPr>
        <w:t>(B)</w:t>
      </w:r>
      <w:r>
        <w:rPr>
          <w:rFonts w:ascii="Times New Roman" w:hAnsi="Times New Roman" w:eastAsia="宋体" w:cs="Times New Roman"/>
          <w:sz w:val="24"/>
          <w:szCs w:val="24"/>
        </w:rPr>
        <w:t xml:space="preserve"> Protein</w:t>
      </w:r>
      <w:r>
        <w:rPr>
          <w:rFonts w:hint="eastAsia" w:ascii="Times New Roman" w:hAnsi="Times New Roman" w:eastAsia="宋体" w:cs="Times New Roman"/>
          <w:sz w:val="24"/>
          <w:szCs w:val="24"/>
        </w:rPr>
        <w:t>-</w:t>
      </w:r>
      <w:r>
        <w:rPr>
          <w:rFonts w:ascii="Times New Roman" w:hAnsi="Times New Roman" w:eastAsia="宋体" w:cs="Times New Roman"/>
          <w:sz w:val="24"/>
          <w:szCs w:val="24"/>
        </w:rPr>
        <w:t>protein interaction (PPI) network.</w:t>
      </w:r>
    </w:p>
    <w:p>
      <w:pPr>
        <w:pStyle w:val="12"/>
        <w:spacing w:line="360" w:lineRule="auto"/>
        <w:rPr>
          <w:rFonts w:ascii="Times New Roman" w:hAnsi="Times New Roman" w:eastAsia="宋体" w:cs="Times New Roman"/>
          <w:i/>
          <w:iCs/>
          <w:color w:val="0000FF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1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The structure of chemical components in 80% ethanolic extract of </w:t>
      </w:r>
      <w:r>
        <w:rPr>
          <w:rFonts w:ascii="Times New Roman" w:hAnsi="Times New Roman" w:eastAsia="宋体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Swertia chirayita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spacing w:line="360" w:lineRule="auto"/>
      </w:pPr>
      <w:r>
        <w:drawing>
          <wp:inline distT="0" distB="0" distL="0" distR="0">
            <wp:extent cx="8863330" cy="4544060"/>
            <wp:effectExtent l="0" t="0" r="0" b="8890"/>
            <wp:docPr id="676268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68204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8863330" cy="4966335"/>
            <wp:effectExtent l="0" t="0" r="0" b="5715"/>
            <wp:docPr id="4943662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66269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8863330" cy="5130800"/>
            <wp:effectExtent l="0" t="0" r="0" b="0"/>
            <wp:docPr id="17754203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420339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8863330" cy="1641475"/>
            <wp:effectExtent l="0" t="0" r="0" b="0"/>
            <wp:docPr id="9440678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67881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The secondary fragmentation information of standard substances.</w:t>
      </w:r>
      <w:r>
        <w:rPr>
          <w:rFonts w:hint="eastAsia" w:ascii="Times New Roman" w:hAnsi="Times New Roman" w:eastAsia="宋体" w:cs="Times New Roman"/>
          <w:color w:val="0000FF"/>
          <w:sz w:val="24"/>
          <w:szCs w:val="24"/>
        </w:rPr>
        <w:t xml:space="preserve"> (</w:t>
      </w:r>
      <w:r>
        <w:rPr>
          <w:rFonts w:ascii="Times New Roman" w:hAnsi="Times New Roman" w:eastAsia="宋体" w:cs="Times New Roman"/>
          <w:color w:val="0000FF"/>
          <w:sz w:val="24"/>
          <w:szCs w:val="24"/>
        </w:rPr>
        <w:t>A)</w:t>
      </w:r>
      <w:r>
        <w:rPr>
          <w:rFonts w:ascii="Times New Roman" w:hAnsi="Times New Roman" w:eastAsia="宋体" w:cs="Times New Roman"/>
          <w:sz w:val="24"/>
          <w:szCs w:val="24"/>
        </w:rPr>
        <w:t xml:space="preserve"> Loganic acid</w:t>
      </w:r>
      <w:r>
        <w:rPr>
          <w:rFonts w:ascii="Times New Roman" w:hAnsi="Times New Roman" w:cs="Times New Roman"/>
          <w:sz w:val="24"/>
          <w:szCs w:val="24"/>
        </w:rPr>
        <w:t>. And the standard substance as well as the extract compounds are shown in this figure.</w:t>
      </w:r>
    </w:p>
    <w:p>
      <w:pPr>
        <w:spacing w:line="360" w:lineRule="auto"/>
      </w:pPr>
      <w:r>
        <w:drawing>
          <wp:inline distT="0" distB="0" distL="0" distR="0">
            <wp:extent cx="8776335" cy="3225800"/>
            <wp:effectExtent l="0" t="0" r="5715" b="0"/>
            <wp:docPr id="20423557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55752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1012" cy="3227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line="360" w:lineRule="auto"/>
      </w:pPr>
    </w:p>
    <w:p>
      <w:pPr>
        <w:spacing w:line="360" w:lineRule="auto"/>
      </w:pPr>
      <w:r>
        <w:rPr>
          <w:rFonts w:ascii="Times New Roman" w:hAnsi="Times New Roman" w:eastAsia="宋体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The secondary fragmentation information of standard substances.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(B)</w:t>
      </w:r>
      <w:r>
        <w:rPr>
          <w:rFonts w:ascii="Times New Roman" w:hAnsi="Times New Roman" w:cs="Times New Roman"/>
          <w:sz w:val="24"/>
          <w:szCs w:val="24"/>
        </w:rPr>
        <w:t xml:space="preserve"> Chlorogenic acid. And the standard substance as well as the extract compounds are shown in this figure.</w:t>
      </w:r>
    </w:p>
    <w:p>
      <w:pPr>
        <w:spacing w:line="360" w:lineRule="auto"/>
      </w:pPr>
      <w:r>
        <w:drawing>
          <wp:inline distT="0" distB="0" distL="0" distR="0">
            <wp:extent cx="8984615" cy="3435350"/>
            <wp:effectExtent l="0" t="0" r="6985" b="0"/>
            <wp:docPr id="17328692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69217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90347" cy="3437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line="360" w:lineRule="auto"/>
      </w:pPr>
    </w:p>
    <w:p>
      <w:pPr>
        <w:spacing w:line="360" w:lineRule="auto"/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The secondary fragmentation information of standard substances.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(C)</w:t>
      </w:r>
      <w:r>
        <w:rPr>
          <w:rFonts w:ascii="Times New Roman" w:hAnsi="Times New Roman" w:cs="Times New Roman"/>
          <w:sz w:val="24"/>
          <w:szCs w:val="24"/>
        </w:rPr>
        <w:t xml:space="preserve"> Swertiamarin. And the standard substance as well as the extract compounds are shown in this figure.</w:t>
      </w:r>
    </w:p>
    <w:p>
      <w:pPr>
        <w:spacing w:line="360" w:lineRule="auto"/>
      </w:pPr>
      <w:r>
        <w:drawing>
          <wp:inline distT="0" distB="0" distL="0" distR="0">
            <wp:extent cx="8873490" cy="3162300"/>
            <wp:effectExtent l="0" t="0" r="3810" b="0"/>
            <wp:docPr id="18727963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96339" name="图片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1645" cy="3165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line="360" w:lineRule="auto"/>
      </w:pPr>
    </w:p>
    <w:p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The secondary fragmentation information of standard substances.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(D)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Sweroside</w:t>
      </w:r>
      <w:r>
        <w:rPr>
          <w:rFonts w:ascii="Times New Roman" w:hAnsi="Times New Roman" w:cs="Times New Roman"/>
          <w:sz w:val="24"/>
          <w:szCs w:val="24"/>
        </w:rPr>
        <w:t>. And the standard substance as well as the extract compounds are shown in this figure.</w:t>
      </w:r>
    </w:p>
    <w:p>
      <w:pPr>
        <w:spacing w:line="360" w:lineRule="auto"/>
      </w:pPr>
      <w:r>
        <w:drawing>
          <wp:inline distT="0" distB="0" distL="0" distR="0">
            <wp:extent cx="8632825" cy="3383280"/>
            <wp:effectExtent l="0" t="0" r="0" b="0"/>
            <wp:docPr id="9365629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62985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282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line="360" w:lineRule="auto"/>
      </w:pPr>
    </w:p>
    <w:p>
      <w:pPr>
        <w:spacing w:line="360" w:lineRule="auto"/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The secondary fragmentation information of standard substances.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(E)</w:t>
      </w:r>
      <w:r>
        <w:rPr>
          <w:rFonts w:ascii="Times New Roman" w:hAnsi="Times New Roman" w:cs="Times New Roman"/>
          <w:sz w:val="24"/>
          <w:szCs w:val="24"/>
        </w:rPr>
        <w:t xml:space="preserve"> Isoorientin. And the standard substance as well as the extract compounds are shown in this figure.</w:t>
      </w:r>
    </w:p>
    <w:p>
      <w:pPr>
        <w:spacing w:line="360" w:lineRule="auto"/>
      </w:pPr>
      <w:r>
        <w:drawing>
          <wp:inline distT="0" distB="0" distL="0" distR="0">
            <wp:extent cx="8638540" cy="3225165"/>
            <wp:effectExtent l="0" t="0" r="0" b="0"/>
            <wp:docPr id="18220667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66741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854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line="360" w:lineRule="auto"/>
      </w:pPr>
    </w:p>
    <w:p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>Supplementary Figure 2</w:t>
      </w:r>
      <w:r>
        <w:rPr>
          <w:rFonts w:ascii="Times New Roman" w:hAnsi="Times New Roman" w:eastAsia="宋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>The secondary fragmentation information of standard substances.</w:t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(F)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Ursolic Acid</w:t>
      </w:r>
      <w:r>
        <w:rPr>
          <w:rFonts w:ascii="Times New Roman" w:hAnsi="Times New Roman" w:cs="Times New Roman"/>
          <w:sz w:val="24"/>
          <w:szCs w:val="24"/>
        </w:rPr>
        <w:t>. And the standard substance as well as the extract compounds are shown in this figure.</w:t>
      </w:r>
    </w:p>
    <w:p>
      <w:pPr>
        <w:spacing w:line="360" w:lineRule="auto"/>
      </w:pPr>
      <w:r>
        <w:drawing>
          <wp:inline distT="0" distB="0" distL="0" distR="0">
            <wp:extent cx="8565515" cy="3322320"/>
            <wp:effectExtent l="0" t="0" r="0" b="0"/>
            <wp:docPr id="38136370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63706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5515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Supplementary Figure 3 </w:t>
      </w:r>
      <w:r>
        <w:rPr>
          <w:rFonts w:ascii="Times New Roman" w:hAnsi="Times New Roman" w:eastAsia="宋体" w:cs="Times New Roman"/>
          <w:bCs/>
          <w:sz w:val="24"/>
          <w:szCs w:val="24"/>
        </w:rPr>
        <w:t>Network analysis of</w:t>
      </w:r>
      <w:r>
        <w:rPr>
          <w:rFonts w:ascii="Times New Roman" w:hAnsi="Times New Roman" w:eastAsia="宋体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sz w:val="24"/>
          <w:szCs w:val="24"/>
        </w:rPr>
        <w:t xml:space="preserve">swertiamarine and acute liver injury. </w:t>
      </w:r>
    </w:p>
    <w:p>
      <w:pPr>
        <w:spacing w:line="360" w:lineRule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color w:val="0000FF"/>
          <w:sz w:val="24"/>
          <w:szCs w:val="24"/>
        </w:rPr>
        <w:t>(A)</w:t>
      </w:r>
      <w:r>
        <w:rPr>
          <w:rFonts w:ascii="Times New Roman" w:hAnsi="Times New Roman" w:eastAsia="宋体" w:cs="Times New Roman"/>
          <w:sz w:val="24"/>
          <w:szCs w:val="24"/>
        </w:rPr>
        <w:t xml:space="preserve"> Venn diagram and candidate targets of swertiamarine and acute liver injury, </w:t>
      </w:r>
      <w:r>
        <w:rPr>
          <w:rFonts w:ascii="Times New Roman" w:hAnsi="Times New Roman" w:eastAsia="宋体" w:cs="Times New Roman"/>
          <w:color w:val="0000FF"/>
          <w:sz w:val="24"/>
          <w:szCs w:val="24"/>
        </w:rPr>
        <w:t>(B)</w:t>
      </w:r>
      <w:r>
        <w:rPr>
          <w:rFonts w:ascii="Times New Roman" w:hAnsi="Times New Roman" w:eastAsia="宋体" w:cs="Times New Roman"/>
          <w:sz w:val="24"/>
          <w:szCs w:val="24"/>
        </w:rPr>
        <w:t xml:space="preserve"> Protein</w:t>
      </w:r>
      <w:r>
        <w:rPr>
          <w:rFonts w:hint="eastAsia" w:ascii="Times New Roman" w:hAnsi="Times New Roman" w:eastAsia="宋体" w:cs="Times New Roman"/>
          <w:sz w:val="24"/>
          <w:szCs w:val="24"/>
        </w:rPr>
        <w:t>-</w:t>
      </w:r>
      <w:r>
        <w:rPr>
          <w:rFonts w:ascii="Times New Roman" w:hAnsi="Times New Roman" w:eastAsia="宋体" w:cs="Times New Roman"/>
          <w:sz w:val="24"/>
          <w:szCs w:val="24"/>
        </w:rPr>
        <w:t>protein interaction (PPI) network.</w:t>
      </w:r>
    </w:p>
    <w:p>
      <w:pPr>
        <w:spacing w:line="360" w:lineRule="auto"/>
        <w:rPr>
          <w:rFonts w:hint="eastAsia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drawing>
          <wp:inline distT="0" distB="0" distL="0" distR="0">
            <wp:extent cx="5274310" cy="1787525"/>
            <wp:effectExtent l="0" t="0" r="2540" b="3175"/>
            <wp:docPr id="94494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4612" name="图片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31916327"/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4F5ACA"/>
    <w:multiLevelType w:val="multilevel"/>
    <w:tmpl w:val="424F5ACA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i/>
        <w:iCs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JlZjk3ZDhhYTZkMzA0NTY5NmM0MDliYjdhYTg1NDMifQ=="/>
  </w:docVars>
  <w:rsids>
    <w:rsidRoot w:val="00E70AA8"/>
    <w:rsid w:val="00005DAD"/>
    <w:rsid w:val="000504F1"/>
    <w:rsid w:val="000C57C3"/>
    <w:rsid w:val="001112E1"/>
    <w:rsid w:val="00177922"/>
    <w:rsid w:val="00190276"/>
    <w:rsid w:val="001C41CE"/>
    <w:rsid w:val="00264FA2"/>
    <w:rsid w:val="003410BF"/>
    <w:rsid w:val="003B0118"/>
    <w:rsid w:val="003B174D"/>
    <w:rsid w:val="003B505A"/>
    <w:rsid w:val="003D3AF5"/>
    <w:rsid w:val="003E5634"/>
    <w:rsid w:val="00424154"/>
    <w:rsid w:val="00445CDA"/>
    <w:rsid w:val="004A0553"/>
    <w:rsid w:val="004E3E86"/>
    <w:rsid w:val="006171B1"/>
    <w:rsid w:val="00634803"/>
    <w:rsid w:val="007728C7"/>
    <w:rsid w:val="007D3180"/>
    <w:rsid w:val="0080774E"/>
    <w:rsid w:val="00823386"/>
    <w:rsid w:val="00870DE9"/>
    <w:rsid w:val="008B2447"/>
    <w:rsid w:val="00944749"/>
    <w:rsid w:val="009F4152"/>
    <w:rsid w:val="00A91A8F"/>
    <w:rsid w:val="00AF6794"/>
    <w:rsid w:val="00B15754"/>
    <w:rsid w:val="00B84728"/>
    <w:rsid w:val="00B86FBC"/>
    <w:rsid w:val="00BA5277"/>
    <w:rsid w:val="00C21D0B"/>
    <w:rsid w:val="00C342C6"/>
    <w:rsid w:val="00C7292F"/>
    <w:rsid w:val="00CF005C"/>
    <w:rsid w:val="00CF6FFD"/>
    <w:rsid w:val="00D75D8A"/>
    <w:rsid w:val="00DB5CE9"/>
    <w:rsid w:val="00E70AA8"/>
    <w:rsid w:val="00EB4CCE"/>
    <w:rsid w:val="00EB5680"/>
    <w:rsid w:val="15B17473"/>
    <w:rsid w:val="18126D25"/>
    <w:rsid w:val="21154D5A"/>
    <w:rsid w:val="245D7D49"/>
    <w:rsid w:val="36BB2CAE"/>
    <w:rsid w:val="53D1600F"/>
    <w:rsid w:val="5E035072"/>
    <w:rsid w:val="6535464F"/>
    <w:rsid w:val="69A614D1"/>
    <w:rsid w:val="76FA097C"/>
    <w:rsid w:val="77EA1097"/>
    <w:rsid w:val="7B4C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  <w:style w:type="character" w:styleId="8">
    <w:name w:val="line number"/>
    <w:basedOn w:val="6"/>
    <w:autoRedefine/>
    <w:semiHidden/>
    <w:unhideWhenUsed/>
    <w:qFormat/>
    <w:uiPriority w:val="99"/>
  </w:style>
  <w:style w:type="character" w:styleId="9">
    <w:name w:val="Hyperlink"/>
    <w:basedOn w:val="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autoRedefine/>
    <w:qFormat/>
    <w:uiPriority w:val="99"/>
    <w:rPr>
      <w:sz w:val="18"/>
      <w:szCs w:val="18"/>
    </w:rPr>
  </w:style>
  <w:style w:type="paragraph" w:customStyle="1" w:styleId="12">
    <w:name w:val="EndNote Bibliography"/>
    <w:basedOn w:val="1"/>
    <w:link w:val="13"/>
    <w:autoRedefine/>
    <w:qFormat/>
    <w:uiPriority w:val="0"/>
    <w:rPr>
      <w:rFonts w:ascii="等线" w:hAnsi="等线" w:eastAsia="等线"/>
      <w:sz w:val="20"/>
    </w:rPr>
  </w:style>
  <w:style w:type="character" w:customStyle="1" w:styleId="13">
    <w:name w:val="EndNote Bibliography 字符"/>
    <w:basedOn w:val="6"/>
    <w:link w:val="12"/>
    <w:autoRedefine/>
    <w:qFormat/>
    <w:uiPriority w:val="0"/>
    <w:rPr>
      <w:rFonts w:ascii="等线" w:hAnsi="等线" w:eastAsia="等线"/>
      <w:kern w:val="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1.tiff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8CA79-3BB4-4B4A-97C6-C5C727D57A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467</Words>
  <Characters>2666</Characters>
  <Lines>22</Lines>
  <Paragraphs>6</Paragraphs>
  <TotalTime>0</TotalTime>
  <ScaleCrop>false</ScaleCrop>
  <LinksUpToDate>false</LinksUpToDate>
  <CharactersWithSpaces>3127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2023-04-02T09:07:00Z</dcterms:created>
  <dc:creator>郭 飒</dc:creator>
  <cp:lastModifiedBy>静初大夫</cp:lastModifiedBy>
  <dcterms:modified xsi:type="dcterms:W3CDTF">2024-01-20T15:28:06Z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7B270525A7364A0DA2EAA543A1C8754B_12</vt:lpwstr>
  </property>
</Properties>
</file>