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C7" w:rsidRPr="005B3B27" w:rsidRDefault="005C50C7" w:rsidP="005C50C7">
      <w:pPr>
        <w:spacing w:line="48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5B3B27">
        <w:rPr>
          <w:rFonts w:ascii="Times New Roman" w:eastAsia="宋体" w:hAnsi="Times New Roman" w:cs="Times New Roman"/>
          <w:b/>
          <w:sz w:val="28"/>
          <w:szCs w:val="28"/>
        </w:rPr>
        <w:t xml:space="preserve">Supplementary </w:t>
      </w:r>
      <w:r w:rsidR="00C3116C" w:rsidRPr="005B3B27">
        <w:rPr>
          <w:rFonts w:ascii="Times New Roman" w:eastAsia="宋体" w:hAnsi="Times New Roman" w:cs="Times New Roman" w:hint="eastAsia"/>
          <w:b/>
          <w:sz w:val="28"/>
          <w:szCs w:val="28"/>
        </w:rPr>
        <w:t>material</w:t>
      </w:r>
    </w:p>
    <w:p w:rsidR="005B3B27" w:rsidRPr="005B3B27" w:rsidRDefault="005B3B27" w:rsidP="005C50C7">
      <w:pPr>
        <w:spacing w:line="48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477BB4" w:rsidRPr="003350D3" w:rsidRDefault="00477BB4" w:rsidP="00477BB4">
      <w:pPr>
        <w:spacing w:line="480" w:lineRule="auto"/>
        <w:jc w:val="center"/>
        <w:rPr>
          <w:rFonts w:ascii="Times New Roman" w:hAnsi="Times New Roman"/>
          <w:b/>
          <w:sz w:val="24"/>
        </w:rPr>
      </w:pPr>
      <w:bookmarkStart w:id="0" w:name="OLE_LINK6"/>
      <w:bookmarkStart w:id="1" w:name="OLE_LINK7"/>
      <w:bookmarkStart w:id="2" w:name="OLE_LINK19"/>
      <w:bookmarkStart w:id="3" w:name="OLE_LINK20"/>
      <w:bookmarkStart w:id="4" w:name="OLE_LINK89"/>
      <w:bookmarkStart w:id="5" w:name="OLE_LINK90"/>
      <w:bookmarkStart w:id="6" w:name="OLE_LINK91"/>
      <w:bookmarkStart w:id="7" w:name="OLE_LINK10"/>
      <w:bookmarkStart w:id="8" w:name="OLE_LINK14"/>
      <w:bookmarkStart w:id="9" w:name="OLE_LINK2"/>
      <w:bookmarkStart w:id="10" w:name="OLE_LINK3"/>
      <w:bookmarkStart w:id="11" w:name="OLE_LINK4"/>
      <w:bookmarkStart w:id="12" w:name="OLE_LINK5"/>
      <w:bookmarkStart w:id="13" w:name="_Hlk160179447"/>
      <w:r w:rsidRPr="003350D3">
        <w:rPr>
          <w:rFonts w:ascii="Times New Roman" w:hAnsi="Times New Roman" w:hint="eastAsia"/>
          <w:b/>
          <w:sz w:val="24"/>
        </w:rPr>
        <w:t>Preparation of b</w:t>
      </w:r>
      <w:r w:rsidRPr="003350D3">
        <w:rPr>
          <w:rFonts w:ascii="Times New Roman" w:hAnsi="Times New Roman"/>
          <w:b/>
          <w:sz w:val="24"/>
        </w:rPr>
        <w:t>iochar</w:t>
      </w:r>
      <w:r w:rsidRPr="003350D3">
        <w:rPr>
          <w:rFonts w:ascii="Times New Roman" w:hAnsi="Times New Roman" w:hint="eastAsia"/>
          <w:b/>
          <w:sz w:val="24"/>
        </w:rPr>
        <w:t xml:space="preserve"> </w:t>
      </w:r>
      <w:bookmarkEnd w:id="0"/>
      <w:bookmarkEnd w:id="1"/>
      <w:r w:rsidRPr="003350D3">
        <w:rPr>
          <w:rFonts w:ascii="Times New Roman" w:hAnsi="Times New Roman" w:hint="eastAsia"/>
          <w:b/>
          <w:sz w:val="24"/>
        </w:rPr>
        <w:t>from pyrolysis of</w:t>
      </w:r>
      <w:r w:rsidRPr="003350D3">
        <w:rPr>
          <w:rFonts w:ascii="Times New Roman" w:hAnsi="Times New Roman"/>
          <w:b/>
          <w:sz w:val="24"/>
        </w:rPr>
        <w:t xml:space="preserve"> soybean straw </w:t>
      </w:r>
      <w:r w:rsidRPr="003350D3">
        <w:rPr>
          <w:rFonts w:ascii="Times New Roman" w:hAnsi="Times New Roman" w:hint="eastAsia"/>
          <w:b/>
          <w:sz w:val="24"/>
        </w:rPr>
        <w:t>at different pyrolysis temperature for</w:t>
      </w:r>
      <w:r w:rsidRPr="003350D3">
        <w:rPr>
          <w:rFonts w:ascii="Times New Roman" w:hAnsi="Times New Roman"/>
          <w:b/>
          <w:sz w:val="24"/>
        </w:rPr>
        <w:t xml:space="preserve"> cadmium </w:t>
      </w:r>
      <w:r w:rsidRPr="003350D3">
        <w:rPr>
          <w:rFonts w:ascii="Times New Roman" w:hAnsi="Times New Roman" w:hint="eastAsia"/>
          <w:b/>
          <w:sz w:val="24"/>
        </w:rPr>
        <w:t>r</w:t>
      </w:r>
      <w:r w:rsidRPr="003350D3">
        <w:rPr>
          <w:rFonts w:ascii="Times New Roman" w:hAnsi="Times New Roman"/>
          <w:b/>
          <w:sz w:val="24"/>
        </w:rPr>
        <w:t>emoval</w:t>
      </w:r>
      <w:r w:rsidRPr="003350D3">
        <w:rPr>
          <w:rFonts w:ascii="Times New Roman" w:hAnsi="Times New Roman" w:hint="eastAsia"/>
          <w:b/>
          <w:sz w:val="24"/>
        </w:rPr>
        <w:t xml:space="preserve"> from </w:t>
      </w:r>
      <w:r w:rsidRPr="003350D3">
        <w:rPr>
          <w:rFonts w:ascii="Times New Roman" w:hAnsi="Times New Roman"/>
          <w:b/>
          <w:sz w:val="24"/>
        </w:rPr>
        <w:t xml:space="preserve">wastewater </w:t>
      </w:r>
      <w:r w:rsidRPr="003350D3">
        <w:rPr>
          <w:rFonts w:ascii="Times New Roman" w:hAnsi="Times New Roman" w:hint="eastAsia"/>
          <w:b/>
          <w:sz w:val="24"/>
        </w:rPr>
        <w:t xml:space="preserve">and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350D3">
        <w:rPr>
          <w:rFonts w:ascii="Times New Roman" w:hAnsi="Times New Roman"/>
          <w:b/>
          <w:sz w:val="24"/>
        </w:rPr>
        <w:t>pyrolysis gas investigation</w:t>
      </w:r>
    </w:p>
    <w:p w:rsidR="00477BB4" w:rsidRPr="0039588D" w:rsidRDefault="00477BB4" w:rsidP="00477BB4">
      <w:pPr>
        <w:spacing w:line="480" w:lineRule="auto"/>
        <w:ind w:left="360"/>
        <w:jc w:val="center"/>
        <w:rPr>
          <w:rFonts w:ascii="Times New Roman" w:hAnsi="Times New Roman" w:cs="Times New Roman"/>
          <w:kern w:val="0"/>
          <w:sz w:val="24"/>
        </w:rPr>
      </w:pPr>
      <w:r w:rsidRPr="0039588D">
        <w:rPr>
          <w:rFonts w:ascii="Times New Roman" w:hAnsi="Times New Roman" w:cs="Times New Roman"/>
          <w:sz w:val="24"/>
        </w:rPr>
        <w:t xml:space="preserve">Chao </w:t>
      </w:r>
      <w:proofErr w:type="spellStart"/>
      <w:r w:rsidRPr="0039588D">
        <w:rPr>
          <w:rFonts w:ascii="Times New Roman" w:hAnsi="Times New Roman" w:cs="Times New Roman"/>
          <w:sz w:val="24"/>
        </w:rPr>
        <w:t>Lv</w:t>
      </w:r>
      <w:r w:rsidRPr="0039588D">
        <w:rPr>
          <w:rFonts w:ascii="Times New Roman" w:hAnsi="Times New Roman" w:cs="Times New Roman"/>
          <w:sz w:val="24"/>
          <w:vertAlign w:val="superscript"/>
        </w:rPr>
        <w:t>a</w:t>
      </w:r>
      <w:proofErr w:type="spellEnd"/>
      <w:r w:rsidRPr="0039588D">
        <w:rPr>
          <w:rFonts w:ascii="Times New Roman" w:hAnsi="Times New Roman" w:cs="Times New Roman"/>
          <w:sz w:val="24"/>
        </w:rPr>
        <w:t xml:space="preserve">, Peng </w:t>
      </w:r>
      <w:proofErr w:type="spellStart"/>
      <w:r w:rsidRPr="0039588D">
        <w:rPr>
          <w:rFonts w:ascii="Times New Roman" w:hAnsi="Times New Roman" w:cs="Times New Roman"/>
          <w:sz w:val="24"/>
        </w:rPr>
        <w:t>Li</w:t>
      </w:r>
      <w:r w:rsidR="00112EC3" w:rsidRPr="0039588D">
        <w:rPr>
          <w:rFonts w:ascii="Times New Roman" w:hAnsi="Times New Roman" w:cs="Times New Roman"/>
          <w:sz w:val="24"/>
        </w:rPr>
        <w:t>u</w:t>
      </w:r>
      <w:r w:rsidRPr="0039588D">
        <w:rPr>
          <w:rFonts w:ascii="Times New Roman" w:hAnsi="Times New Roman" w:cs="Times New Roman"/>
          <w:sz w:val="24"/>
          <w:vertAlign w:val="superscript"/>
        </w:rPr>
        <w:t>b</w:t>
      </w:r>
      <w:proofErr w:type="spellEnd"/>
      <w:r w:rsidRPr="0039588D">
        <w:rPr>
          <w:rFonts w:ascii="Times New Roman" w:hAnsi="Times New Roman" w:cs="Times New Roman"/>
          <w:sz w:val="24"/>
          <w:vertAlign w:val="superscript"/>
        </w:rPr>
        <w:t>*</w:t>
      </w:r>
      <w:r w:rsidRPr="0039588D">
        <w:rPr>
          <w:rFonts w:ascii="Times New Roman" w:hAnsi="Times New Roman" w:cs="Times New Roman"/>
          <w:sz w:val="24"/>
        </w:rPr>
        <w:t xml:space="preserve">, </w:t>
      </w:r>
      <w:r w:rsidRPr="0039588D">
        <w:rPr>
          <w:rFonts w:ascii="Times New Roman" w:hAnsi="Times New Roman" w:cs="Times New Roman"/>
          <w:kern w:val="0"/>
          <w:sz w:val="24"/>
        </w:rPr>
        <w:t>Song Cheng</w:t>
      </w:r>
      <w:r w:rsidRPr="0039588D">
        <w:rPr>
          <w:rFonts w:ascii="Times New Roman" w:hAnsi="Times New Roman" w:cs="Times New Roman"/>
          <w:kern w:val="0"/>
          <w:sz w:val="24"/>
          <w:vertAlign w:val="superscript"/>
        </w:rPr>
        <w:t xml:space="preserve"> c *</w:t>
      </w:r>
    </w:p>
    <w:p w:rsidR="00477BB4" w:rsidRPr="00470C1E" w:rsidRDefault="00477BB4" w:rsidP="00477BB4">
      <w:pPr>
        <w:pStyle w:val="aa"/>
        <w:numPr>
          <w:ilvl w:val="0"/>
          <w:numId w:val="4"/>
        </w:numPr>
        <w:spacing w:line="480" w:lineRule="auto"/>
        <w:ind w:firstLineChars="0"/>
        <w:jc w:val="center"/>
        <w:rPr>
          <w:rFonts w:ascii="Times New Roman" w:hAnsi="Times New Roman"/>
          <w:sz w:val="24"/>
          <w:szCs w:val="24"/>
        </w:rPr>
      </w:pPr>
      <w:r w:rsidRPr="00470C1E">
        <w:rPr>
          <w:rFonts w:ascii="Times New Roman" w:hAnsi="Times New Roman"/>
          <w:sz w:val="24"/>
          <w:szCs w:val="24"/>
        </w:rPr>
        <w:t>School of Coal engineering, Shanxi Datong University, Datong, Shanxi</w:t>
      </w:r>
      <w:r w:rsidR="00654986">
        <w:rPr>
          <w:rFonts w:ascii="Times New Roman" w:hAnsi="Times New Roman"/>
          <w:sz w:val="24"/>
          <w:szCs w:val="24"/>
        </w:rPr>
        <w:t xml:space="preserve"> </w:t>
      </w:r>
      <w:r w:rsidR="00654986" w:rsidRPr="00654986">
        <w:rPr>
          <w:rFonts w:ascii="Times New Roman" w:hAnsi="Times New Roman"/>
          <w:sz w:val="24"/>
          <w:szCs w:val="24"/>
        </w:rPr>
        <w:t>037009</w:t>
      </w:r>
      <w:r w:rsidRPr="00470C1E">
        <w:rPr>
          <w:rFonts w:ascii="Times New Roman" w:hAnsi="Times New Roman"/>
          <w:sz w:val="24"/>
          <w:szCs w:val="24"/>
        </w:rPr>
        <w:t>, China;</w:t>
      </w:r>
    </w:p>
    <w:p w:rsidR="00477BB4" w:rsidRDefault="00477BB4" w:rsidP="00477BB4">
      <w:pPr>
        <w:pStyle w:val="aa"/>
        <w:spacing w:line="480" w:lineRule="auto"/>
        <w:ind w:left="360" w:firstLineChars="0" w:firstLine="0"/>
        <w:jc w:val="center"/>
        <w:rPr>
          <w:rFonts w:ascii="Times New Roman" w:hAnsi="Times New Roman"/>
          <w:sz w:val="24"/>
          <w:szCs w:val="24"/>
        </w:rPr>
      </w:pPr>
      <w:r w:rsidRPr="00470C1E">
        <w:rPr>
          <w:rFonts w:ascii="Times New Roman" w:hAnsi="Times New Roman"/>
          <w:sz w:val="24"/>
          <w:szCs w:val="24"/>
        </w:rPr>
        <w:t>b.</w:t>
      </w:r>
      <w:r w:rsidRPr="00470C1E">
        <w:t xml:space="preserve"> </w:t>
      </w:r>
      <w:r w:rsidRPr="000522D2">
        <w:rPr>
          <w:rFonts w:ascii="Times New Roman" w:hAnsi="Times New Roman"/>
          <w:sz w:val="24"/>
          <w:szCs w:val="24"/>
        </w:rPr>
        <w:t xml:space="preserve">School of Vanadium and Titanium, </w:t>
      </w:r>
      <w:proofErr w:type="spellStart"/>
      <w:r w:rsidRPr="000522D2">
        <w:rPr>
          <w:rFonts w:ascii="Times New Roman" w:hAnsi="Times New Roman"/>
          <w:sz w:val="24"/>
          <w:szCs w:val="24"/>
        </w:rPr>
        <w:t>Panzhihua</w:t>
      </w:r>
      <w:proofErr w:type="spellEnd"/>
      <w:r w:rsidRPr="000522D2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0522D2">
        <w:rPr>
          <w:rFonts w:ascii="Times New Roman" w:hAnsi="Times New Roman"/>
          <w:sz w:val="24"/>
          <w:szCs w:val="24"/>
        </w:rPr>
        <w:t>Panzhihua</w:t>
      </w:r>
      <w:proofErr w:type="spellEnd"/>
      <w:r w:rsidRPr="000522D2">
        <w:rPr>
          <w:rFonts w:ascii="Times New Roman" w:hAnsi="Times New Roman"/>
          <w:sz w:val="24"/>
          <w:szCs w:val="24"/>
        </w:rPr>
        <w:t xml:space="preserve"> 617000, China</w:t>
      </w:r>
      <w:r>
        <w:rPr>
          <w:rFonts w:ascii="Times New Roman" w:hAnsi="Times New Roman"/>
          <w:sz w:val="24"/>
          <w:szCs w:val="24"/>
        </w:rPr>
        <w:t>;</w:t>
      </w:r>
    </w:p>
    <w:p w:rsidR="00477BB4" w:rsidRPr="00B469B6" w:rsidRDefault="00477BB4" w:rsidP="00477BB4">
      <w:pPr>
        <w:autoSpaceDE w:val="0"/>
        <w:autoSpaceDN w:val="0"/>
        <w:adjustRightInd w:val="0"/>
        <w:spacing w:line="480" w:lineRule="auto"/>
        <w:ind w:left="36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>c.</w:t>
      </w:r>
      <w:r w:rsidRPr="0098251F">
        <w:rPr>
          <w:rFonts w:ascii="Times New Roman" w:hAnsi="Times New Roman" w:hint="eastAsia"/>
          <w:kern w:val="0"/>
          <w:sz w:val="24"/>
        </w:rPr>
        <w:t xml:space="preserve"> </w:t>
      </w:r>
      <w:r w:rsidRPr="00B469B6">
        <w:rPr>
          <w:rFonts w:ascii="Times New Roman" w:hAnsi="Times New Roman"/>
          <w:kern w:val="0"/>
          <w:sz w:val="24"/>
        </w:rPr>
        <w:t>College of Chemistry and Chemical Engineering, Henan Polytechnic University</w:t>
      </w:r>
    </w:p>
    <w:p w:rsidR="00477BB4" w:rsidRPr="00F4438F" w:rsidRDefault="00477BB4" w:rsidP="00477BB4">
      <w:pPr>
        <w:autoSpaceDE w:val="0"/>
        <w:autoSpaceDN w:val="0"/>
        <w:adjustRightInd w:val="0"/>
        <w:spacing w:line="480" w:lineRule="auto"/>
        <w:ind w:left="360"/>
        <w:jc w:val="center"/>
        <w:rPr>
          <w:rFonts w:ascii="Times New Roman" w:hAnsi="Times New Roman"/>
          <w:kern w:val="0"/>
          <w:sz w:val="24"/>
        </w:rPr>
      </w:pPr>
      <w:r w:rsidRPr="00B469B6">
        <w:rPr>
          <w:rFonts w:ascii="Times New Roman" w:hAnsi="Times New Roman"/>
          <w:kern w:val="0"/>
          <w:sz w:val="24"/>
        </w:rPr>
        <w:t xml:space="preserve">, Jiaozuo </w:t>
      </w:r>
      <w:bookmarkStart w:id="14" w:name="OLE_LINK15"/>
      <w:r w:rsidRPr="00B469B6">
        <w:rPr>
          <w:rFonts w:ascii="Times New Roman" w:hAnsi="Times New Roman"/>
          <w:kern w:val="0"/>
          <w:sz w:val="24"/>
        </w:rPr>
        <w:t>454003</w:t>
      </w:r>
      <w:bookmarkEnd w:id="14"/>
      <w:r w:rsidRPr="00B469B6">
        <w:rPr>
          <w:rFonts w:ascii="Times New Roman" w:hAnsi="Times New Roman"/>
          <w:kern w:val="0"/>
          <w:sz w:val="24"/>
        </w:rPr>
        <w:t>, China</w:t>
      </w:r>
      <w:r w:rsidRPr="00F4438F">
        <w:rPr>
          <w:rFonts w:ascii="Times New Roman" w:hAnsi="Times New Roman"/>
          <w:kern w:val="0"/>
          <w:sz w:val="24"/>
        </w:rPr>
        <w:t>)</w:t>
      </w:r>
    </w:p>
    <w:bookmarkEnd w:id="11"/>
    <w:bookmarkEnd w:id="12"/>
    <w:bookmarkEnd w:id="13"/>
    <w:p w:rsidR="00616F7E" w:rsidRPr="00477BB4" w:rsidRDefault="00616F7E" w:rsidP="00477BB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6F7E" w:rsidRPr="005B3B27" w:rsidRDefault="00616F7E" w:rsidP="00477BB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16F7E" w:rsidRPr="005B3B27" w:rsidRDefault="00616F7E" w:rsidP="005C50C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101858" w:rsidRPr="005B3B27" w:rsidRDefault="00101858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1C2F43" w:rsidRPr="005B3B27" w:rsidRDefault="001C2F43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81C72" w:rsidRDefault="00D81C72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B91CFE" w:rsidRDefault="00B91CFE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B91CFE" w:rsidRPr="005B3B27" w:rsidRDefault="00B91CFE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81C72" w:rsidRDefault="00D81C72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B7ADD" w:rsidRDefault="009B7ADD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B7ADD" w:rsidRDefault="009B7ADD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B7ADD" w:rsidRDefault="009B7ADD" w:rsidP="005C50C7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9588D" w:rsidRPr="005B3B27" w:rsidRDefault="0039588D" w:rsidP="005C50C7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A20AF3" w:rsidRPr="005B3B27" w:rsidRDefault="00343A09" w:rsidP="005228EB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B3B27">
        <w:rPr>
          <w:rFonts w:ascii="Times New Roman" w:eastAsia="AdvGulliv-R" w:hAnsi="Times New Roman" w:cs="Times New Roman"/>
          <w:sz w:val="24"/>
          <w:szCs w:val="24"/>
        </w:rPr>
        <w:br w:type="page"/>
      </w:r>
    </w:p>
    <w:p w:rsidR="00551307" w:rsidRPr="005B3B27" w:rsidRDefault="007C2597" w:rsidP="007C2597">
      <w:pPr>
        <w:widowControl/>
        <w:jc w:val="center"/>
        <w:rPr>
          <w:sz w:val="24"/>
          <w:szCs w:val="24"/>
        </w:rPr>
      </w:pPr>
      <w:r w:rsidRPr="005B3B27">
        <w:rPr>
          <w:noProof/>
          <w:sz w:val="24"/>
          <w:szCs w:val="24"/>
        </w:rPr>
        <w:lastRenderedPageBreak/>
        <w:drawing>
          <wp:inline distT="0" distB="0" distL="0" distR="0" wp14:anchorId="327F7584" wp14:editId="5ECC17B4">
            <wp:extent cx="3302000" cy="2844800"/>
            <wp:effectExtent l="0" t="0" r="0" b="0"/>
            <wp:docPr id="15" name="图片 15" descr="D:\待写文章2020\油茶壳微波和电阻吸附重金属离子\2022年新思路\拆分写-2022.9.9蔺琎\蔺琎环境能源\蔺琎\内扩散\内扩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待写文章2020\油茶壳微波和电阻吸附重金属离子\2022年新思路\拆分写-2022.9.9蔺琎\蔺琎环境能源\蔺琎\内扩散\内扩散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5" t="9076" r="12863" b="2055"/>
                    <a:stretch/>
                  </pic:blipFill>
                  <pic:spPr bwMode="auto">
                    <a:xfrm>
                      <a:off x="0" y="0"/>
                      <a:ext cx="3301467" cy="284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597" w:rsidRPr="005B3B27" w:rsidRDefault="007C2597" w:rsidP="007C2597">
      <w:pPr>
        <w:widowControl/>
        <w:jc w:val="left"/>
        <w:rPr>
          <w:lang w:val="x-none"/>
        </w:rPr>
      </w:pPr>
    </w:p>
    <w:p w:rsidR="00D02959" w:rsidRPr="005B3B27" w:rsidRDefault="007C2597" w:rsidP="005707C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B3B27">
        <w:rPr>
          <w:rFonts w:ascii="Times New Roman" w:eastAsia="黑体" w:hAnsi="Times New Roman" w:cs="Times New Roman"/>
          <w:b/>
          <w:noProof/>
          <w:spacing w:val="3"/>
          <w:sz w:val="24"/>
          <w:szCs w:val="24"/>
        </w:rPr>
        <w:t>Fig</w:t>
      </w:r>
      <w:r w:rsidRPr="005B3B27">
        <w:rPr>
          <w:rFonts w:ascii="Times New Roman" w:eastAsia="黑体" w:hAnsi="Times New Roman" w:cs="Times New Roman" w:hint="eastAsia"/>
          <w:b/>
          <w:noProof/>
          <w:spacing w:val="3"/>
          <w:sz w:val="24"/>
          <w:szCs w:val="24"/>
        </w:rPr>
        <w:t>.S1</w:t>
      </w:r>
      <w:r w:rsidRPr="005B3B27">
        <w:rPr>
          <w:rFonts w:ascii="Times New Roman" w:eastAsia="黑体" w:hAnsi="Times New Roman" w:cs="Times New Roman"/>
          <w:noProof/>
          <w:spacing w:val="3"/>
          <w:sz w:val="24"/>
          <w:szCs w:val="24"/>
        </w:rPr>
        <w:t xml:space="preserve"> The adsorption data of Cd</w:t>
      </w:r>
      <w:r w:rsidRPr="005B3B27">
        <w:rPr>
          <w:rFonts w:ascii="Times New Roman" w:eastAsia="黑体" w:hAnsi="Times New Roman" w:cs="Times New Roman"/>
          <w:noProof/>
          <w:spacing w:val="3"/>
          <w:sz w:val="24"/>
          <w:szCs w:val="24"/>
          <w:vertAlign w:val="superscript"/>
        </w:rPr>
        <w:t>2+</w:t>
      </w:r>
      <w:r w:rsidRPr="005B3B27">
        <w:rPr>
          <w:rFonts w:ascii="Times New Roman" w:eastAsia="黑体" w:hAnsi="Times New Roman" w:cs="Times New Roman" w:hint="eastAsia"/>
          <w:noProof/>
          <w:spacing w:val="3"/>
          <w:sz w:val="24"/>
          <w:szCs w:val="24"/>
        </w:rPr>
        <w:t xml:space="preserve"> </w:t>
      </w:r>
      <w:r w:rsidRPr="005B3B27">
        <w:rPr>
          <w:rFonts w:ascii="Times New Roman" w:eastAsia="黑体" w:hAnsi="Times New Roman" w:cs="Times New Roman"/>
          <w:noProof/>
          <w:spacing w:val="3"/>
          <w:sz w:val="24"/>
          <w:szCs w:val="24"/>
        </w:rPr>
        <w:t xml:space="preserve">fitting </w:t>
      </w:r>
      <w:r w:rsidRPr="005B3B27">
        <w:rPr>
          <w:rFonts w:ascii="Times New Roman" w:eastAsia="黑体" w:hAnsi="Times New Roman" w:cs="Times New Roman" w:hint="eastAsia"/>
          <w:noProof/>
          <w:spacing w:val="3"/>
          <w:sz w:val="24"/>
          <w:szCs w:val="24"/>
        </w:rPr>
        <w:t>the</w:t>
      </w:r>
      <w:r w:rsidRPr="005B3B27">
        <w:rPr>
          <w:rFonts w:ascii="Times New Roman" w:eastAsia="黑体" w:hAnsi="Times New Roman" w:cs="Times New Roman"/>
          <w:noProof/>
          <w:spacing w:val="3"/>
          <w:sz w:val="24"/>
          <w:szCs w:val="24"/>
        </w:rPr>
        <w:t xml:space="preserve"> intraparticle diffusion model </w:t>
      </w:r>
    </w:p>
    <w:p w:rsidR="005707C4" w:rsidRPr="005B3B27" w:rsidRDefault="005707C4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B3B27"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5707C4" w:rsidRPr="005B3B27" w:rsidRDefault="00A86CC9" w:rsidP="005707C4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8120" cy="3712084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3E" w:rsidRPr="005B3B27" w:rsidRDefault="0043083E" w:rsidP="00507B59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1C58" w:rsidRDefault="00F61C58" w:rsidP="005707C4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b/>
          <w:sz w:val="24"/>
          <w:szCs w:val="24"/>
        </w:rPr>
        <w:t>Fig</w:t>
      </w:r>
      <w:r w:rsidRPr="005B3B27">
        <w:rPr>
          <w:rFonts w:ascii="Times New Roman" w:hAnsi="Times New Roman" w:cs="Times New Roman" w:hint="eastAsia"/>
          <w:b/>
          <w:sz w:val="24"/>
          <w:szCs w:val="24"/>
        </w:rPr>
        <w:t>.S</w:t>
      </w:r>
      <w:r w:rsidR="007C2597" w:rsidRPr="005B3B27">
        <w:rPr>
          <w:rFonts w:ascii="Times New Roman" w:hAnsi="Times New Roman" w:cs="Times New Roman" w:hint="eastAsia"/>
          <w:b/>
          <w:sz w:val="24"/>
          <w:szCs w:val="24"/>
        </w:rPr>
        <w:t xml:space="preserve">2 </w:t>
      </w:r>
      <w:r w:rsidRPr="005B3B27">
        <w:rPr>
          <w:rFonts w:ascii="Times New Roman" w:hAnsi="Times New Roman" w:cs="Times New Roman" w:hint="eastAsia"/>
          <w:sz w:val="24"/>
          <w:szCs w:val="24"/>
        </w:rPr>
        <w:t>Cd</w:t>
      </w:r>
      <w:r w:rsidRPr="005B3B27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2+ </w:t>
      </w:r>
      <w:r w:rsidRPr="005B3B27">
        <w:rPr>
          <w:rFonts w:ascii="Times New Roman" w:hAnsi="Times New Roman" w:cs="Times New Roman" w:hint="eastAsia"/>
          <w:sz w:val="24"/>
          <w:szCs w:val="24"/>
        </w:rPr>
        <w:t>adsorption capability of</w:t>
      </w:r>
      <w:r w:rsidRPr="005B3B27">
        <w:rPr>
          <w:rFonts w:ascii="Times New Roman" w:hAnsi="Times New Roman" w:cs="Times New Roman"/>
          <w:sz w:val="24"/>
          <w:szCs w:val="24"/>
        </w:rPr>
        <w:t xml:space="preserve"> regeneration biochar</w:t>
      </w:r>
      <w:r w:rsidR="005F7F7D">
        <w:rPr>
          <w:rFonts w:ascii="Times New Roman" w:hAnsi="Times New Roman" w:cs="Times New Roman"/>
          <w:sz w:val="24"/>
          <w:szCs w:val="24"/>
        </w:rPr>
        <w:t>.</w:t>
      </w:r>
    </w:p>
    <w:p w:rsidR="005F7F7D" w:rsidRDefault="005F7F7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6A0B" w:rsidRDefault="00166A0B" w:rsidP="00166A0B">
      <w:pPr>
        <w:widowControl/>
        <w:spacing w:line="480" w:lineRule="auto"/>
        <w:jc w:val="center"/>
        <w:rPr>
          <w:rFonts w:ascii="Times New Roman" w:eastAsia="黑体" w:hAnsi="Times New Roman"/>
          <w:spacing w:val="3"/>
          <w:sz w:val="24"/>
        </w:rPr>
      </w:pPr>
    </w:p>
    <w:p w:rsidR="005228EB" w:rsidRPr="00B469B6" w:rsidRDefault="005228EB" w:rsidP="00166A0B">
      <w:pPr>
        <w:widowControl/>
        <w:spacing w:line="480" w:lineRule="auto"/>
        <w:jc w:val="center"/>
        <w:rPr>
          <w:rFonts w:ascii="Times New Roman" w:eastAsia="黑体" w:hAnsi="Times New Roman" w:hint="eastAsia"/>
          <w:spacing w:val="3"/>
          <w:sz w:val="24"/>
        </w:rPr>
      </w:pPr>
      <w:r>
        <w:rPr>
          <w:noProof/>
        </w:rPr>
        <w:drawing>
          <wp:inline distT="0" distB="0" distL="0" distR="0">
            <wp:extent cx="3904008" cy="2960809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" t="8719" r="11492" b="3297"/>
                    <a:stretch/>
                  </pic:blipFill>
                  <pic:spPr bwMode="auto">
                    <a:xfrm>
                      <a:off x="0" y="0"/>
                      <a:ext cx="3908195" cy="29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A0B" w:rsidRPr="00166A0B" w:rsidRDefault="00166A0B" w:rsidP="00166A0B">
      <w:pPr>
        <w:widowControl/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166A0B">
        <w:rPr>
          <w:rFonts w:ascii="Times New Roman" w:hAnsi="Times New Roman" w:cs="Times New Roman"/>
          <w:b/>
          <w:bCs/>
          <w:sz w:val="24"/>
        </w:rPr>
        <w:t xml:space="preserve">Fig.S3. </w:t>
      </w:r>
      <w:r w:rsidRPr="00166A0B">
        <w:rPr>
          <w:rFonts w:ascii="Times New Roman" w:hAnsi="Times New Roman" w:cs="Times New Roman"/>
          <w:sz w:val="24"/>
        </w:rPr>
        <w:t>The Cd</w:t>
      </w:r>
      <w:r w:rsidRPr="00166A0B">
        <w:rPr>
          <w:rFonts w:ascii="Times New Roman" w:hAnsi="Times New Roman" w:cs="Times New Roman"/>
          <w:sz w:val="24"/>
          <w:vertAlign w:val="superscript"/>
        </w:rPr>
        <w:t>2+</w:t>
      </w:r>
      <w:r w:rsidRPr="00166A0B">
        <w:rPr>
          <w:rFonts w:ascii="Times New Roman" w:hAnsi="Times New Roman" w:cs="Times New Roman"/>
          <w:sz w:val="24"/>
        </w:rPr>
        <w:t xml:space="preserve"> breakthrough curve of B600℃.</w:t>
      </w:r>
    </w:p>
    <w:p w:rsidR="00F66063" w:rsidRDefault="00F66063" w:rsidP="00F00B4C">
      <w:pPr>
        <w:widowControl/>
        <w:jc w:val="left"/>
      </w:pPr>
    </w:p>
    <w:p w:rsidR="00166A0B" w:rsidRDefault="00166A0B">
      <w:pPr>
        <w:widowControl/>
        <w:jc w:val="left"/>
      </w:pPr>
      <w:r>
        <w:br w:type="page"/>
      </w:r>
    </w:p>
    <w:p w:rsidR="00166A0B" w:rsidRPr="00B469B6" w:rsidRDefault="00166A0B" w:rsidP="00166A0B">
      <w:pPr>
        <w:widowControl/>
        <w:jc w:val="center"/>
        <w:rPr>
          <w:rFonts w:ascii="CharisSIL" w:hAnsi="CharisSIL" w:hint="eastAsia"/>
          <w:sz w:val="24"/>
        </w:rPr>
      </w:pPr>
      <w:r w:rsidRPr="00B469B6">
        <w:rPr>
          <w:rFonts w:ascii="CharisSIL" w:hAnsi="CharisSIL"/>
          <w:noProof/>
          <w:sz w:val="24"/>
        </w:rPr>
        <w:lastRenderedPageBreak/>
        <w:drawing>
          <wp:inline distT="0" distB="0" distL="0" distR="0" wp14:anchorId="4A151B1B" wp14:editId="26BDB15A">
            <wp:extent cx="3257814" cy="2777319"/>
            <wp:effectExtent l="0" t="0" r="0" b="4445"/>
            <wp:docPr id="7" name="图片 7" descr="D:\待写文章2020\油茶壳微波和电阻吸附重金属离子\2022年新思路\拆分写-2022.9.9蔺琎\蔺琎环境能源\蔺琎\储能\储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待写文章2020\油茶壳微波和电阻吸附重金属离子\2022年新思路\拆分写-2022.9.9蔺琎\蔺琎环境能源\蔺琎\储能\储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1" t="10563" r="12529" b="5433"/>
                    <a:stretch/>
                  </pic:blipFill>
                  <pic:spPr bwMode="auto">
                    <a:xfrm>
                      <a:off x="0" y="0"/>
                      <a:ext cx="3264507" cy="27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AFD" w:rsidRDefault="00166A0B" w:rsidP="00166A0B">
      <w:pPr>
        <w:widowControl/>
        <w:jc w:val="center"/>
        <w:rPr>
          <w:rFonts w:ascii="TimesNewRomanPSMT" w:hAnsi="TimesNewRomanPSMT" w:hint="eastAsia"/>
          <w:sz w:val="24"/>
        </w:rPr>
      </w:pPr>
      <w:r w:rsidRPr="00B469B6">
        <w:rPr>
          <w:rFonts w:ascii="TimesNewRomanPS-BoldMT" w:hAnsi="TimesNewRomanPS-BoldMT"/>
          <w:b/>
          <w:bCs/>
          <w:sz w:val="24"/>
        </w:rPr>
        <w:t>Fig.</w:t>
      </w:r>
      <w:r>
        <w:rPr>
          <w:rFonts w:ascii="TimesNewRomanPS-BoldMT" w:hAnsi="TimesNewRomanPS-BoldMT"/>
          <w:b/>
          <w:bCs/>
          <w:sz w:val="24"/>
        </w:rPr>
        <w:t>S4</w:t>
      </w:r>
      <w:r w:rsidRPr="00B469B6">
        <w:rPr>
          <w:rFonts w:ascii="TimesNewRomanPS-BoldMT" w:hAnsi="TimesNewRomanPS-BoldMT"/>
          <w:b/>
          <w:bCs/>
          <w:sz w:val="24"/>
        </w:rPr>
        <w:t xml:space="preserve"> </w:t>
      </w:r>
      <w:r w:rsidRPr="00B469B6">
        <w:rPr>
          <w:rFonts w:ascii="TimesNewRomanPSMT" w:hAnsi="TimesNewRomanPSMT"/>
          <w:sz w:val="24"/>
        </w:rPr>
        <w:t xml:space="preserve">The rate performance of </w:t>
      </w:r>
      <w:r w:rsidRPr="00B469B6">
        <w:rPr>
          <w:rFonts w:ascii="TimesNewRomanPSMT" w:hAnsi="TimesNewRomanPSMT" w:hint="eastAsia"/>
          <w:sz w:val="24"/>
        </w:rPr>
        <w:t>B600</w:t>
      </w:r>
      <w:r w:rsidRPr="00B469B6">
        <w:rPr>
          <w:rFonts w:ascii="TimesNewRomanPSMT" w:hAnsi="TimesNewRomanPSMT" w:hint="eastAsia"/>
          <w:sz w:val="24"/>
        </w:rPr>
        <w:t>℃</w:t>
      </w:r>
      <w:r w:rsidRPr="00B469B6">
        <w:rPr>
          <w:rFonts w:ascii="TimesNewRomanPSMT" w:hAnsi="TimesNewRomanPSMT"/>
          <w:sz w:val="24"/>
        </w:rPr>
        <w:t>for the</w:t>
      </w:r>
      <w:r w:rsidRPr="00B469B6">
        <w:rPr>
          <w:rFonts w:ascii="TimesNewRomanPSMT" w:hAnsi="TimesNewRomanPSMT" w:hint="eastAsia"/>
        </w:rPr>
        <w:t xml:space="preserve"> </w:t>
      </w:r>
      <w:r w:rsidRPr="00B469B6">
        <w:rPr>
          <w:rFonts w:ascii="TimesNewRomanPSMT" w:hAnsi="TimesNewRomanPSMT"/>
          <w:sz w:val="24"/>
        </w:rPr>
        <w:t>lithium ion batteries at different current densities.</w:t>
      </w:r>
    </w:p>
    <w:p w:rsidR="006E1AFD" w:rsidRDefault="006E1AFD">
      <w:pPr>
        <w:widowControl/>
        <w:jc w:val="left"/>
        <w:rPr>
          <w:rFonts w:ascii="TimesNewRomanPSMT" w:hAnsi="TimesNewRomanPSMT" w:hint="eastAsia"/>
          <w:sz w:val="24"/>
        </w:rPr>
      </w:pPr>
      <w:r>
        <w:rPr>
          <w:rFonts w:ascii="TimesNewRomanPSMT" w:hAnsi="TimesNewRomanPSMT" w:hint="eastAsia"/>
          <w:sz w:val="24"/>
        </w:rPr>
        <w:br w:type="page"/>
      </w:r>
    </w:p>
    <w:p w:rsidR="00F36FAE" w:rsidRPr="005B3B27" w:rsidRDefault="00F36FAE" w:rsidP="00F36FAE">
      <w:pPr>
        <w:rPr>
          <w:rFonts w:ascii="Times New Roman" w:hAnsi="Times New Roman"/>
          <w:sz w:val="24"/>
          <w:szCs w:val="24"/>
        </w:rPr>
      </w:pPr>
      <w:r w:rsidRPr="005B3B27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</w:t>
      </w:r>
      <w:r w:rsidRPr="005B3B27">
        <w:rPr>
          <w:rFonts w:ascii="Times New Roman" w:hAnsi="Times New Roman" w:hint="eastAsia"/>
          <w:b/>
          <w:bCs/>
          <w:sz w:val="24"/>
          <w:szCs w:val="24"/>
        </w:rPr>
        <w:t>S</w:t>
      </w:r>
      <w:r w:rsidR="00915700" w:rsidRPr="005B3B27">
        <w:rPr>
          <w:rFonts w:ascii="Times New Roman" w:hAnsi="Times New Roman" w:hint="eastAsia"/>
          <w:b/>
          <w:bCs/>
          <w:sz w:val="24"/>
          <w:szCs w:val="24"/>
        </w:rPr>
        <w:t>1</w:t>
      </w:r>
      <w:r w:rsidRPr="005B3B27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Pr="005B3B27">
        <w:rPr>
          <w:rFonts w:ascii="Times New Roman" w:hAnsi="Times New Roman"/>
          <w:sz w:val="24"/>
          <w:szCs w:val="24"/>
        </w:rPr>
        <w:t xml:space="preserve">Adsorption isotherm models and </w:t>
      </w:r>
      <w:r w:rsidR="00FB4A58" w:rsidRPr="005B3B27">
        <w:rPr>
          <w:rFonts w:ascii="Times New Roman" w:hAnsi="Times New Roman"/>
          <w:sz w:val="24"/>
          <w:szCs w:val="24"/>
        </w:rPr>
        <w:t>corresponding parameters</w:t>
      </w:r>
      <w:r w:rsidRPr="005B3B2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236"/>
        <w:gridCol w:w="3280"/>
      </w:tblGrid>
      <w:tr w:rsidR="005B3B27" w:rsidRPr="005B3B27" w:rsidTr="00F36FAE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>Isotherm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eastAsia="GulliverRM" w:hAnsi="Times New Roman"/>
                <w:szCs w:val="21"/>
              </w:rPr>
              <w:t>Equation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eastAsia="GulliverRM" w:hAnsi="Times New Roman"/>
                <w:szCs w:val="21"/>
              </w:rPr>
              <w:t>Parameters</w:t>
            </w:r>
          </w:p>
        </w:tc>
      </w:tr>
      <w:tr w:rsidR="005B3B27" w:rsidRPr="005B3B27" w:rsidTr="00F36FAE">
        <w:trPr>
          <w:trHeight w:val="1616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 xml:space="preserve">Langmuir 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position w:val="-28"/>
                <w:szCs w:val="21"/>
              </w:rPr>
            </w:pPr>
            <w:r w:rsidRPr="005B3B27">
              <w:rPr>
                <w:rFonts w:ascii="Times New Roman" w:hAnsi="Times New Roman"/>
                <w:position w:val="-28"/>
                <w:szCs w:val="21"/>
              </w:rPr>
              <w:object w:dxaOrig="1778" w:dyaOrig="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7" o:spid="_x0000_i1030" type="#_x0000_t75" style="width:89.05pt;height:31.2pt;mso-position-horizontal-relative:page;mso-position-vertical-relative:page" o:ole="">
                  <v:imagedata r:id="rId11" o:title=""/>
                </v:shape>
                <o:OLEObject Type="Embed" ProgID="Equation.3" ShapeID="对象 17" DrawAspect="Content" ObjectID="_1784209577" r:id="rId12">
                  <o:FieldCodes>\* MERGEFORMAT</o:FieldCodes>
                </o:OLEObject>
              </w:object>
            </w: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 xml:space="preserve">Ce is the equilibrium concentration(mg/L) </w:t>
            </w: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>Q</w:t>
            </w:r>
            <w:r w:rsidRPr="005B3B27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5B3B27">
              <w:rPr>
                <w:rFonts w:ascii="Times New Roman" w:hAnsi="Times New Roman"/>
                <w:szCs w:val="21"/>
              </w:rPr>
              <w:t xml:space="preserve"> (mg/g) is adsorption constant related to adsorption capacity </w:t>
            </w: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>K</w:t>
            </w:r>
            <w:r w:rsidRPr="005B3B27">
              <w:rPr>
                <w:rFonts w:ascii="Times New Roman" w:hAnsi="Times New Roman"/>
                <w:szCs w:val="21"/>
                <w:vertAlign w:val="subscript"/>
              </w:rPr>
              <w:t>L</w:t>
            </w:r>
            <w:r w:rsidRPr="005B3B27">
              <w:rPr>
                <w:rFonts w:ascii="Times New Roman" w:hAnsi="Times New Roman"/>
                <w:szCs w:val="21"/>
              </w:rPr>
              <w:t xml:space="preserve"> (L/g) is adsorption constant related to energy of adsorption</w:t>
            </w:r>
          </w:p>
        </w:tc>
      </w:tr>
      <w:tr w:rsidR="00F36FAE" w:rsidRPr="005B3B27" w:rsidTr="00F36FAE">
        <w:tc>
          <w:tcPr>
            <w:tcW w:w="2006" w:type="dxa"/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>Freundlich</w:t>
            </w:r>
          </w:p>
        </w:tc>
        <w:tc>
          <w:tcPr>
            <w:tcW w:w="3236" w:type="dxa"/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position w:val="-24"/>
                <w:szCs w:val="21"/>
              </w:rPr>
              <w:object w:dxaOrig="2485" w:dyaOrig="626">
                <v:shape id="对象 18" o:spid="_x0000_i1031" type="#_x0000_t75" style="width:123.6pt;height:30.8pt;mso-position-horizontal-relative:page;mso-position-vertical-relative:page" o:ole="">
                  <v:imagedata r:id="rId13" o:title=""/>
                </v:shape>
                <o:OLEObject Type="Embed" ProgID="Equation.3" ShapeID="对象 18" DrawAspect="Content" ObjectID="_1784209578" r:id="rId14">
                  <o:FieldCodes>\* MERGEFORMAT</o:FieldCodes>
                </o:OLEObject>
              </w:object>
            </w:r>
          </w:p>
        </w:tc>
        <w:tc>
          <w:tcPr>
            <w:tcW w:w="3280" w:type="dxa"/>
            <w:shd w:val="clear" w:color="auto" w:fill="auto"/>
          </w:tcPr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>K</w:t>
            </w:r>
            <w:r w:rsidRPr="005B3B27">
              <w:rPr>
                <w:rFonts w:ascii="Times New Roman" w:hAnsi="Times New Roman"/>
                <w:szCs w:val="21"/>
                <w:vertAlign w:val="subscript"/>
              </w:rPr>
              <w:t xml:space="preserve">F </w:t>
            </w:r>
            <w:r w:rsidRPr="005B3B27">
              <w:rPr>
                <w:rFonts w:ascii="Times New Roman" w:hAnsi="Times New Roman"/>
                <w:szCs w:val="21"/>
              </w:rPr>
              <w:t xml:space="preserve">is adsorption constant related to adsorption capacity </w:t>
            </w:r>
            <w:r w:rsidRPr="005B3B27">
              <w:rPr>
                <w:rFonts w:ascii="Times New Roman" w:eastAsia="AdvGulliv-R" w:hAnsi="Times New Roman"/>
                <w:szCs w:val="21"/>
              </w:rPr>
              <w:t>(mg/g).(L/mg)</w:t>
            </w:r>
            <w:r w:rsidRPr="005B3B27">
              <w:rPr>
                <w:rFonts w:ascii="Times New Roman" w:hAnsi="Times New Roman"/>
                <w:szCs w:val="21"/>
                <w:vertAlign w:val="superscript"/>
              </w:rPr>
              <w:t>1/n</w:t>
            </w:r>
          </w:p>
          <w:p w:rsidR="00F36FAE" w:rsidRPr="005B3B27" w:rsidRDefault="00F36FAE" w:rsidP="00C829BC">
            <w:pPr>
              <w:rPr>
                <w:rFonts w:ascii="Times New Roman" w:hAnsi="Times New Roman"/>
                <w:szCs w:val="21"/>
              </w:rPr>
            </w:pPr>
            <w:r w:rsidRPr="005B3B27">
              <w:rPr>
                <w:rFonts w:ascii="Times New Roman" w:hAnsi="Times New Roman"/>
                <w:szCs w:val="21"/>
              </w:rPr>
              <w:t>n is adsorption constant measuring the adsorption intensity</w:t>
            </w:r>
          </w:p>
        </w:tc>
      </w:tr>
    </w:tbl>
    <w:p w:rsidR="00756135" w:rsidRPr="005B3B27" w:rsidRDefault="00756135" w:rsidP="00BB0192">
      <w:pPr>
        <w:widowControl/>
        <w:jc w:val="left"/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F36FAE" w:rsidRPr="005B3B27" w:rsidRDefault="00F36FAE" w:rsidP="006866B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6866BF" w:rsidRPr="005B3B27" w:rsidRDefault="006866BF" w:rsidP="006866BF">
      <w:r w:rsidRPr="005B3B27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Table </w:t>
      </w:r>
      <w:r w:rsidRPr="005B3B2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="00035BE6" w:rsidRPr="005B3B2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5B3B2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B3B27">
        <w:rPr>
          <w:rFonts w:ascii="Times New Roman" w:eastAsia="宋体" w:hAnsi="Times New Roman" w:cs="Times New Roman"/>
          <w:sz w:val="24"/>
          <w:szCs w:val="24"/>
        </w:rPr>
        <w:t xml:space="preserve">Adsorption </w:t>
      </w:r>
      <w:r w:rsidRPr="005B3B27">
        <w:rPr>
          <w:rFonts w:ascii="Times New Roman" w:eastAsia="宋体" w:hAnsi="Times New Roman" w:cs="Times New Roman" w:hint="eastAsia"/>
          <w:sz w:val="24"/>
          <w:szCs w:val="24"/>
        </w:rPr>
        <w:t>k</w:t>
      </w:r>
      <w:r w:rsidRPr="005B3B27">
        <w:rPr>
          <w:rFonts w:ascii="Times New Roman" w:eastAsia="宋体" w:hAnsi="Times New Roman" w:cs="Times New Roman"/>
          <w:sz w:val="24"/>
          <w:szCs w:val="24"/>
        </w:rPr>
        <w:t>inetic model</w:t>
      </w:r>
      <w:r w:rsidR="00CD6438" w:rsidRPr="005B3B27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5B3B27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Pr="005B3B27">
        <w:rPr>
          <w:rFonts w:ascii="Times New Roman" w:eastAsia="宋体" w:hAnsi="Times New Roman" w:cs="Times New Roman" w:hint="eastAsia"/>
          <w:sz w:val="24"/>
          <w:szCs w:val="24"/>
        </w:rPr>
        <w:t xml:space="preserve">corresponding </w:t>
      </w:r>
      <w:r w:rsidRPr="005B3B27">
        <w:rPr>
          <w:rFonts w:ascii="Times New Roman" w:eastAsia="宋体" w:hAnsi="Times New Roman" w:cs="Times New Roman"/>
          <w:sz w:val="24"/>
          <w:szCs w:val="24"/>
        </w:rPr>
        <w:t>parameters.</w:t>
      </w:r>
    </w:p>
    <w:tbl>
      <w:tblPr>
        <w:tblStyle w:val="2"/>
        <w:tblW w:w="853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35"/>
        <w:gridCol w:w="3358"/>
      </w:tblGrid>
      <w:tr w:rsidR="005B3B27" w:rsidRPr="005B3B27" w:rsidTr="00D470D9">
        <w:trPr>
          <w:trHeight w:val="29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>Kinetic models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>E</w:t>
            </w:r>
            <w:r w:rsidRPr="005B3B27">
              <w:rPr>
                <w:rFonts w:ascii="Times New Roman" w:eastAsia="GulliverRM" w:hAnsi="Times New Roman"/>
                <w:szCs w:val="18"/>
              </w:rPr>
              <w:t>quation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6866BF" w:rsidRPr="005B3B27" w:rsidRDefault="006866BF" w:rsidP="00D470D9">
            <w:pPr>
              <w:jc w:val="center"/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eastAsia="GulliverRM" w:hAnsi="Times New Roman"/>
                <w:szCs w:val="18"/>
              </w:rPr>
              <w:t>Parameters</w:t>
            </w:r>
          </w:p>
        </w:tc>
      </w:tr>
      <w:tr w:rsidR="005B3B27" w:rsidRPr="005B3B27" w:rsidTr="00D470D9">
        <w:trPr>
          <w:trHeight w:val="1157"/>
        </w:trPr>
        <w:tc>
          <w:tcPr>
            <w:tcW w:w="2943" w:type="dxa"/>
            <w:tcBorders>
              <w:top w:val="single" w:sz="4" w:space="0" w:color="auto"/>
            </w:tcBorders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</w:p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>Pseudo-first order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</w:p>
          <w:p w:rsidR="006866BF" w:rsidRPr="005B3B27" w:rsidRDefault="005E47A6" w:rsidP="00D470D9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6866BF" w:rsidRPr="005B3B27" w:rsidRDefault="006866BF" w:rsidP="00D470D9">
            <w:pPr>
              <w:jc w:val="center"/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>Q</w:t>
            </w:r>
            <w:r w:rsidRPr="005B3B27">
              <w:rPr>
                <w:rFonts w:ascii="Times New Roman" w:hAnsi="Times New Roman" w:hint="eastAsia"/>
                <w:szCs w:val="18"/>
                <w:vertAlign w:val="subscript"/>
              </w:rPr>
              <w:t>t</w:t>
            </w:r>
            <w:r w:rsidRPr="005B3B27">
              <w:rPr>
                <w:rFonts w:ascii="Times New Roman" w:hAnsi="Times New Roman"/>
                <w:szCs w:val="18"/>
              </w:rPr>
              <w:t xml:space="preserve"> is uptake </w:t>
            </w:r>
            <w:r w:rsidRPr="005B3B27">
              <w:rPr>
                <w:rFonts w:ascii="Times New Roman" w:hAnsi="Times New Roman" w:hint="eastAsia"/>
                <w:szCs w:val="18"/>
              </w:rPr>
              <w:t xml:space="preserve">at time </w:t>
            </w:r>
            <w:r w:rsidRPr="005B3B27">
              <w:rPr>
                <w:rFonts w:ascii="Times New Roman" w:hAnsi="Times New Roman"/>
                <w:szCs w:val="18"/>
              </w:rPr>
              <w:t>(mg/g).</w:t>
            </w:r>
          </w:p>
          <w:p w:rsidR="006866BF" w:rsidRPr="005B3B27" w:rsidRDefault="00D349AA" w:rsidP="00D470D9">
            <w:pPr>
              <w:jc w:val="center"/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 w:hint="eastAsia"/>
                <w:szCs w:val="18"/>
              </w:rPr>
              <w:t>K</w:t>
            </w:r>
            <w:r w:rsidR="006866BF" w:rsidRPr="005B3B27">
              <w:rPr>
                <w:rFonts w:ascii="Times New Roman" w:hAnsi="Times New Roman"/>
                <w:szCs w:val="18"/>
                <w:vertAlign w:val="subscript"/>
              </w:rPr>
              <w:t>1</w:t>
            </w:r>
            <w:r w:rsidR="006866BF" w:rsidRPr="005B3B27">
              <w:rPr>
                <w:rFonts w:ascii="Times New Roman" w:hAnsi="Times New Roman"/>
                <w:szCs w:val="18"/>
              </w:rPr>
              <w:t xml:space="preserve"> </w:t>
            </w:r>
            <w:r w:rsidR="006866BF" w:rsidRPr="005B3B27">
              <w:rPr>
                <w:rFonts w:ascii="Times New Roman" w:hAnsi="Times New Roman" w:hint="eastAsia"/>
                <w:szCs w:val="18"/>
              </w:rPr>
              <w:t xml:space="preserve">means </w:t>
            </w:r>
            <w:r w:rsidR="006866BF" w:rsidRPr="005B3B27">
              <w:rPr>
                <w:rFonts w:ascii="Times New Roman" w:hAnsi="Times New Roman"/>
                <w:szCs w:val="18"/>
              </w:rPr>
              <w:t>adsorption rate constant(1/min)</w:t>
            </w:r>
            <w:r w:rsidR="006866BF" w:rsidRPr="005B3B27">
              <w:rPr>
                <w:rFonts w:ascii="Times New Roman" w:hAnsi="Times New Roman" w:hint="eastAsia"/>
                <w:szCs w:val="18"/>
              </w:rPr>
              <w:t>.</w:t>
            </w:r>
          </w:p>
        </w:tc>
      </w:tr>
      <w:tr w:rsidR="005B3B27" w:rsidRPr="005B3B27" w:rsidTr="00D470D9">
        <w:trPr>
          <w:trHeight w:val="1145"/>
        </w:trPr>
        <w:tc>
          <w:tcPr>
            <w:tcW w:w="2943" w:type="dxa"/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</w:p>
          <w:p w:rsidR="006866BF" w:rsidRPr="005B3B27" w:rsidRDefault="006866BF" w:rsidP="00D470D9">
            <w:pPr>
              <w:rPr>
                <w:rFonts w:ascii="Times New Roman" w:eastAsia="GulliverRM" w:hAnsi="Times New Roman"/>
                <w:szCs w:val="18"/>
              </w:rPr>
            </w:pPr>
            <w:r w:rsidRPr="005B3B27">
              <w:rPr>
                <w:rFonts w:ascii="Times New Roman" w:eastAsia="GulliverRM" w:hAnsi="Times New Roman"/>
                <w:szCs w:val="18"/>
              </w:rPr>
              <w:t>Pseudo-second order</w:t>
            </w:r>
          </w:p>
        </w:tc>
        <w:tc>
          <w:tcPr>
            <w:tcW w:w="2235" w:type="dxa"/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 xml:space="preserve"> </w:t>
            </w:r>
            <w:r w:rsidRPr="005B3B27">
              <w:rPr>
                <w:rFonts w:ascii="Times New Roman" w:eastAsiaTheme="minorEastAsia" w:hAnsi="Times New Roman" w:cstheme="minorBidi"/>
                <w:kern w:val="0"/>
                <w:position w:val="-32"/>
                <w:sz w:val="22"/>
                <w:szCs w:val="18"/>
                <w:lang w:eastAsia="en-US"/>
              </w:rPr>
              <w:object w:dxaOrig="1625" w:dyaOrig="701">
                <v:shape id="对象 22" o:spid="_x0000_i1032" type="#_x0000_t75" style="width:81.55pt;height:35.4pt;mso-position-horizontal-relative:page;mso-position-vertical-relative:page" o:ole="">
                  <v:imagedata r:id="rId15" o:title=""/>
                </v:shape>
                <o:OLEObject Type="Embed" ProgID="Equation.3" ShapeID="对象 22" DrawAspect="Content" ObjectID="_1784209579" r:id="rId16">
                  <o:FieldCodes>\* MERGEFORMAT</o:FieldCodes>
                </o:OLEObject>
              </w:object>
            </w:r>
          </w:p>
        </w:tc>
        <w:tc>
          <w:tcPr>
            <w:tcW w:w="3358" w:type="dxa"/>
          </w:tcPr>
          <w:p w:rsidR="000A04DB" w:rsidRPr="005B3B27" w:rsidRDefault="000A04DB" w:rsidP="00D470D9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6866BF" w:rsidRPr="005B3B27" w:rsidRDefault="006866BF" w:rsidP="00D470D9">
            <w:pPr>
              <w:jc w:val="center"/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>K</w:t>
            </w:r>
            <w:r w:rsidRPr="005B3B27">
              <w:rPr>
                <w:rFonts w:ascii="Times New Roman" w:hAnsi="Times New Roman"/>
                <w:szCs w:val="18"/>
                <w:vertAlign w:val="subscript"/>
              </w:rPr>
              <w:t>2</w:t>
            </w:r>
            <w:r w:rsidRPr="005B3B27">
              <w:rPr>
                <w:rFonts w:ascii="Times New Roman" w:hAnsi="Times New Roman"/>
                <w:szCs w:val="18"/>
              </w:rPr>
              <w:t xml:space="preserve"> </w:t>
            </w:r>
            <w:r w:rsidRPr="005B3B27">
              <w:rPr>
                <w:rFonts w:ascii="Times New Roman" w:hAnsi="Times New Roman" w:hint="eastAsia"/>
                <w:szCs w:val="18"/>
              </w:rPr>
              <w:t>means</w:t>
            </w:r>
            <w:r w:rsidRPr="005B3B27">
              <w:rPr>
                <w:rFonts w:ascii="Times New Roman" w:hAnsi="Times New Roman"/>
                <w:szCs w:val="18"/>
              </w:rPr>
              <w:t xml:space="preserve"> rate constant </w:t>
            </w:r>
            <w:r w:rsidRPr="005B3B27">
              <w:rPr>
                <w:rFonts w:ascii="Times New Roman" w:hAnsi="Times New Roman" w:hint="eastAsia"/>
                <w:szCs w:val="18"/>
              </w:rPr>
              <w:t>(</w:t>
            </w:r>
            <w:r w:rsidRPr="005B3B27">
              <w:rPr>
                <w:rFonts w:ascii="Times New Roman" w:hAnsi="Times New Roman"/>
                <w:szCs w:val="18"/>
              </w:rPr>
              <w:t>g/mg min)</w:t>
            </w:r>
            <w:r w:rsidRPr="005B3B27">
              <w:rPr>
                <w:rFonts w:ascii="Times New Roman" w:hAnsi="Times New Roman" w:hint="eastAsia"/>
                <w:szCs w:val="18"/>
              </w:rPr>
              <w:t>.</w:t>
            </w:r>
          </w:p>
        </w:tc>
      </w:tr>
      <w:tr w:rsidR="006866BF" w:rsidRPr="005B3B27" w:rsidTr="00D470D9">
        <w:trPr>
          <w:trHeight w:val="870"/>
        </w:trPr>
        <w:tc>
          <w:tcPr>
            <w:tcW w:w="2943" w:type="dxa"/>
          </w:tcPr>
          <w:p w:rsidR="006866BF" w:rsidRPr="005B3B27" w:rsidRDefault="006866BF" w:rsidP="00D470D9">
            <w:pPr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eastAsia="GulliverRM" w:hAnsi="Times New Roman"/>
                <w:szCs w:val="18"/>
              </w:rPr>
              <w:t>Intraparticle diffusion</w:t>
            </w:r>
          </w:p>
        </w:tc>
        <w:tc>
          <w:tcPr>
            <w:tcW w:w="2235" w:type="dxa"/>
          </w:tcPr>
          <w:p w:rsidR="006866BF" w:rsidRPr="005B3B27" w:rsidRDefault="005E47A6" w:rsidP="00D349AA">
            <w:pPr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1/2</m:t>
                    </m:r>
                  </m:sup>
                </m:sSup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3358" w:type="dxa"/>
          </w:tcPr>
          <w:p w:rsidR="006866BF" w:rsidRPr="005B3B27" w:rsidRDefault="00D349AA" w:rsidP="00D470D9">
            <w:pPr>
              <w:jc w:val="center"/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 w:hint="eastAsia"/>
                <w:szCs w:val="18"/>
              </w:rPr>
              <w:t>K</w:t>
            </w:r>
            <w:r w:rsidR="006866BF" w:rsidRPr="005B3B27">
              <w:rPr>
                <w:rFonts w:ascii="Times New Roman" w:hAnsi="Times New Roman"/>
                <w:szCs w:val="18"/>
                <w:vertAlign w:val="subscript"/>
              </w:rPr>
              <w:t xml:space="preserve">3 </w:t>
            </w:r>
            <w:r w:rsidR="006866BF" w:rsidRPr="005B3B27">
              <w:rPr>
                <w:rFonts w:ascii="Times New Roman" w:hAnsi="Times New Roman"/>
                <w:szCs w:val="18"/>
              </w:rPr>
              <w:t>(mg/g min</w:t>
            </w:r>
            <w:r w:rsidR="006866BF" w:rsidRPr="005B3B27">
              <w:rPr>
                <w:rFonts w:ascii="Times New Roman" w:hAnsi="Times New Roman"/>
                <w:szCs w:val="18"/>
                <w:vertAlign w:val="superscript"/>
              </w:rPr>
              <w:t>1/2</w:t>
            </w:r>
            <w:r w:rsidR="006866BF" w:rsidRPr="005B3B27">
              <w:rPr>
                <w:rFonts w:ascii="Times New Roman" w:hAnsi="Times New Roman"/>
                <w:szCs w:val="18"/>
              </w:rPr>
              <w:t>) is rate constant</w:t>
            </w:r>
          </w:p>
          <w:p w:rsidR="006866BF" w:rsidRPr="005B3B27" w:rsidRDefault="006866BF" w:rsidP="00D470D9">
            <w:pPr>
              <w:jc w:val="center"/>
              <w:rPr>
                <w:rFonts w:ascii="Times New Roman" w:hAnsi="Times New Roman"/>
                <w:szCs w:val="18"/>
              </w:rPr>
            </w:pPr>
            <w:r w:rsidRPr="005B3B27">
              <w:rPr>
                <w:rFonts w:ascii="Times New Roman" w:hAnsi="Times New Roman"/>
                <w:szCs w:val="18"/>
              </w:rPr>
              <w:t>C is a constant</w:t>
            </w:r>
            <w:r w:rsidRPr="005B3B27">
              <w:rPr>
                <w:rFonts w:ascii="Times New Roman" w:hAnsi="Times New Roman" w:hint="eastAsia"/>
                <w:szCs w:val="18"/>
              </w:rPr>
              <w:t>.</w:t>
            </w:r>
          </w:p>
        </w:tc>
      </w:tr>
    </w:tbl>
    <w:p w:rsidR="006866BF" w:rsidRPr="005B3B27" w:rsidRDefault="006866BF" w:rsidP="006866BF"/>
    <w:p w:rsidR="006866BF" w:rsidRPr="005B3B27" w:rsidRDefault="006866BF">
      <w:pPr>
        <w:widowControl/>
        <w:jc w:val="left"/>
      </w:pPr>
      <w:r w:rsidRPr="005B3B27">
        <w:br w:type="page"/>
      </w:r>
    </w:p>
    <w:p w:rsidR="006866BF" w:rsidRPr="005B3B27" w:rsidRDefault="006866BF">
      <w:pPr>
        <w:widowControl/>
        <w:jc w:val="left"/>
        <w:sectPr w:rsidR="006866BF" w:rsidRPr="005B3B27" w:rsidSect="006866B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512E97" w:rsidRPr="005B3B27" w:rsidRDefault="00DD4B69" w:rsidP="00DD4B69">
      <w:pPr>
        <w:widowControl/>
        <w:jc w:val="left"/>
        <w:rPr>
          <w:rFonts w:ascii="Times New Roman" w:hAnsi="Times New Roman"/>
          <w:sz w:val="24"/>
        </w:rPr>
      </w:pPr>
      <w:r w:rsidRPr="005B3B27">
        <w:rPr>
          <w:rFonts w:ascii="Times New Roman" w:hAnsi="Times New Roman" w:hint="eastAsia"/>
          <w:b/>
          <w:sz w:val="24"/>
        </w:rPr>
        <w:lastRenderedPageBreak/>
        <w:t>T</w:t>
      </w:r>
      <w:r w:rsidRPr="005B3B27">
        <w:rPr>
          <w:rFonts w:ascii="Times New Roman" w:hAnsi="Times New Roman"/>
          <w:b/>
          <w:sz w:val="24"/>
        </w:rPr>
        <w:t xml:space="preserve">able </w:t>
      </w:r>
      <w:r w:rsidR="00C3448D" w:rsidRPr="005B3B27">
        <w:rPr>
          <w:rFonts w:ascii="Times New Roman" w:hAnsi="Times New Roman" w:hint="eastAsia"/>
          <w:b/>
          <w:sz w:val="24"/>
        </w:rPr>
        <w:t>S</w:t>
      </w:r>
      <w:r w:rsidR="002A3444" w:rsidRPr="005B3B27">
        <w:rPr>
          <w:rFonts w:ascii="Times New Roman" w:hAnsi="Times New Roman" w:hint="eastAsia"/>
          <w:b/>
          <w:sz w:val="24"/>
        </w:rPr>
        <w:t>3</w:t>
      </w:r>
      <w:r w:rsidR="00C3448D" w:rsidRPr="005B3B27">
        <w:rPr>
          <w:rFonts w:ascii="Times New Roman" w:hAnsi="Times New Roman" w:hint="eastAsia"/>
          <w:sz w:val="24"/>
        </w:rPr>
        <w:t xml:space="preserve"> </w:t>
      </w:r>
      <w:r w:rsidR="006574C3" w:rsidRPr="005B3B27">
        <w:rPr>
          <w:rFonts w:ascii="Times New Roman" w:hAnsi="Times New Roman"/>
          <w:sz w:val="24"/>
        </w:rPr>
        <w:t>Comparison</w:t>
      </w:r>
      <w:r w:rsidR="006574C3" w:rsidRPr="005B3B27">
        <w:rPr>
          <w:rFonts w:ascii="Times New Roman" w:hAnsi="Times New Roman" w:hint="eastAsia"/>
          <w:sz w:val="24"/>
        </w:rPr>
        <w:t xml:space="preserve"> of </w:t>
      </w:r>
      <w:r w:rsidRPr="005B3B27">
        <w:rPr>
          <w:rFonts w:ascii="Times New Roman" w:hAnsi="Times New Roman"/>
          <w:sz w:val="24"/>
        </w:rPr>
        <w:t>Cd</w:t>
      </w:r>
      <w:r w:rsidRPr="005B3B27">
        <w:rPr>
          <w:rFonts w:ascii="Times New Roman" w:hAnsi="Times New Roman"/>
          <w:sz w:val="24"/>
          <w:vertAlign w:val="superscript"/>
        </w:rPr>
        <w:t>2+</w:t>
      </w:r>
      <w:r w:rsidRPr="005B3B27">
        <w:rPr>
          <w:rFonts w:ascii="Times New Roman" w:hAnsi="Times New Roman" w:hint="eastAsia"/>
          <w:sz w:val="24"/>
          <w:vertAlign w:val="superscript"/>
        </w:rPr>
        <w:t xml:space="preserve"> </w:t>
      </w:r>
      <w:r w:rsidRPr="005B3B27">
        <w:rPr>
          <w:rFonts w:ascii="Times New Roman" w:hAnsi="Times New Roman"/>
          <w:sz w:val="24"/>
        </w:rPr>
        <w:t xml:space="preserve">adsorption </w:t>
      </w:r>
      <w:r w:rsidRPr="005B3B27">
        <w:rPr>
          <w:rFonts w:ascii="Times New Roman" w:hAnsi="Times New Roman" w:hint="eastAsia"/>
          <w:sz w:val="24"/>
        </w:rPr>
        <w:t>amount</w:t>
      </w:r>
      <w:r w:rsidRPr="005B3B27">
        <w:rPr>
          <w:rFonts w:ascii="Times New Roman" w:hAnsi="Times New Roman"/>
          <w:sz w:val="24"/>
        </w:rPr>
        <w:t xml:space="preserve"> </w:t>
      </w:r>
      <w:r w:rsidR="006574C3" w:rsidRPr="005B3B27">
        <w:rPr>
          <w:rFonts w:ascii="Times New Roman" w:hAnsi="Times New Roman" w:hint="eastAsia"/>
          <w:sz w:val="24"/>
        </w:rPr>
        <w:t>on</w:t>
      </w:r>
      <w:r w:rsidRPr="005B3B27">
        <w:rPr>
          <w:rFonts w:ascii="Times New Roman" w:hAnsi="Times New Roman"/>
          <w:sz w:val="24"/>
        </w:rPr>
        <w:t xml:space="preserve"> various </w:t>
      </w:r>
      <w:r w:rsidRPr="005B3B27">
        <w:rPr>
          <w:rFonts w:ascii="Times New Roman" w:hAnsi="Times New Roman" w:hint="eastAsia"/>
          <w:sz w:val="24"/>
        </w:rPr>
        <w:t>biochar</w:t>
      </w:r>
      <w:r w:rsidR="00C3448D" w:rsidRPr="005B3B27">
        <w:rPr>
          <w:rFonts w:ascii="Times New Roman" w:hAnsi="Times New Roman"/>
          <w:sz w:val="24"/>
        </w:rPr>
        <w:t>s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1604"/>
        <w:gridCol w:w="6045"/>
      </w:tblGrid>
      <w:tr w:rsidR="00A30FA4" w:rsidRPr="005B3B27" w:rsidTr="00A30FA4">
        <w:trPr>
          <w:trHeight w:val="631"/>
          <w:jc w:val="center"/>
        </w:trPr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bCs/>
                <w:szCs w:val="21"/>
                <w:lang w:val="en-GB"/>
              </w:rPr>
              <w:t>Biochar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0FA4" w:rsidRPr="005B3B27" w:rsidRDefault="00A30FA4" w:rsidP="002B49C6">
            <w:pPr>
              <w:rPr>
                <w:rFonts w:ascii="Times New Roman" w:eastAsia="Times New Roman" w:hAnsi="Times New Roman" w:cs="Times New Roman"/>
                <w:bCs/>
                <w:szCs w:val="21"/>
                <w:lang w:val="en-GB" w:eastAsia="cs-CZ"/>
              </w:rPr>
            </w:pPr>
            <w:r w:rsidRPr="00A30FA4">
              <w:rPr>
                <w:rFonts w:ascii="Times New Roman" w:eastAsia="Times New Roman" w:hAnsi="Times New Roman" w:cs="Times New Roman"/>
                <w:bCs/>
                <w:szCs w:val="21"/>
                <w:lang w:val="en-GB" w:eastAsia="cs-CZ"/>
              </w:rPr>
              <w:t>Cd</w:t>
            </w:r>
            <w:r w:rsidRPr="00A30FA4">
              <w:rPr>
                <w:rFonts w:ascii="Times New Roman" w:eastAsia="Times New Roman" w:hAnsi="Times New Roman" w:cs="Times New Roman"/>
                <w:bCs/>
                <w:szCs w:val="21"/>
                <w:vertAlign w:val="superscript"/>
                <w:lang w:val="en-GB" w:eastAsia="cs-CZ"/>
              </w:rPr>
              <w:t>2+</w:t>
            </w:r>
            <w:r w:rsidRPr="00A30FA4">
              <w:rPr>
                <w:rFonts w:ascii="Times New Roman" w:eastAsia="Times New Roman" w:hAnsi="Times New Roman" w:cs="Times New Roman"/>
                <w:bCs/>
                <w:szCs w:val="21"/>
                <w:lang w:val="en-GB" w:eastAsia="cs-CZ"/>
              </w:rPr>
              <w:t xml:space="preserve"> adsorption amount</w:t>
            </w: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b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bCs/>
                <w:szCs w:val="21"/>
                <w:lang w:val="en-GB" w:eastAsia="cs-CZ"/>
              </w:rPr>
              <w:t>Reference</w:t>
            </w:r>
          </w:p>
        </w:tc>
      </w:tr>
      <w:tr w:rsidR="00A30FA4" w:rsidRPr="005B3B27" w:rsidTr="00A30FA4">
        <w:trPr>
          <w:trHeight w:val="345"/>
          <w:jc w:val="center"/>
        </w:trPr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FA4" w:rsidRPr="005B3B27" w:rsidRDefault="00A30FA4" w:rsidP="002A3444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MPCS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i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53.17</w:t>
            </w:r>
          </w:p>
        </w:tc>
        <w:tc>
          <w:tcPr>
            <w:tcW w:w="21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This study</w:t>
            </w:r>
          </w:p>
        </w:tc>
      </w:tr>
      <w:tr w:rsidR="00A30FA4" w:rsidRPr="005B3B27" w:rsidTr="00A30FA4">
        <w:trPr>
          <w:trHeight w:val="345"/>
          <w:jc w:val="center"/>
        </w:trPr>
        <w:tc>
          <w:tcPr>
            <w:tcW w:w="2287" w:type="pct"/>
            <w:shd w:val="clear" w:color="auto" w:fill="auto"/>
            <w:vAlign w:val="center"/>
          </w:tcPr>
          <w:p w:rsidR="00A30FA4" w:rsidRPr="005B3B27" w:rsidRDefault="00A30FA4" w:rsidP="002A3444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CPCS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30FA4" w:rsidRPr="005B3B27" w:rsidRDefault="00A30FA4" w:rsidP="002A3444">
            <w:pPr>
              <w:jc w:val="center"/>
              <w:rPr>
                <w:rFonts w:ascii="Times New Roman" w:hAnsi="Times New Roman" w:cs="Times New Roman"/>
                <w:i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t>4</w:t>
            </w: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7</w: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t>.3</w:t>
            </w: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0</w:t>
            </w:r>
          </w:p>
        </w:tc>
        <w:tc>
          <w:tcPr>
            <w:tcW w:w="2144" w:type="pct"/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This study</w:t>
            </w:r>
          </w:p>
        </w:tc>
      </w:tr>
      <w:tr w:rsidR="00A30FA4" w:rsidRPr="005B3B27" w:rsidTr="00A30FA4">
        <w:trPr>
          <w:trHeight w:val="417"/>
          <w:jc w:val="center"/>
        </w:trPr>
        <w:tc>
          <w:tcPr>
            <w:tcW w:w="2287" w:type="pct"/>
            <w:shd w:val="clear" w:color="auto" w:fill="auto"/>
            <w:vAlign w:val="center"/>
            <w:hideMark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Rice straw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t>33.7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A30FA4" w:rsidRPr="005B3B27" w:rsidRDefault="00A30FA4" w:rsidP="00A43E33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begin"/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instrText xml:space="preserve"> ADDIN EN.CITE &lt;EndNote&gt;&lt;Cite&gt;&lt;Author&gt;Han&lt;/Author&gt;&lt;Year&gt;2013&lt;/Year&gt;&lt;RecNum&gt;1220&lt;/RecNum&gt;&lt;DisplayText&gt;(Han et al., 2013)&lt;/DisplayText&gt;&lt;record&gt;&lt;rec-number&gt;1220&lt;/rec-number&gt;&lt;foreign-keys&gt;&lt;key app="EN" db-id="zx0zf09wqvxxwze05sfpf0pe0wrpfars2wzw"&gt;1220&lt;/key&gt;&lt;/foreign-keys&gt;&lt;ref-type name="Journal Article"&gt;17&lt;/ref-type&gt;&lt;contributors&gt;&lt;authors&gt;&lt;author&gt;Han, Yanxue&lt;/author&gt;&lt;author&gt;Boateng, Akwasi A.&lt;/author&gt;&lt;author&gt;Qi, Phoebe X.&lt;/author&gt;&lt;author&gt;Lima, Isabel M.&lt;/author&gt;&lt;author&gt;Chang, Jianmin&lt;/author&gt;&lt;/authors&gt;&lt;/contributors&gt;&lt;titles&gt;&lt;title&gt;Heavy metal and phenol adsorptive properties of biochars from pyrolyzed switchgrass and woody biomass in correlation with surface properties&lt;/title&gt;&lt;secondary-title&gt;Journal of Environmental Management&lt;/secondary-title&gt;&lt;/titles&gt;&lt;periodical&gt;&lt;full-title&gt;Journal of Environmental Management&lt;/full-title&gt;&lt;abbr-1&gt;J. Environ. Manage.&lt;/abbr-1&gt;&lt;abbr-2&gt;J Environ Manage&lt;/abbr-2&gt;&lt;/periodical&gt;&lt;pages&gt;196-204&lt;/pages&gt;&lt;volume&gt;118&lt;/volume&gt;&lt;number&gt;mar.30&lt;/number&gt;&lt;dates&gt;&lt;year&gt;2013&lt;/year&gt;&lt;/dates&gt;&lt;urls&gt;&lt;/urls&gt;&lt;/record&gt;&lt;/Cite&gt;&lt;/EndNote&gt;</w:instrTex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separate"/>
            </w:r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(</w:t>
            </w:r>
            <w:hyperlink w:anchor="_ENREF_5" w:tooltip="Han, 2013 #1220" w:history="1">
              <w:r w:rsidRPr="005B3B27">
                <w:rPr>
                  <w:rFonts w:ascii="Times New Roman" w:hAnsi="Times New Roman" w:cs="Times New Roman"/>
                  <w:noProof/>
                  <w:szCs w:val="21"/>
                  <w:lang w:val="en-GB"/>
                </w:rPr>
                <w:t>Han et al., 2013</w:t>
              </w:r>
            </w:hyperlink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)</w: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end"/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bottom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Sugarcane straw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t>15.7</w:t>
            </w:r>
          </w:p>
        </w:tc>
        <w:tc>
          <w:tcPr>
            <w:tcW w:w="2144" w:type="pct"/>
            <w:tcBorders>
              <w:bottom w:val="nil"/>
            </w:tcBorders>
            <w:shd w:val="clear" w:color="auto" w:fill="auto"/>
            <w:vAlign w:val="center"/>
          </w:tcPr>
          <w:p w:rsidR="00A30FA4" w:rsidRPr="005B3B27" w:rsidRDefault="00A30FA4" w:rsidP="00304F3A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begin"/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instrText xml:space="preserve"> ADDIN EN.CITE &lt;EndNote&gt;&lt;Cite&gt;&lt;Author&gt;Melo&lt;/Author&gt;&lt;Year&gt;2013&lt;/Year&gt;&lt;RecNum&gt;1221&lt;/RecNum&gt;&lt;DisplayText&gt;(Melo et al., 2013)&lt;/DisplayText&gt;&lt;record&gt;&lt;rec-number&gt;1221&lt;/rec-number&gt;&lt;foreign-keys&gt;&lt;key app="EN" db-id="zx0zf09wqvxxwze05sfpf0pe0wrpfars2wzw"&gt;1221&lt;/key&gt;&lt;/foreign-keys&gt;&lt;ref-type name="Journal Article"&gt;17&lt;/ref-type&gt;&lt;contributors&gt;&lt;authors&gt;&lt;author&gt;Melo, Leonidas C. A.&lt;/author&gt;&lt;author&gt;Coscione, Aline R.&lt;/author&gt;&lt;author&gt;Abreu, Cleide A.&lt;/author&gt;&lt;author&gt;Puga, Aline P.&lt;/author&gt;&lt;author&gt;Camargo, Otvio A.&lt;/author&gt;&lt;/authors&gt;&lt;/contributors&gt;&lt;titles&gt;&lt;title&gt;Influence of Pyrolysis Temperature on Cadmium and Zinc Sorption Capacity of Sugar Cane Straw-Derived Biochar&lt;/title&gt;&lt;secondary-title&gt;Bioresources&lt;/secondary-title&gt;&lt;/titles&gt;&lt;periodical&gt;&lt;full-title&gt;BioResources&lt;/full-title&gt;&lt;abbr-1&gt;BioResources&lt;/abbr-1&gt;&lt;abbr-2&gt;BioResources&lt;/abbr-2&gt;&lt;/periodical&gt;&lt;pages&gt;4992-5004&lt;/pages&gt;&lt;volume&gt;8&lt;/volume&gt;&lt;number&gt;4&lt;/number&gt;&lt;dates&gt;&lt;year&gt;2013&lt;/year&gt;&lt;pub-dates&gt;&lt;date&gt;2013&lt;/date&gt;&lt;/pub-dates&gt;&lt;/dates&gt;&lt;isbn&gt;1930-2126&lt;/isbn&gt;&lt;accession-num&gt;WOS:000328280700018&lt;/accession-num&gt;&lt;urls&gt;&lt;related-urls&gt;&lt;url&gt;&amp;lt;Go to ISI&amp;gt;://WOS:000328280700018&lt;/url&gt;&lt;/related-urls&gt;&lt;/urls&gt;&lt;/record&gt;&lt;/Cite&gt;&lt;/EndNote&gt;</w:instrTex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separate"/>
            </w:r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(</w:t>
            </w:r>
            <w:hyperlink w:anchor="_ENREF_11" w:tooltip="Melo, 2013 #1221" w:history="1">
              <w:r w:rsidRPr="005B3B27">
                <w:rPr>
                  <w:rFonts w:ascii="Times New Roman" w:hAnsi="Times New Roman" w:cs="Times New Roman"/>
                  <w:noProof/>
                  <w:szCs w:val="21"/>
                  <w:lang w:val="en-GB"/>
                </w:rPr>
                <w:t>Melo et al., 2013</w:t>
              </w:r>
            </w:hyperlink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)</w: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end"/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Sugarcane straw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8.99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B3B27">
              <w:rPr>
                <w:rFonts w:ascii="Times New Roman" w:hAnsi="Times New Roman" w:cs="Times New Roman"/>
                <w:szCs w:val="21"/>
              </w:rPr>
              <w:t>Melo et al. 2013)</w:t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Sugarcane straw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t>4.5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(</w:t>
            </w: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Melo et al. 2013)</w:t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Miscanthus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11.99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304F3A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begin"/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instrText xml:space="preserve"> ADDIN EN.CITE &lt;EndNote&gt;&lt;Cite&gt;&lt;Author&gt;Kim&lt;/Author&gt;&lt;Year&gt;2013&lt;/Year&gt;&lt;RecNum&gt;1222&lt;/RecNum&gt;&lt;DisplayText&gt;(Kim et al., 2013)&lt;/DisplayText&gt;&lt;record&gt;&lt;rec-number&gt;1222&lt;/rec-number&gt;&lt;foreign-keys&gt;&lt;key app="EN" db-id="zx0zf09wqvxxwze05sfpf0pe0wrpfars2wzw"&gt;1222&lt;/key&gt;&lt;/foreign-keys&gt;&lt;ref-type name="Journal Article"&gt;17&lt;/ref-type&gt;&lt;contributors&gt;&lt;authors&gt;&lt;author&gt;Kim, Woong-Ki&lt;/author&gt;&lt;author&gt;Shim, Taeyong&lt;/author&gt;&lt;author&gt;Kim, Yong-Seong&lt;/author&gt;&lt;author&gt;Hyun, Seunghun&lt;/author&gt;&lt;author&gt;Ryu, Changkook&lt;/author&gt;&lt;author&gt;Park, Young-Kwon&lt;/author&gt;&lt;author&gt;Jung, Jinho&lt;/author&gt;&lt;/authors&gt;&lt;/contributors&gt;&lt;titles&gt;&lt;title&gt;Characterization of cadmium removal from aqueous solution by biochar produced from a giant Miscanthus at different pyrolytic temperatures&lt;/title&gt;&lt;secondary-title&gt;Bioresource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266-270&lt;/pages&gt;&lt;volume&gt;138&lt;/volume&gt;&lt;dates&gt;&lt;year&gt;2013&lt;/year&gt;&lt;pub-dates&gt;&lt;date&gt;Jun&lt;/date&gt;&lt;/pub-dates&gt;&lt;/dates&gt;&lt;isbn&gt;0960-8524&lt;/isbn&gt;&lt;accession-num&gt;WOS:000320296600035&lt;/accession-num&gt;&lt;urls&gt;&lt;related-urls&gt;&lt;url&gt;&amp;lt;Go to ISI&amp;gt;://WOS:000320296600035&lt;/url&gt;&lt;/related-urls&gt;&lt;/urls&gt;&lt;electronic-resource-num&gt;10.1016/j.biortech.2013.03.186&lt;/electronic-resource-num&gt;&lt;/record&gt;&lt;/Cite&gt;&lt;/EndNote&gt;</w:instrTex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separate"/>
            </w:r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(</w:t>
            </w:r>
            <w:hyperlink w:anchor="_ENREF_8" w:tooltip="Kim, 2013 #1222" w:history="1">
              <w:r w:rsidRPr="005B3B27">
                <w:rPr>
                  <w:rFonts w:ascii="Times New Roman" w:hAnsi="Times New Roman" w:cs="Times New Roman"/>
                  <w:noProof/>
                  <w:szCs w:val="21"/>
                  <w:lang w:val="en-GB"/>
                </w:rPr>
                <w:t>Kim et al., 2013</w:t>
              </w:r>
            </w:hyperlink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)</w: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end"/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Miscanthus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13.24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(</w:t>
            </w: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Kim et al., 2013</w:t>
            </w: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)</w:t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Miscanthus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12.96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(</w:t>
            </w: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Kim et al., 2013</w:t>
            </w: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)</w:t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Peanut shell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304F3A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begin"/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instrText xml:space="preserve"> ADDIN EN.CITE &lt;EndNote&gt;&lt;Cite&gt;&lt;Author&gt;Wang&lt;/Author&gt;&lt;Year&gt;2015&lt;/Year&gt;&lt;RecNum&gt;1223&lt;/RecNum&gt;&lt;DisplayText&gt;(Wang et al., 2015)&lt;/DisplayText&gt;&lt;record&gt;&lt;rec-number&gt;1223&lt;/rec-number&gt;&lt;foreign-keys&gt;&lt;key app="EN" db-id="zx0zf09wqvxxwze05sfpf0pe0wrpfars2wzw"&gt;1223&lt;/key&gt;&lt;/foreign-keys&gt;&lt;ref-type name="Journal Article"&gt;17&lt;/ref-type&gt;&lt;contributors&gt;&lt;authors&gt;&lt;author&gt;Wang, Zhenyu&lt;/author&gt;&lt;author&gt;Liu, Guocheng&lt;/author&gt;&lt;author&gt;Zheng, Hao&lt;/author&gt;&lt;author&gt;Li, Fengmin&lt;/author&gt;&lt;author&gt;Ngo, Huu Hao&lt;/author&gt;&lt;author&gt;Guo, Wenshan&lt;/author&gt;&lt;author&gt;Liu, Cui&lt;/author&gt;&lt;author&gt;Chen, Lei&lt;/author&gt;&lt;author&gt;Xing, Baoshan&lt;/author&gt;&lt;/authors&gt;&lt;/contributors&gt;&lt;titles&gt;&lt;title&gt;Investigating the mechanisms of biochar&amp;apos;s removal of lead from solution&lt;/title&gt;&lt;secondary-title&gt;Bioresource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308-317&lt;/pages&gt;&lt;volume&gt;177&lt;/volume&gt;&lt;dates&gt;&lt;year&gt;2015&lt;/year&gt;&lt;pub-dates&gt;&lt;date&gt;Feb&lt;/date&gt;&lt;/pub-dates&gt;&lt;/dates&gt;&lt;isbn&gt;0960-8524&lt;/isbn&gt;&lt;accession-num&gt;WOS:000346647100041&lt;/accession-num&gt;&lt;urls&gt;&lt;related-urls&gt;&lt;url&gt;&amp;lt;Go to ISI&amp;gt;://WOS:000346647100041&lt;/url&gt;&lt;/related-urls&gt;&lt;/urls&gt;&lt;electronic-resource-num&gt;10.1016/j.biortech.2014.11.077&lt;/electronic-resource-num&gt;&lt;/record&gt;&lt;/Cite&gt;&lt;/EndNote&gt;</w:instrTex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separate"/>
            </w:r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(</w:t>
            </w:r>
            <w:hyperlink w:anchor="_ENREF_15" w:tooltip="Wang, 2015 #1223" w:history="1">
              <w:r w:rsidRPr="005B3B27">
                <w:rPr>
                  <w:rFonts w:ascii="Times New Roman" w:hAnsi="Times New Roman" w:cs="Times New Roman"/>
                  <w:noProof/>
                  <w:szCs w:val="21"/>
                  <w:lang w:val="en-GB"/>
                </w:rPr>
                <w:t>Wang et al., 2015</w:t>
              </w:r>
            </w:hyperlink>
            <w:r w:rsidRPr="005B3B27">
              <w:rPr>
                <w:rFonts w:ascii="Times New Roman" w:hAnsi="Times New Roman" w:cs="Times New Roman"/>
                <w:noProof/>
                <w:szCs w:val="21"/>
                <w:lang w:val="en-GB"/>
              </w:rPr>
              <w:t>)</w:t>
            </w: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fldChar w:fldCharType="end"/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Peanut shell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EC35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B3B27">
              <w:rPr>
                <w:rFonts w:ascii="Times New Roman" w:hAnsi="Times New Roman" w:cs="Times New Roman"/>
                <w:szCs w:val="21"/>
              </w:rPr>
              <w:t>Wang et al.,</w:t>
            </w:r>
            <w:r w:rsidRPr="005B3B2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B3B27">
              <w:rPr>
                <w:rFonts w:ascii="Times New Roman" w:hAnsi="Times New Roman" w:cs="Times New Roman"/>
                <w:szCs w:val="21"/>
              </w:rPr>
              <w:t>2015</w:t>
            </w:r>
            <w:r w:rsidRPr="005B3B27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iCs/>
                <w:szCs w:val="21"/>
                <w:lang w:val="en-GB" w:eastAsia="cs-CZ"/>
              </w:rPr>
              <w:t>Peanut shell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3B27">
              <w:rPr>
                <w:rFonts w:ascii="Times New Roman" w:hAnsi="Times New Roman" w:cs="Times New Roman"/>
                <w:szCs w:val="21"/>
              </w:rPr>
              <w:t>600</w:t>
            </w:r>
          </w:p>
        </w:tc>
        <w:tc>
          <w:tcPr>
            <w:tcW w:w="2144" w:type="pct"/>
            <w:tcBorders>
              <w:top w:val="nil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5" w:name="_GoBack"/>
            <w:bookmarkEnd w:id="15"/>
            <w:r w:rsidRPr="005B3B27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B3B27">
              <w:rPr>
                <w:rFonts w:ascii="Times New Roman" w:hAnsi="Times New Roman" w:cs="Times New Roman"/>
                <w:szCs w:val="21"/>
              </w:rPr>
              <w:t>Wang et al., 2015</w:t>
            </w:r>
            <w:r w:rsidRPr="005B3B27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A30FA4" w:rsidRPr="005B3B27" w:rsidTr="00A30FA4">
        <w:trPr>
          <w:trHeight w:val="411"/>
          <w:jc w:val="center"/>
        </w:trPr>
        <w:tc>
          <w:tcPr>
            <w:tcW w:w="22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</w:pP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Magnetic oak bark</w:t>
            </w:r>
          </w:p>
        </w:tc>
        <w:tc>
          <w:tcPr>
            <w:tcW w:w="56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0FA4" w:rsidRPr="005B3B27" w:rsidRDefault="00A30FA4" w:rsidP="0086356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/>
                <w:szCs w:val="21"/>
                <w:lang w:val="en-GB"/>
              </w:rPr>
              <w:t>8.33</w:t>
            </w:r>
          </w:p>
        </w:tc>
        <w:tc>
          <w:tcPr>
            <w:tcW w:w="21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0FA4" w:rsidRPr="005B3B27" w:rsidRDefault="00A30FA4" w:rsidP="00C56CEB">
            <w:pPr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(</w:t>
            </w: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>Mohan et al.</w:t>
            </w: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,</w:t>
            </w:r>
            <w:r w:rsidRPr="005B3B27">
              <w:rPr>
                <w:rFonts w:ascii="Times New Roman" w:eastAsia="Times New Roman" w:hAnsi="Times New Roman" w:cs="Times New Roman"/>
                <w:szCs w:val="21"/>
                <w:lang w:val="en-GB" w:eastAsia="cs-CZ"/>
              </w:rPr>
              <w:t xml:space="preserve"> 2014</w:t>
            </w:r>
            <w:r w:rsidRPr="005B3B27">
              <w:rPr>
                <w:rFonts w:ascii="Times New Roman" w:hAnsi="Times New Roman" w:cs="Times New Roman" w:hint="eastAsia"/>
                <w:szCs w:val="21"/>
                <w:lang w:val="en-GB"/>
              </w:rPr>
              <w:t>)</w:t>
            </w:r>
          </w:p>
        </w:tc>
      </w:tr>
    </w:tbl>
    <w:p w:rsidR="00E943D5" w:rsidRPr="005B3B27" w:rsidRDefault="00E943D5">
      <w:r w:rsidRPr="005B3B27">
        <w:rPr>
          <w:rFonts w:hint="eastAsia"/>
        </w:rPr>
        <w:br/>
      </w:r>
    </w:p>
    <w:p w:rsidR="00E943D5" w:rsidRPr="005B3B27" w:rsidRDefault="00E943D5" w:rsidP="00E943D5">
      <w:pPr>
        <w:widowControl/>
        <w:jc w:val="left"/>
        <w:sectPr w:rsidR="00E943D5" w:rsidRPr="005B3B27" w:rsidSect="00F6606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5B3B27">
        <w:br w:type="page"/>
      </w:r>
    </w:p>
    <w:p w:rsidR="00F66063" w:rsidRPr="005B3B27" w:rsidRDefault="008B00C7">
      <w:pPr>
        <w:rPr>
          <w:rFonts w:ascii="Times New Roman" w:hAnsi="Times New Roman" w:cs="Times New Roman"/>
          <w:b/>
          <w:sz w:val="28"/>
          <w:szCs w:val="28"/>
        </w:rPr>
      </w:pPr>
      <w:r w:rsidRPr="005B3B27">
        <w:rPr>
          <w:rFonts w:ascii="Times New Roman" w:hAnsi="Times New Roman" w:cs="Times New Roman"/>
          <w:b/>
          <w:sz w:val="28"/>
          <w:szCs w:val="28"/>
        </w:rPr>
        <w:lastRenderedPageBreak/>
        <w:t>Reference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Cao, X., Ma, L., Gao, B., Harris, W., 2009. Dairy-Manure Derived Biochar Effectively Sorbs Lead and Atrazine. Environ. Sci. Technol. 43(9), 3285-3291.</w:t>
      </w:r>
    </w:p>
    <w:p w:rsidR="00405012" w:rsidRPr="005B3B27" w:rsidRDefault="00405012" w:rsidP="00405012">
      <w:pPr>
        <w:spacing w:line="480" w:lineRule="auto"/>
        <w:ind w:left="480" w:hangingChars="200" w:hanging="480"/>
        <w:rPr>
          <w:rFonts w:ascii="Times New Roman" w:hAnsi="Times New Roman" w:cs="Times New Roman"/>
          <w:bCs/>
          <w:sz w:val="24"/>
          <w:szCs w:val="24"/>
        </w:rPr>
      </w:pPr>
      <w:r w:rsidRPr="005B3B27">
        <w:rPr>
          <w:rFonts w:ascii="Times New Roman" w:hAnsi="Times New Roman" w:cs="Times New Roman"/>
          <w:bCs/>
          <w:sz w:val="24"/>
          <w:szCs w:val="24"/>
        </w:rPr>
        <w:t>Chen, W., Yang, H., Chen, Y., Xia, M., Yang, Z., Wang, X., Chen, H., 2017. Algae pyrolytic poly-generation: Influence of component difference and temperature on products characteristics. Energy 131, 1-12.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Cheng, S., Chen, Q., Xia, H., Zhang, L., Peng, J., Lin, G., Liao, X., Jiang, X., Zhang, Q., 2018. Microwave one-pot production of ZnO/Fe</w:t>
      </w:r>
      <w:r w:rsidRPr="005B3B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B3B27">
        <w:rPr>
          <w:rFonts w:ascii="Times New Roman" w:hAnsi="Times New Roman" w:cs="Times New Roman"/>
          <w:sz w:val="24"/>
          <w:szCs w:val="24"/>
        </w:rPr>
        <w:t>O</w:t>
      </w:r>
      <w:r w:rsidRPr="005B3B2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B3B27">
        <w:rPr>
          <w:rFonts w:ascii="Times New Roman" w:hAnsi="Times New Roman" w:cs="Times New Roman"/>
          <w:sz w:val="24"/>
          <w:szCs w:val="24"/>
        </w:rPr>
        <w:t>/activated carbon composite for organic dye removal and the pyrolysis exhaust recycle. Journal of Cleaner Production 188, 900-910.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Cheng, S., Hu, W., Srinivasakannan, C., Xia, H., Zhang, L., Peng, J., Zhou, J., Lin, G., Zhang, Q., 2019. Catalytic pyrolysis of the Eupatorium adenophorum to prepare photocatalyst-adsorbent composite for dye removal. Journal of Cleaner Production 222, 710-721.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Cui, X., Fang, S., Yao, Y., Li, T., Ni, Q., Yang, X., He, Z., 2016. Potential mechanisms of cadmium removal from aqueous solution by Canna indica derived biochar. Science of the Total Environment 562, 517-525.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Han, Y., Boateng, A.A., Qi, P.X., Lima, I.M., Chang, J., 2013. Heavy metal and phenol adsorptive properties of biochars from pyrolyzed switchgrass and woody biomass in correlation with surface properties. J. Environ. Manage. 118(mar.30), 196-204.</w:t>
      </w:r>
    </w:p>
    <w:p w:rsidR="00F979F6" w:rsidRPr="005B3B27" w:rsidRDefault="000A44E7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Ho, S.H., Chen, Y.</w:t>
      </w:r>
      <w:r w:rsidRPr="005B3B27">
        <w:rPr>
          <w:rFonts w:ascii="Times New Roman" w:hAnsi="Times New Roman" w:cs="Times New Roman" w:hint="eastAsia"/>
          <w:sz w:val="24"/>
          <w:szCs w:val="24"/>
        </w:rPr>
        <w:t>D</w:t>
      </w:r>
      <w:r w:rsidR="00F979F6" w:rsidRPr="005B3B27">
        <w:rPr>
          <w:rFonts w:ascii="Times New Roman" w:hAnsi="Times New Roman" w:cs="Times New Roman"/>
          <w:sz w:val="24"/>
          <w:szCs w:val="24"/>
        </w:rPr>
        <w:t>., Yang, Z.</w:t>
      </w:r>
      <w:r w:rsidRPr="005B3B27">
        <w:rPr>
          <w:rFonts w:ascii="Times New Roman" w:hAnsi="Times New Roman" w:cs="Times New Roman" w:hint="eastAsia"/>
          <w:sz w:val="24"/>
          <w:szCs w:val="24"/>
        </w:rPr>
        <w:t>K</w:t>
      </w:r>
      <w:r w:rsidRPr="005B3B27">
        <w:rPr>
          <w:rFonts w:ascii="Times New Roman" w:hAnsi="Times New Roman" w:cs="Times New Roman"/>
          <w:sz w:val="24"/>
          <w:szCs w:val="24"/>
        </w:rPr>
        <w:t>., Nagarajan, D., Chang, J.</w:t>
      </w:r>
      <w:r w:rsidR="00F979F6" w:rsidRPr="005B3B27">
        <w:rPr>
          <w:rFonts w:ascii="Times New Roman" w:hAnsi="Times New Roman" w:cs="Times New Roman"/>
          <w:sz w:val="24"/>
          <w:szCs w:val="24"/>
        </w:rPr>
        <w:t>S., Ren, N.</w:t>
      </w:r>
      <w:r w:rsidRPr="005B3B27">
        <w:rPr>
          <w:rFonts w:ascii="Times New Roman" w:hAnsi="Times New Roman" w:cs="Times New Roman" w:hint="eastAsia"/>
          <w:sz w:val="24"/>
          <w:szCs w:val="24"/>
        </w:rPr>
        <w:t>Q</w:t>
      </w:r>
      <w:r w:rsidR="00F979F6" w:rsidRPr="005B3B27">
        <w:rPr>
          <w:rFonts w:ascii="Times New Roman" w:hAnsi="Times New Roman" w:cs="Times New Roman"/>
          <w:sz w:val="24"/>
          <w:szCs w:val="24"/>
        </w:rPr>
        <w:t>., 2017. High-efficiency removal of lead from wastewater by biochar derived from anaerobic digestion sludge. Bioresour. Technol. 246, 142-149.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Inyang, M., Gao, B., Yao, Y., Xue, Y., Zimmerman, A.R., Pullammanappallil, P., Cao, X., 2012. Removal of heavy metals from aqueous solution by biochars derived from anaerobically digested biomass. Bioresour. Technol. 110, 50-56.</w:t>
      </w:r>
    </w:p>
    <w:p w:rsidR="00F979F6" w:rsidRPr="005B3B27" w:rsidRDefault="000A44E7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Kim, W.</w:t>
      </w:r>
      <w:r w:rsidR="00F979F6" w:rsidRPr="005B3B27">
        <w:rPr>
          <w:rFonts w:ascii="Times New Roman" w:hAnsi="Times New Roman" w:cs="Times New Roman"/>
          <w:sz w:val="24"/>
          <w:szCs w:val="24"/>
        </w:rPr>
        <w:t>K., Shim, T.,</w:t>
      </w:r>
      <w:r w:rsidR="009C4082" w:rsidRPr="005B3B27">
        <w:rPr>
          <w:rFonts w:ascii="Times New Roman" w:hAnsi="Times New Roman" w:cs="Times New Roman"/>
          <w:sz w:val="24"/>
          <w:szCs w:val="24"/>
        </w:rPr>
        <w:t xml:space="preserve"> Kim, Y.</w:t>
      </w:r>
      <w:r w:rsidRPr="005B3B27">
        <w:rPr>
          <w:rFonts w:ascii="Times New Roman" w:hAnsi="Times New Roman" w:cs="Times New Roman"/>
          <w:sz w:val="24"/>
          <w:szCs w:val="24"/>
        </w:rPr>
        <w:t>S., Hyun, S., Ryu, C., Park, Y.</w:t>
      </w:r>
      <w:r w:rsidR="00F979F6" w:rsidRPr="005B3B27">
        <w:rPr>
          <w:rFonts w:ascii="Times New Roman" w:hAnsi="Times New Roman" w:cs="Times New Roman"/>
          <w:sz w:val="24"/>
          <w:szCs w:val="24"/>
        </w:rPr>
        <w:t xml:space="preserve">K., Jung, J., 2013. </w:t>
      </w:r>
      <w:r w:rsidR="00F979F6" w:rsidRPr="005B3B27">
        <w:rPr>
          <w:rFonts w:ascii="Times New Roman" w:hAnsi="Times New Roman" w:cs="Times New Roman"/>
          <w:sz w:val="24"/>
          <w:szCs w:val="24"/>
        </w:rPr>
        <w:lastRenderedPageBreak/>
        <w:t>Characterization of cadmium removal from aqueous solution by biochar produced from a giant Miscanthus at different pyrolytic temperatures. Bioresour. Technol. 138, 266-270.</w:t>
      </w:r>
    </w:p>
    <w:p w:rsidR="00F979F6" w:rsidRPr="005B3B27" w:rsidRDefault="000A44E7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5B3B27">
        <w:rPr>
          <w:rFonts w:ascii="Times New Roman" w:hAnsi="Times New Roman" w:cs="Times New Roman"/>
          <w:sz w:val="24"/>
          <w:szCs w:val="24"/>
        </w:rPr>
        <w:t>Ko?odyńska</w:t>
      </w:r>
      <w:proofErr w:type="gramEnd"/>
      <w:r w:rsidRPr="005B3B27">
        <w:rPr>
          <w:rFonts w:ascii="Times New Roman" w:hAnsi="Times New Roman" w:cs="Times New Roman"/>
          <w:sz w:val="24"/>
          <w:szCs w:val="24"/>
        </w:rPr>
        <w:t>, D., Wn</w:t>
      </w:r>
      <w:r w:rsidR="00F979F6" w:rsidRPr="005B3B27">
        <w:rPr>
          <w:rFonts w:ascii="Times New Roman" w:hAnsi="Times New Roman" w:cs="Times New Roman"/>
          <w:sz w:val="24"/>
          <w:szCs w:val="24"/>
        </w:rPr>
        <w:t>trzak, R., Leahy, J.J., Hayes, M.H.B., Kwapiński, W., Hubicki, Z., 2012. Kinetic and adsorptive characterization of biochar in metal ions removal. Chem. Eng. J. 197, 295</w:t>
      </w:r>
      <w:r w:rsidR="00F704D3" w:rsidRPr="005B3B27">
        <w:rPr>
          <w:rFonts w:ascii="Times New Roman" w:hAnsi="Times New Roman" w:cs="Times New Roman" w:hint="eastAsia"/>
          <w:sz w:val="24"/>
          <w:szCs w:val="24"/>
        </w:rPr>
        <w:t>-</w:t>
      </w:r>
      <w:r w:rsidR="00F979F6" w:rsidRPr="005B3B27">
        <w:rPr>
          <w:rFonts w:ascii="Times New Roman" w:hAnsi="Times New Roman" w:cs="Times New Roman"/>
          <w:sz w:val="24"/>
          <w:szCs w:val="24"/>
        </w:rPr>
        <w:t>305.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Lu, H., Zhang, W., Yang, Y., Huang, X., Wang, S., Qiu, R., 201</w:t>
      </w:r>
      <w:r w:rsidR="00F704D3" w:rsidRPr="005B3B2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6" w:name="OLE_LINK28"/>
      <w:r w:rsidR="00F704D3" w:rsidRPr="005B3B27">
        <w:rPr>
          <w:rFonts w:ascii="Times New Roman" w:hAnsi="Times New Roman" w:cs="Times New Roman"/>
          <w:sz w:val="24"/>
          <w:szCs w:val="24"/>
        </w:rPr>
        <w:t>Relative distribution of Pb</w:t>
      </w:r>
      <w:r w:rsidR="00F704D3" w:rsidRPr="005B3B2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B3B27">
        <w:rPr>
          <w:rFonts w:ascii="Times New Roman" w:hAnsi="Times New Roman" w:cs="Times New Roman"/>
          <w:sz w:val="24"/>
          <w:szCs w:val="24"/>
        </w:rPr>
        <w:t xml:space="preserve"> sorption mechanisms by sludge-derived biochar</w:t>
      </w:r>
      <w:bookmarkEnd w:id="16"/>
      <w:r w:rsidRPr="005B3B27">
        <w:rPr>
          <w:rFonts w:ascii="Times New Roman" w:hAnsi="Times New Roman" w:cs="Times New Roman"/>
          <w:sz w:val="24"/>
          <w:szCs w:val="24"/>
        </w:rPr>
        <w:t xml:space="preserve">. Water Research 46(3), </w:t>
      </w:r>
      <w:r w:rsidR="00FB26FD" w:rsidRPr="005B3B27">
        <w:rPr>
          <w:rFonts w:ascii="Times New Roman" w:hAnsi="Times New Roman" w:cs="Times New Roman"/>
          <w:sz w:val="24"/>
          <w:szCs w:val="24"/>
        </w:rPr>
        <w:t>854-862</w:t>
      </w:r>
      <w:r w:rsidRPr="005B3B27">
        <w:rPr>
          <w:rFonts w:ascii="Times New Roman" w:hAnsi="Times New Roman" w:cs="Times New Roman"/>
          <w:sz w:val="24"/>
          <w:szCs w:val="24"/>
        </w:rPr>
        <w:t>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Melo, L.C.A., Coscione, A.R., Abreu, C.A., Puga, A.P., Camargo, O.A., 2013. Influence of Pyrolysis Temperature on Cadmium and Zinc Sorption Capacity of Sugar Cane Straw-Derived Biochar. BioResources 8(4), 4992-5004.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Mohan, D., Kumar, H., Sarswat, A., Alexandre-Franco, M., Pittman, C.U., Jr., 2014. Cadmium and lead remediation using magnetic oak wood and oak bark fast pyrolysis bio-chars. Chem. Eng. J. 236, 513-528.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Mohan, D., Pittman, C.U., Jr., Bricka, M., Smith, F., Yancey, B., Mohammad, J., Steele, P.H., Alexandre-Franco, M.F., Gomez-Serrano, V., Gong, H., 2007. Sorption of arsenic, cadmium, and lead by chars produced from fast pyrolysis of wood and bark during bio-oil production. J. Colloid Interface Sci. 310(1), 57-73.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Trakal, L., Bingol, D., Pohorely, M., Hruska, M., Komarek, M., 2014. Geochemical and spectroscopic investigations of Cd and Pb sorption mechanisms on contrasting biochars: Engineering implications. Bioresour. Technol. 171, 442-451.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Wang, Z., Liu, G., Zheng, H., Li, F., Ngo, H.H., Guo, W., Liu, C., Chen, L., Xing, B., 2015. Investigating the mechanisms of biochar's removal of lead from solution. Bioresour. Technol. 177, 308-317.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>Zhang, C., Shan, B., Tang, W., Zhu, Y., 2017. Comparison of cadmium and lead sorption by Phyllostachys pubescens biochar produced under a low-oxygen pyrolysis atmosphere. Bioresour. Technol. 238, 352-360.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B3B27">
        <w:rPr>
          <w:rFonts w:ascii="Times New Roman" w:hAnsi="Times New Roman" w:cs="Times New Roman"/>
          <w:sz w:val="24"/>
          <w:szCs w:val="24"/>
        </w:rPr>
        <w:t xml:space="preserve">Zhang, W., Mao, S., Chen, H., Huang, L., Qiu, R., 2013. </w:t>
      </w:r>
      <w:proofErr w:type="gramStart"/>
      <w:r w:rsidRPr="005B3B27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5B3B27">
        <w:rPr>
          <w:rFonts w:ascii="Times New Roman" w:hAnsi="Times New Roman" w:cs="Times New Roman"/>
          <w:sz w:val="24"/>
          <w:szCs w:val="24"/>
        </w:rPr>
        <w:t xml:space="preserve">II) and Cr(VI) sorption </w:t>
      </w:r>
      <w:r w:rsidRPr="005B3B27">
        <w:rPr>
          <w:rFonts w:ascii="Times New Roman" w:hAnsi="Times New Roman" w:cs="Times New Roman"/>
          <w:sz w:val="24"/>
          <w:szCs w:val="24"/>
        </w:rPr>
        <w:lastRenderedPageBreak/>
        <w:t>by biochars pyrolyzed from the municipal wastewater sludge under different heating conditions. Bioresour. Technol. 147, 545-552.</w:t>
      </w:r>
    </w:p>
    <w:p w:rsidR="00F979F6" w:rsidRPr="005B3B27" w:rsidRDefault="00F979F6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043FBE" w:rsidRPr="005B3B27" w:rsidRDefault="00043FBE" w:rsidP="00405012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sectPr w:rsidR="00043FBE" w:rsidRPr="005B3B27" w:rsidSect="00F660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A6" w:rsidRDefault="005E47A6" w:rsidP="00025D72">
      <w:r>
        <w:separator/>
      </w:r>
    </w:p>
  </w:endnote>
  <w:endnote w:type="continuationSeparator" w:id="0">
    <w:p w:rsidR="005E47A6" w:rsidRDefault="005E47A6" w:rsidP="000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Gulliv-R">
    <w:altName w:val="STSong-Light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AdvPSMP13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lliverRM">
    <w:altName w:val="Malgun Gothic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A6" w:rsidRDefault="005E47A6" w:rsidP="00025D72">
      <w:r>
        <w:separator/>
      </w:r>
    </w:p>
  </w:footnote>
  <w:footnote w:type="continuationSeparator" w:id="0">
    <w:p w:rsidR="005E47A6" w:rsidRDefault="005E47A6" w:rsidP="000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322"/>
    <w:multiLevelType w:val="hybridMultilevel"/>
    <w:tmpl w:val="AA78353E"/>
    <w:lvl w:ilvl="0" w:tplc="379CE71C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40500"/>
    <w:multiLevelType w:val="hybridMultilevel"/>
    <w:tmpl w:val="CA44297A"/>
    <w:lvl w:ilvl="0" w:tplc="0960F9E8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150A1"/>
    <w:multiLevelType w:val="hybridMultilevel"/>
    <w:tmpl w:val="21261ED8"/>
    <w:lvl w:ilvl="0" w:tplc="4134B206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0A597C"/>
    <w:multiLevelType w:val="hybridMultilevel"/>
    <w:tmpl w:val="4B16F1E4"/>
    <w:lvl w:ilvl="0" w:tplc="D24437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  <w:docVar w:name="EN.Layout" w:val="&lt;ENLayout&gt;&lt;Style&gt;11J Cleaner Production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x0zf09wqvxxwze05sfpf0pe0wrpfars2wzw&quot;&gt;My EndNote Library&lt;record-ids&gt;&lt;item&gt;1210&lt;/item&gt;&lt;item&gt;1211&lt;/item&gt;&lt;item&gt;1212&lt;/item&gt;&lt;item&gt;1213&lt;/item&gt;&lt;item&gt;1214&lt;/item&gt;&lt;item&gt;1215&lt;/item&gt;&lt;item&gt;1216&lt;/item&gt;&lt;item&gt;1217&lt;/item&gt;&lt;item&gt;1218&lt;/item&gt;&lt;item&gt;1219&lt;/item&gt;&lt;item&gt;1220&lt;/item&gt;&lt;item&gt;1221&lt;/item&gt;&lt;item&gt;1222&lt;/item&gt;&lt;item&gt;1223&lt;/item&gt;&lt;item&gt;1224&lt;/item&gt;&lt;item&gt;1225&lt;/item&gt;&lt;item&gt;1226&lt;/item&gt;&lt;/record-ids&gt;&lt;/item&gt;&lt;/Libraries&gt;"/>
  </w:docVars>
  <w:rsids>
    <w:rsidRoot w:val="005C50C7"/>
    <w:rsid w:val="000009A5"/>
    <w:rsid w:val="00000BD5"/>
    <w:rsid w:val="00001F61"/>
    <w:rsid w:val="00002C01"/>
    <w:rsid w:val="00007CAE"/>
    <w:rsid w:val="000109FD"/>
    <w:rsid w:val="00015D4F"/>
    <w:rsid w:val="000203D9"/>
    <w:rsid w:val="0002147B"/>
    <w:rsid w:val="00025D72"/>
    <w:rsid w:val="00031969"/>
    <w:rsid w:val="00034D28"/>
    <w:rsid w:val="00035BE6"/>
    <w:rsid w:val="00036250"/>
    <w:rsid w:val="00037877"/>
    <w:rsid w:val="00043FBE"/>
    <w:rsid w:val="00045088"/>
    <w:rsid w:val="00047106"/>
    <w:rsid w:val="000512E1"/>
    <w:rsid w:val="0005216D"/>
    <w:rsid w:val="00057920"/>
    <w:rsid w:val="000A04DB"/>
    <w:rsid w:val="000A18EB"/>
    <w:rsid w:val="000A28E1"/>
    <w:rsid w:val="000A44E7"/>
    <w:rsid w:val="000A4DBC"/>
    <w:rsid w:val="000A7F5D"/>
    <w:rsid w:val="000B240B"/>
    <w:rsid w:val="000B2CB1"/>
    <w:rsid w:val="000C0D13"/>
    <w:rsid w:val="000D3494"/>
    <w:rsid w:val="000E1C73"/>
    <w:rsid w:val="000F1965"/>
    <w:rsid w:val="000F2732"/>
    <w:rsid w:val="00101858"/>
    <w:rsid w:val="00102795"/>
    <w:rsid w:val="00107E29"/>
    <w:rsid w:val="00112A28"/>
    <w:rsid w:val="00112EC3"/>
    <w:rsid w:val="00122E72"/>
    <w:rsid w:val="00135C63"/>
    <w:rsid w:val="00144142"/>
    <w:rsid w:val="0014448E"/>
    <w:rsid w:val="00163C8E"/>
    <w:rsid w:val="00166A0B"/>
    <w:rsid w:val="001812EB"/>
    <w:rsid w:val="001910F8"/>
    <w:rsid w:val="00193200"/>
    <w:rsid w:val="001B18D1"/>
    <w:rsid w:val="001B7A7E"/>
    <w:rsid w:val="001C2F43"/>
    <w:rsid w:val="001C5E47"/>
    <w:rsid w:val="001C5E83"/>
    <w:rsid w:val="001D2BC4"/>
    <w:rsid w:val="001D3DCB"/>
    <w:rsid w:val="001E208F"/>
    <w:rsid w:val="001E69DB"/>
    <w:rsid w:val="001F1507"/>
    <w:rsid w:val="001F4367"/>
    <w:rsid w:val="001F45F7"/>
    <w:rsid w:val="001F6177"/>
    <w:rsid w:val="002016FA"/>
    <w:rsid w:val="002060CA"/>
    <w:rsid w:val="002152DF"/>
    <w:rsid w:val="00224818"/>
    <w:rsid w:val="002268DE"/>
    <w:rsid w:val="00232A27"/>
    <w:rsid w:val="00234C49"/>
    <w:rsid w:val="002369C9"/>
    <w:rsid w:val="002373F4"/>
    <w:rsid w:val="002444BD"/>
    <w:rsid w:val="00244772"/>
    <w:rsid w:val="0024625C"/>
    <w:rsid w:val="002555B9"/>
    <w:rsid w:val="0026009D"/>
    <w:rsid w:val="002603C4"/>
    <w:rsid w:val="00267EB0"/>
    <w:rsid w:val="00271A12"/>
    <w:rsid w:val="002822BC"/>
    <w:rsid w:val="00290A5A"/>
    <w:rsid w:val="0029284C"/>
    <w:rsid w:val="002948E6"/>
    <w:rsid w:val="00295722"/>
    <w:rsid w:val="00295B55"/>
    <w:rsid w:val="0029619B"/>
    <w:rsid w:val="002A16F7"/>
    <w:rsid w:val="002A3444"/>
    <w:rsid w:val="002A685B"/>
    <w:rsid w:val="002B012B"/>
    <w:rsid w:val="002B17F7"/>
    <w:rsid w:val="002B49C6"/>
    <w:rsid w:val="002D73C1"/>
    <w:rsid w:val="002E2C6F"/>
    <w:rsid w:val="002F158F"/>
    <w:rsid w:val="002F19E3"/>
    <w:rsid w:val="002F32A2"/>
    <w:rsid w:val="002F5611"/>
    <w:rsid w:val="00304F3A"/>
    <w:rsid w:val="003074C5"/>
    <w:rsid w:val="00323A1E"/>
    <w:rsid w:val="00324AC2"/>
    <w:rsid w:val="003306B7"/>
    <w:rsid w:val="00330EF7"/>
    <w:rsid w:val="00331D61"/>
    <w:rsid w:val="003350D3"/>
    <w:rsid w:val="00337282"/>
    <w:rsid w:val="00337C0B"/>
    <w:rsid w:val="00341F9B"/>
    <w:rsid w:val="00343A09"/>
    <w:rsid w:val="00352FFB"/>
    <w:rsid w:val="00364E15"/>
    <w:rsid w:val="003662C6"/>
    <w:rsid w:val="003935F4"/>
    <w:rsid w:val="0039588D"/>
    <w:rsid w:val="003958AA"/>
    <w:rsid w:val="0039795B"/>
    <w:rsid w:val="003A058B"/>
    <w:rsid w:val="003A389A"/>
    <w:rsid w:val="003A766C"/>
    <w:rsid w:val="003B4D59"/>
    <w:rsid w:val="003B60D7"/>
    <w:rsid w:val="003B7F79"/>
    <w:rsid w:val="003D051E"/>
    <w:rsid w:val="003D1A26"/>
    <w:rsid w:val="003D6B0A"/>
    <w:rsid w:val="003E1A74"/>
    <w:rsid w:val="003F774B"/>
    <w:rsid w:val="0040337C"/>
    <w:rsid w:val="004045EC"/>
    <w:rsid w:val="00405012"/>
    <w:rsid w:val="00406E30"/>
    <w:rsid w:val="00416C65"/>
    <w:rsid w:val="0043083E"/>
    <w:rsid w:val="004341FF"/>
    <w:rsid w:val="00434FDA"/>
    <w:rsid w:val="00436426"/>
    <w:rsid w:val="0044701A"/>
    <w:rsid w:val="00447E08"/>
    <w:rsid w:val="00450279"/>
    <w:rsid w:val="0046329F"/>
    <w:rsid w:val="00465105"/>
    <w:rsid w:val="00467282"/>
    <w:rsid w:val="00467B3E"/>
    <w:rsid w:val="004712F4"/>
    <w:rsid w:val="00477BB4"/>
    <w:rsid w:val="004909D5"/>
    <w:rsid w:val="004910F3"/>
    <w:rsid w:val="004A007D"/>
    <w:rsid w:val="004B2579"/>
    <w:rsid w:val="004B2BF0"/>
    <w:rsid w:val="004B793D"/>
    <w:rsid w:val="004B7AF3"/>
    <w:rsid w:val="004C4A84"/>
    <w:rsid w:val="004C4FF5"/>
    <w:rsid w:val="004D4912"/>
    <w:rsid w:val="004E42A6"/>
    <w:rsid w:val="004E5501"/>
    <w:rsid w:val="004F0193"/>
    <w:rsid w:val="004F66ED"/>
    <w:rsid w:val="005004FF"/>
    <w:rsid w:val="00501504"/>
    <w:rsid w:val="00501738"/>
    <w:rsid w:val="00501B72"/>
    <w:rsid w:val="00506696"/>
    <w:rsid w:val="00507B59"/>
    <w:rsid w:val="00512E97"/>
    <w:rsid w:val="0052007C"/>
    <w:rsid w:val="005228EB"/>
    <w:rsid w:val="00527594"/>
    <w:rsid w:val="00535C10"/>
    <w:rsid w:val="00545B1A"/>
    <w:rsid w:val="00551307"/>
    <w:rsid w:val="005707C4"/>
    <w:rsid w:val="00571CCC"/>
    <w:rsid w:val="00571D95"/>
    <w:rsid w:val="005833B8"/>
    <w:rsid w:val="00583A99"/>
    <w:rsid w:val="00586A56"/>
    <w:rsid w:val="005953B8"/>
    <w:rsid w:val="005A7C21"/>
    <w:rsid w:val="005A7CA8"/>
    <w:rsid w:val="005B00B2"/>
    <w:rsid w:val="005B1FA3"/>
    <w:rsid w:val="005B3B27"/>
    <w:rsid w:val="005C2ED3"/>
    <w:rsid w:val="005C50C7"/>
    <w:rsid w:val="005C6078"/>
    <w:rsid w:val="005E47A6"/>
    <w:rsid w:val="005F2F1E"/>
    <w:rsid w:val="005F485B"/>
    <w:rsid w:val="005F54FE"/>
    <w:rsid w:val="005F602D"/>
    <w:rsid w:val="005F606D"/>
    <w:rsid w:val="005F7079"/>
    <w:rsid w:val="005F7CB2"/>
    <w:rsid w:val="005F7F7D"/>
    <w:rsid w:val="00601503"/>
    <w:rsid w:val="00603D8B"/>
    <w:rsid w:val="0061562F"/>
    <w:rsid w:val="00616F7E"/>
    <w:rsid w:val="00621A62"/>
    <w:rsid w:val="00626C3E"/>
    <w:rsid w:val="0063419A"/>
    <w:rsid w:val="00635F40"/>
    <w:rsid w:val="00641606"/>
    <w:rsid w:val="00645274"/>
    <w:rsid w:val="006477A7"/>
    <w:rsid w:val="00654986"/>
    <w:rsid w:val="006574C3"/>
    <w:rsid w:val="006626DB"/>
    <w:rsid w:val="00662962"/>
    <w:rsid w:val="006631C7"/>
    <w:rsid w:val="006634CF"/>
    <w:rsid w:val="00671BF2"/>
    <w:rsid w:val="006720DA"/>
    <w:rsid w:val="006866BF"/>
    <w:rsid w:val="00686852"/>
    <w:rsid w:val="00686D14"/>
    <w:rsid w:val="006944A5"/>
    <w:rsid w:val="006A11D8"/>
    <w:rsid w:val="006A6E69"/>
    <w:rsid w:val="006B7202"/>
    <w:rsid w:val="006C013D"/>
    <w:rsid w:val="006C27EC"/>
    <w:rsid w:val="006C790F"/>
    <w:rsid w:val="006D0D61"/>
    <w:rsid w:val="006D286C"/>
    <w:rsid w:val="006D44AD"/>
    <w:rsid w:val="006E1AFD"/>
    <w:rsid w:val="006E1D64"/>
    <w:rsid w:val="006E2C8F"/>
    <w:rsid w:val="006F2F31"/>
    <w:rsid w:val="006F56F4"/>
    <w:rsid w:val="0070470B"/>
    <w:rsid w:val="00704BEF"/>
    <w:rsid w:val="00705252"/>
    <w:rsid w:val="007062A9"/>
    <w:rsid w:val="0070791E"/>
    <w:rsid w:val="00710EC8"/>
    <w:rsid w:val="0072264F"/>
    <w:rsid w:val="00722661"/>
    <w:rsid w:val="0072269B"/>
    <w:rsid w:val="00724715"/>
    <w:rsid w:val="00735A8B"/>
    <w:rsid w:val="00740ED8"/>
    <w:rsid w:val="00751E3F"/>
    <w:rsid w:val="00753BDF"/>
    <w:rsid w:val="00756135"/>
    <w:rsid w:val="007602B5"/>
    <w:rsid w:val="00762DC2"/>
    <w:rsid w:val="00764135"/>
    <w:rsid w:val="007667EC"/>
    <w:rsid w:val="007717E4"/>
    <w:rsid w:val="00772F9E"/>
    <w:rsid w:val="00780B22"/>
    <w:rsid w:val="007864B3"/>
    <w:rsid w:val="00794F5E"/>
    <w:rsid w:val="007A64DD"/>
    <w:rsid w:val="007C2597"/>
    <w:rsid w:val="007C3290"/>
    <w:rsid w:val="007D03C9"/>
    <w:rsid w:val="007D3200"/>
    <w:rsid w:val="007F2CD5"/>
    <w:rsid w:val="007F6002"/>
    <w:rsid w:val="0082007B"/>
    <w:rsid w:val="0082696C"/>
    <w:rsid w:val="00826C27"/>
    <w:rsid w:val="00831BF8"/>
    <w:rsid w:val="00837CB5"/>
    <w:rsid w:val="00846A7B"/>
    <w:rsid w:val="00853825"/>
    <w:rsid w:val="00854EC6"/>
    <w:rsid w:val="0086356B"/>
    <w:rsid w:val="00866FDD"/>
    <w:rsid w:val="008754E3"/>
    <w:rsid w:val="00881777"/>
    <w:rsid w:val="0088607D"/>
    <w:rsid w:val="008A010C"/>
    <w:rsid w:val="008A680F"/>
    <w:rsid w:val="008B00C7"/>
    <w:rsid w:val="008B48E9"/>
    <w:rsid w:val="008D24C8"/>
    <w:rsid w:val="008E085D"/>
    <w:rsid w:val="008E0A59"/>
    <w:rsid w:val="008F0364"/>
    <w:rsid w:val="008F4F61"/>
    <w:rsid w:val="008F7665"/>
    <w:rsid w:val="0090187D"/>
    <w:rsid w:val="00910F5E"/>
    <w:rsid w:val="00912082"/>
    <w:rsid w:val="009148A7"/>
    <w:rsid w:val="00915127"/>
    <w:rsid w:val="00915700"/>
    <w:rsid w:val="00925E01"/>
    <w:rsid w:val="009265DE"/>
    <w:rsid w:val="00931D58"/>
    <w:rsid w:val="00932B67"/>
    <w:rsid w:val="00936EED"/>
    <w:rsid w:val="00940A47"/>
    <w:rsid w:val="00940DCE"/>
    <w:rsid w:val="00945E2E"/>
    <w:rsid w:val="00953662"/>
    <w:rsid w:val="00960D38"/>
    <w:rsid w:val="00971207"/>
    <w:rsid w:val="00975FCA"/>
    <w:rsid w:val="009874CA"/>
    <w:rsid w:val="00990444"/>
    <w:rsid w:val="009A306D"/>
    <w:rsid w:val="009A7DEB"/>
    <w:rsid w:val="009B1EDA"/>
    <w:rsid w:val="009B2CC1"/>
    <w:rsid w:val="009B5D9D"/>
    <w:rsid w:val="009B7ADD"/>
    <w:rsid w:val="009B7D99"/>
    <w:rsid w:val="009C2D43"/>
    <w:rsid w:val="009C3B1E"/>
    <w:rsid w:val="009C4082"/>
    <w:rsid w:val="009D0F22"/>
    <w:rsid w:val="009F1F92"/>
    <w:rsid w:val="00A07D79"/>
    <w:rsid w:val="00A15A1F"/>
    <w:rsid w:val="00A20AF3"/>
    <w:rsid w:val="00A2374C"/>
    <w:rsid w:val="00A24DFF"/>
    <w:rsid w:val="00A25CA4"/>
    <w:rsid w:val="00A30CC5"/>
    <w:rsid w:val="00A30FA4"/>
    <w:rsid w:val="00A43E33"/>
    <w:rsid w:val="00A50AEA"/>
    <w:rsid w:val="00A56918"/>
    <w:rsid w:val="00A617BC"/>
    <w:rsid w:val="00A65467"/>
    <w:rsid w:val="00A775EB"/>
    <w:rsid w:val="00A84DEF"/>
    <w:rsid w:val="00A86CC9"/>
    <w:rsid w:val="00A86D32"/>
    <w:rsid w:val="00A92AD5"/>
    <w:rsid w:val="00A963D7"/>
    <w:rsid w:val="00AB4EF5"/>
    <w:rsid w:val="00AC2A77"/>
    <w:rsid w:val="00AC3046"/>
    <w:rsid w:val="00AC34DF"/>
    <w:rsid w:val="00AC473D"/>
    <w:rsid w:val="00AD564F"/>
    <w:rsid w:val="00AE2711"/>
    <w:rsid w:val="00AE2B48"/>
    <w:rsid w:val="00AE769E"/>
    <w:rsid w:val="00AF1279"/>
    <w:rsid w:val="00AF3746"/>
    <w:rsid w:val="00AF437E"/>
    <w:rsid w:val="00B03296"/>
    <w:rsid w:val="00B033ED"/>
    <w:rsid w:val="00B10CC1"/>
    <w:rsid w:val="00B1339C"/>
    <w:rsid w:val="00B14780"/>
    <w:rsid w:val="00B27735"/>
    <w:rsid w:val="00B3275A"/>
    <w:rsid w:val="00B34120"/>
    <w:rsid w:val="00B420AA"/>
    <w:rsid w:val="00B62303"/>
    <w:rsid w:val="00B668FD"/>
    <w:rsid w:val="00B67155"/>
    <w:rsid w:val="00B912EF"/>
    <w:rsid w:val="00B91CFE"/>
    <w:rsid w:val="00B92429"/>
    <w:rsid w:val="00B92B31"/>
    <w:rsid w:val="00B9754B"/>
    <w:rsid w:val="00BA4257"/>
    <w:rsid w:val="00BA6610"/>
    <w:rsid w:val="00BA6653"/>
    <w:rsid w:val="00BB0192"/>
    <w:rsid w:val="00BC5587"/>
    <w:rsid w:val="00BD3AD9"/>
    <w:rsid w:val="00BD4711"/>
    <w:rsid w:val="00BE01A7"/>
    <w:rsid w:val="00BF0714"/>
    <w:rsid w:val="00C15675"/>
    <w:rsid w:val="00C17144"/>
    <w:rsid w:val="00C17819"/>
    <w:rsid w:val="00C209DD"/>
    <w:rsid w:val="00C232EB"/>
    <w:rsid w:val="00C259F4"/>
    <w:rsid w:val="00C3116C"/>
    <w:rsid w:val="00C32267"/>
    <w:rsid w:val="00C3448D"/>
    <w:rsid w:val="00C35B1F"/>
    <w:rsid w:val="00C36D10"/>
    <w:rsid w:val="00C417FB"/>
    <w:rsid w:val="00C53E33"/>
    <w:rsid w:val="00C56CEB"/>
    <w:rsid w:val="00C608DB"/>
    <w:rsid w:val="00C72A32"/>
    <w:rsid w:val="00C81C29"/>
    <w:rsid w:val="00C829BC"/>
    <w:rsid w:val="00C90BB4"/>
    <w:rsid w:val="00C92DCC"/>
    <w:rsid w:val="00C93EDF"/>
    <w:rsid w:val="00C94C88"/>
    <w:rsid w:val="00CA201F"/>
    <w:rsid w:val="00CB76FE"/>
    <w:rsid w:val="00CC62A0"/>
    <w:rsid w:val="00CD0218"/>
    <w:rsid w:val="00CD0658"/>
    <w:rsid w:val="00CD2FF6"/>
    <w:rsid w:val="00CD6438"/>
    <w:rsid w:val="00CF0700"/>
    <w:rsid w:val="00CF34E5"/>
    <w:rsid w:val="00CF5AFF"/>
    <w:rsid w:val="00D02959"/>
    <w:rsid w:val="00D0726B"/>
    <w:rsid w:val="00D1600D"/>
    <w:rsid w:val="00D23602"/>
    <w:rsid w:val="00D349AA"/>
    <w:rsid w:val="00D3723D"/>
    <w:rsid w:val="00D42D00"/>
    <w:rsid w:val="00D470D9"/>
    <w:rsid w:val="00D5078F"/>
    <w:rsid w:val="00D51695"/>
    <w:rsid w:val="00D53970"/>
    <w:rsid w:val="00D568CD"/>
    <w:rsid w:val="00D67F8B"/>
    <w:rsid w:val="00D7158D"/>
    <w:rsid w:val="00D72F1B"/>
    <w:rsid w:val="00D81C72"/>
    <w:rsid w:val="00D970A1"/>
    <w:rsid w:val="00DA076B"/>
    <w:rsid w:val="00DD1FB1"/>
    <w:rsid w:val="00DD4B69"/>
    <w:rsid w:val="00DE344D"/>
    <w:rsid w:val="00DE53BD"/>
    <w:rsid w:val="00DE54DD"/>
    <w:rsid w:val="00DE7809"/>
    <w:rsid w:val="00DF3351"/>
    <w:rsid w:val="00DF342E"/>
    <w:rsid w:val="00E05C06"/>
    <w:rsid w:val="00E072B1"/>
    <w:rsid w:val="00E17FF9"/>
    <w:rsid w:val="00E22622"/>
    <w:rsid w:val="00E23A91"/>
    <w:rsid w:val="00E23B17"/>
    <w:rsid w:val="00E2455C"/>
    <w:rsid w:val="00E25B58"/>
    <w:rsid w:val="00E43E13"/>
    <w:rsid w:val="00E44201"/>
    <w:rsid w:val="00E476EF"/>
    <w:rsid w:val="00E512E9"/>
    <w:rsid w:val="00E54CB7"/>
    <w:rsid w:val="00E554AE"/>
    <w:rsid w:val="00E560BA"/>
    <w:rsid w:val="00E609AD"/>
    <w:rsid w:val="00E63C5F"/>
    <w:rsid w:val="00E7293B"/>
    <w:rsid w:val="00E75189"/>
    <w:rsid w:val="00E81EE0"/>
    <w:rsid w:val="00E943D5"/>
    <w:rsid w:val="00E945EE"/>
    <w:rsid w:val="00EA30F0"/>
    <w:rsid w:val="00EA7B94"/>
    <w:rsid w:val="00EB6A80"/>
    <w:rsid w:val="00EC359D"/>
    <w:rsid w:val="00EC77DD"/>
    <w:rsid w:val="00EE0D85"/>
    <w:rsid w:val="00EE63ED"/>
    <w:rsid w:val="00EF7E56"/>
    <w:rsid w:val="00F00735"/>
    <w:rsid w:val="00F00B4C"/>
    <w:rsid w:val="00F07FAF"/>
    <w:rsid w:val="00F11671"/>
    <w:rsid w:val="00F149AF"/>
    <w:rsid w:val="00F173FE"/>
    <w:rsid w:val="00F25A4D"/>
    <w:rsid w:val="00F30524"/>
    <w:rsid w:val="00F33C9C"/>
    <w:rsid w:val="00F36673"/>
    <w:rsid w:val="00F36FAE"/>
    <w:rsid w:val="00F37702"/>
    <w:rsid w:val="00F37A28"/>
    <w:rsid w:val="00F41973"/>
    <w:rsid w:val="00F43834"/>
    <w:rsid w:val="00F5176B"/>
    <w:rsid w:val="00F52096"/>
    <w:rsid w:val="00F55D97"/>
    <w:rsid w:val="00F61C58"/>
    <w:rsid w:val="00F66063"/>
    <w:rsid w:val="00F704D3"/>
    <w:rsid w:val="00F73500"/>
    <w:rsid w:val="00F73878"/>
    <w:rsid w:val="00F8018D"/>
    <w:rsid w:val="00F8036E"/>
    <w:rsid w:val="00F82DDB"/>
    <w:rsid w:val="00F9495C"/>
    <w:rsid w:val="00F979F6"/>
    <w:rsid w:val="00FA30F5"/>
    <w:rsid w:val="00FB26FD"/>
    <w:rsid w:val="00FB4A58"/>
    <w:rsid w:val="00FB5C77"/>
    <w:rsid w:val="00FD2CD5"/>
    <w:rsid w:val="00FD7FAC"/>
    <w:rsid w:val="00FE26E0"/>
    <w:rsid w:val="00FE4037"/>
    <w:rsid w:val="00FE5807"/>
    <w:rsid w:val="00FF6CBA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E8A66"/>
  <w15:docId w15:val="{A7E3D9CD-1079-4B2E-AF52-82C8994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723D"/>
    <w:rPr>
      <w:rFonts w:ascii="AdvGulliv-R" w:eastAsia="AdvGulliv-R" w:hAnsi="AdvGulliv-R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D3723D"/>
    <w:rPr>
      <w:rFonts w:ascii="AdvPSMP13" w:hAnsi="AdvPSMP13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">
    <w:name w:val="网格型1"/>
    <w:basedOn w:val="a1"/>
    <w:next w:val="a3"/>
    <w:uiPriority w:val="39"/>
    <w:rsid w:val="00F66063"/>
    <w:rPr>
      <w:rFonts w:ascii="Calibri" w:eastAsia="宋体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F9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41F9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25D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25D72"/>
    <w:rPr>
      <w:sz w:val="18"/>
      <w:szCs w:val="18"/>
    </w:rPr>
  </w:style>
  <w:style w:type="table" w:customStyle="1" w:styleId="2">
    <w:name w:val="网格型2"/>
    <w:basedOn w:val="a1"/>
    <w:next w:val="a3"/>
    <w:rsid w:val="006866B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5F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C92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11</Pages>
  <Words>1705</Words>
  <Characters>9720</Characters>
  <Application>Microsoft Office Word</Application>
  <DocSecurity>0</DocSecurity>
  <Lines>81</Lines>
  <Paragraphs>22</Paragraphs>
  <ScaleCrop>false</ScaleCrop>
  <Company>Microsoft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99</cp:revision>
  <dcterms:created xsi:type="dcterms:W3CDTF">2021-08-04T00:45:00Z</dcterms:created>
  <dcterms:modified xsi:type="dcterms:W3CDTF">2024-08-03T08:53:00Z</dcterms:modified>
</cp:coreProperties>
</file>